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DEER POPULATION MANAGEMENT ZONES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571—105.1</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deer management zones” </w:t>
      </w:r>
      <w:r>
        <w:rPr>
          <w:rFonts w:ascii="Times New Roman" w:hAnsi="Times New Roman"/>
          <w:b w:val="false"/>
          <w:i w:val="false"/>
          <w:color w:val="000000"/>
          <w:sz w:val="22"/>
        </w:rPr>
        <w:t>means defined units of public and private land, including state parks, state recreation areas, county parks, urban areas, and areas managed by other governmental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deer management zones” </w:t>
      </w:r>
      <w:r>
        <w:rPr>
          <w:rFonts w:ascii="Times New Roman" w:hAnsi="Times New Roman"/>
          <w:b w:val="false"/>
          <w:i w:val="false"/>
          <w:color w:val="000000"/>
          <w:sz w:val="22"/>
        </w:rPr>
        <w:t>means areas mostly within incorporated city limits including city, county, state, and private land.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571—105.2</w:t>
      </w:r>
      <w:r>
        <w:rPr>
          <w:rFonts w:ascii="Times New Roman" w:hAnsi="Times New Roman"/>
          <w:b/>
          <w:i w:val="false"/>
          <w:color w:val="000000"/>
          <w:sz w:val="22"/>
        </w:rPr>
        <w:t xml:space="preserve">(481A) </w:t>
      </w:r>
      <w:r>
        <w:rPr>
          <w:rFonts w:ascii="Times New Roman" w:hAnsi="Times New Roman"/>
          <w:b/>
          <w:i w:val="false"/>
          <w:color w:val="000000"/>
          <w:sz w:val="22"/>
        </w:rPr>
        <w:t xml:space="preserve">Special deer management zones. </w:t>
      </w:r>
      <w:r>
        <w:rPr>
          <w:rFonts w:ascii="Times New Roman" w:hAnsi="Times New Roman"/>
          <w:b w:val="false"/>
          <w:i w:val="false"/>
          <w:color w:val="000000"/>
          <w:sz w:val="22"/>
        </w:rPr>
        <w:t>Special deer management zone boundaries, seasons, permitted weapons, license quotas, and other conditions for hunting shall be designated annually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Deer hunting in a special deer management zone may occur only on dates established by the commission. Season dates may or may not coincide with seasons for general deer hunting outside special deer management zones.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w:t>
      </w:r>
      <w:r>
        <w:rPr>
          <w:rFonts w:ascii="Times New Roman" w:hAnsi="Times New Roman"/>
          <w:b w:val="false"/>
          <w:i w:val="false"/>
          <w:color w:val="000000"/>
          <w:sz w:val="22"/>
        </w:rPr>
        <w:t> </w:t>
      </w:r>
      <w:r>
        <w:rPr>
          <w:rFonts w:ascii="Times New Roman" w:hAnsi="Times New Roman"/>
          <w:b w:val="false"/>
          <w:i/>
          <w:color w:val="000000"/>
          <w:sz w:val="22"/>
        </w:rPr>
        <w:t xml:space="preserve">Licenses. </w:t>
      </w:r>
      <w:r>
        <w:rPr>
          <w:rFonts w:ascii="Times New Roman" w:hAnsi="Times New Roman"/>
          <w:b w:val="false"/>
          <w:i w:val="false"/>
          <w:color w:val="000000"/>
          <w:sz w:val="22"/>
        </w:rPr>
        <w:t>Every hunter must have in possession a paid special hunting license valid only for the specific special deer management zone. The hunting license shall specify dates of hunting and the type of deer that may be taken as designated by the commission. The special licenses will be issued at locations and on dates announced by the commission. Special licenses shall be issued to Iowa residents only and shall cost the same as deer licenses issued during the general deer seasons. Incentives, including but not limited to issuing additional antlerless-only or any-deer licenses, may be used to attract hunters to a special hunt.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w:t>
      </w:r>
      <w:r>
        <w:rPr>
          <w:rFonts w:ascii="Times New Roman" w:hAnsi="Times New Roman"/>
          <w:b w:val="false"/>
          <w:i w:val="false"/>
          <w:color w:val="000000"/>
          <w:sz w:val="22"/>
        </w:rPr>
        <w:t> </w:t>
      </w:r>
      <w:r>
        <w:rPr>
          <w:rFonts w:ascii="Times New Roman" w:hAnsi="Times New Roman"/>
          <w:b w:val="false"/>
          <w:i/>
          <w:color w:val="000000"/>
          <w:sz w:val="22"/>
        </w:rPr>
        <w:t xml:space="preserve">Permitted weapons. </w:t>
      </w:r>
      <w:r>
        <w:rPr>
          <w:rFonts w:ascii="Times New Roman" w:hAnsi="Times New Roman"/>
          <w:b w:val="false"/>
          <w:i w:val="false"/>
          <w:color w:val="000000"/>
          <w:sz w:val="22"/>
        </w:rPr>
        <w:t>Only weapons permitted during the general deer seasons may be used. The commission may limit the use of specific weapons in some deer management zones and seasons on a case-by-case basis to improve the safety of hunters and the surrounding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105.2(4)</w:t>
      </w:r>
      <w:r>
        <w:rPr>
          <w:rFonts w:ascii="Times New Roman" w:hAnsi="Times New Roman"/>
          <w:b w:val="false"/>
          <w:i w:val="false"/>
          <w:color w:val="000000"/>
          <w:sz w:val="22"/>
        </w:rPr>
        <w:t> </w:t>
      </w:r>
      <w:r>
        <w:rPr>
          <w:rFonts w:ascii="Times New Roman" w:hAnsi="Times New Roman"/>
          <w:b w:val="false"/>
          <w:i/>
          <w:color w:val="000000"/>
          <w:sz w:val="22"/>
        </w:rPr>
        <w:t xml:space="preserve">Hunter safety and proficiency. </w:t>
      </w:r>
      <w:r>
        <w:rPr>
          <w:rFonts w:ascii="Times New Roman" w:hAnsi="Times New Roman"/>
          <w:b w:val="false"/>
          <w:i w:val="false"/>
          <w:color w:val="000000"/>
          <w:sz w:val="22"/>
        </w:rPr>
        <w:t>Hunters may be required to pass a weapons proficiency test and attend a meeting prior to hunting in special deer management zones. The meeting will be used to familiarize hunters with zone boundaries, location of private lands, safety areas around buildings, access points, objectives of the hunt and other aspects of hunting in a special deer management zone.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w:t>
      </w:r>
      <w:r>
        <w:rPr>
          <w:rFonts w:ascii="Times New Roman" w:hAnsi="Times New Roman"/>
          <w:b w:val="false"/>
          <w:i w:val="false"/>
          <w:color w:val="000000"/>
          <w:sz w:val="22"/>
        </w:rPr>
        <w:t> </w:t>
      </w:r>
      <w:r>
        <w:rPr>
          <w:rFonts w:ascii="Times New Roman" w:hAnsi="Times New Roman"/>
          <w:b w:val="false"/>
          <w:i/>
          <w:color w:val="000000"/>
          <w:sz w:val="22"/>
        </w:rPr>
        <w:t xml:space="preserve">Checking deer. </w:t>
      </w:r>
      <w:r>
        <w:rPr>
          <w:rFonts w:ascii="Times New Roman" w:hAnsi="Times New Roman"/>
          <w:b w:val="false"/>
          <w:i w:val="false"/>
          <w:color w:val="000000"/>
          <w:sz w:val="22"/>
        </w:rPr>
        <w:t>A hunter who takes a deer may be required to check the deer at a designated headquarters prior to leaving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105.2(6)</w:t>
      </w:r>
      <w:r>
        <w:rPr>
          <w:rFonts w:ascii="Times New Roman" w:hAnsi="Times New Roman"/>
          <w:b w:val="false"/>
          <w:i w:val="false"/>
          <w:color w:val="000000"/>
          <w:sz w:val="22"/>
        </w:rPr>
        <w:t> </w:t>
      </w:r>
      <w:r>
        <w:rPr>
          <w:rFonts w:ascii="Times New Roman" w:hAnsi="Times New Roman"/>
          <w:b w:val="false"/>
          <w:i/>
          <w:color w:val="000000"/>
          <w:sz w:val="22"/>
        </w:rPr>
        <w:t xml:space="preserve">Educational hunts. </w:t>
      </w:r>
      <w:r>
        <w:rPr>
          <w:rFonts w:ascii="Times New Roman" w:hAnsi="Times New Roman"/>
          <w:b w:val="false"/>
          <w:i w:val="false"/>
          <w:color w:val="000000"/>
          <w:sz w:val="22"/>
        </w:rPr>
        <w:t>Hunts in designated special deer management zones may be restricted to youth or novice hunters to introduce them to safe and ethical deer hunting.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 experience or other eligibility restrictions may be designated by the commission. Zones, seasons and other conditions for hunting will be designated the same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adult must accompany each youth participating in an educational hunt. The adult must be licensed as specified in </w:t>
      </w:r>
      <w:hyperlink r:id="rId5">
        <w:r>
          <w:rPr>
            <w:rStyle w:val="Hyperlink"/>
            <w:rFonts w:ascii="Times New Roman" w:hAnsi="Times New Roman"/>
            <w:b w:val="false"/>
            <w:i w:val="false"/>
            <w:color w:val="000000"/>
            <w:sz w:val="22"/>
          </w:rPr>
          <w:t>571—subrule 106.10(1)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novice, nonyouth hunter may be accompanied by an adult mentor. The mentor must have a valid hunting license and have paid the habitat fee, if otherwise required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105.2(7)</w:t>
      </w:r>
      <w:r>
        <w:rPr>
          <w:rFonts w:ascii="Times New Roman" w:hAnsi="Times New Roman"/>
          <w:b w:val="false"/>
          <w:i w:val="false"/>
          <w:color w:val="000000"/>
          <w:sz w:val="22"/>
        </w:rPr>
        <w:t> </w:t>
      </w:r>
      <w:r>
        <w:rPr>
          <w:rFonts w:ascii="Times New Roman" w:hAnsi="Times New Roman"/>
          <w:b w:val="false"/>
          <w:i/>
          <w:color w:val="000000"/>
          <w:sz w:val="22"/>
        </w:rPr>
        <w:t xml:space="preserve">Zone request. </w:t>
      </w:r>
      <w:r>
        <w:rPr>
          <w:rFonts w:ascii="Times New Roman" w:hAnsi="Times New Roman"/>
          <w:b w:val="false"/>
          <w:i w:val="false"/>
          <w:color w:val="000000"/>
          <w:sz w:val="22"/>
        </w:rPr>
        <w:t>Deer management zones will be established only upon request from cities, task forces, a county government, the federal government, or an appropriate responsible entity and when approved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571—105.3</w:t>
      </w:r>
      <w:r>
        <w:rPr>
          <w:rFonts w:ascii="Times New Roman" w:hAnsi="Times New Roman"/>
          <w:b/>
          <w:i w:val="false"/>
          <w:color w:val="000000"/>
          <w:sz w:val="22"/>
        </w:rPr>
        <w:t xml:space="preserve">(481A) </w:t>
      </w:r>
      <w:r>
        <w:rPr>
          <w:rFonts w:ascii="Times New Roman" w:hAnsi="Times New Roman"/>
          <w:b/>
          <w:i w:val="false"/>
          <w:color w:val="000000"/>
          <w:sz w:val="22"/>
        </w:rPr>
        <w:t xml:space="preserve">State parks and recreation areas. </w:t>
      </w:r>
      <w:r>
        <w:rPr>
          <w:rFonts w:ascii="Times New Roman" w:hAnsi="Times New Roman"/>
          <w:b w:val="false"/>
          <w:i w:val="false"/>
          <w:color w:val="000000"/>
          <w:sz w:val="22"/>
        </w:rPr>
        <w:t>A summary of public comments shall be included with other recommendations to the commission related to hunting in a state park or state recreation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571—105.4</w:t>
      </w:r>
      <w:r>
        <w:rPr>
          <w:rFonts w:ascii="Times New Roman" w:hAnsi="Times New Roman"/>
          <w:b/>
          <w:i w:val="false"/>
          <w:color w:val="000000"/>
          <w:sz w:val="22"/>
        </w:rPr>
        <w:t xml:space="preserve">(481A) </w:t>
      </w:r>
      <w:r>
        <w:rPr>
          <w:rFonts w:ascii="Times New Roman" w:hAnsi="Times New Roman"/>
          <w:b/>
          <w:i w:val="false"/>
          <w:color w:val="000000"/>
          <w:sz w:val="22"/>
        </w:rPr>
        <w:t xml:space="preserve">Urban deer management zones.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w:t>
      </w:r>
      <w:r>
        <w:rPr>
          <w:rFonts w:ascii="Times New Roman" w:hAnsi="Times New Roman"/>
          <w:b w:val="false"/>
          <w:i w:val="false"/>
          <w:color w:val="000000"/>
          <w:sz w:val="22"/>
        </w:rPr>
        <w:t> </w:t>
      </w:r>
      <w:r>
        <w:rPr>
          <w:rFonts w:ascii="Times New Roman" w:hAnsi="Times New Roman"/>
          <w:b w:val="false"/>
          <w:i/>
          <w:color w:val="000000"/>
          <w:sz w:val="22"/>
        </w:rPr>
        <w:t xml:space="preserve">Special restrictions. </w:t>
      </w:r>
      <w:r>
        <w:rPr>
          <w:rFonts w:ascii="Times New Roman" w:hAnsi="Times New Roman"/>
          <w:b w:val="false"/>
          <w:i w:val="false"/>
          <w:color w:val="000000"/>
          <w:sz w:val="22"/>
        </w:rPr>
        <w:t>Cities, deer task forces, or other public entities may require hunters to do one or more of the following: pass a hunter safety and education course, pass a weapons proficiency test, or be approved by the appropriate police department or conservation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w:t>
      </w:r>
      <w:r>
        <w:rPr>
          <w:rFonts w:ascii="Times New Roman" w:hAnsi="Times New Roman"/>
          <w:b w:val="false"/>
          <w:i w:val="false"/>
          <w:color w:val="000000"/>
          <w:sz w:val="22"/>
        </w:rPr>
        <w:t> </w:t>
      </w:r>
      <w:r>
        <w:rPr>
          <w:rFonts w:ascii="Times New Roman" w:hAnsi="Times New Roman"/>
          <w:b w:val="false"/>
          <w:i/>
          <w:color w:val="000000"/>
          <w:sz w:val="22"/>
        </w:rPr>
        <w:t xml:space="preserve">Other methods. </w:t>
      </w:r>
      <w:r>
        <w:rPr>
          <w:rFonts w:ascii="Times New Roman" w:hAnsi="Times New Roman"/>
          <w:b w:val="false"/>
          <w:i w:val="false"/>
          <w:color w:val="000000"/>
          <w:sz w:val="22"/>
        </w:rPr>
        <w:t>The natural resource commission in cooperation with the city government may approve other methods of deer removal in urban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571—105.5</w:t>
      </w:r>
      <w:r>
        <w:rPr>
          <w:rFonts w:ascii="Times New Roman" w:hAnsi="Times New Roman"/>
          <w:b/>
          <w:i w:val="false"/>
          <w:color w:val="000000"/>
          <w:sz w:val="22"/>
        </w:rPr>
        <w:t xml:space="preserve">(481A) </w:t>
      </w:r>
      <w:r>
        <w:rPr>
          <w:rFonts w:ascii="Times New Roman" w:hAnsi="Times New Roman"/>
          <w:b/>
          <w:i w:val="false"/>
          <w:color w:val="000000"/>
          <w:sz w:val="22"/>
        </w:rPr>
        <w:t xml:space="preserve">County park deer management zones—special restrictions. </w:t>
      </w:r>
      <w:r>
        <w:rPr>
          <w:rFonts w:ascii="Times New Roman" w:hAnsi="Times New Roman"/>
          <w:b w:val="false"/>
          <w:i w:val="false"/>
          <w:color w:val="000000"/>
          <w:sz w:val="22"/>
        </w:rPr>
        <w:t>County park managers may require hunters to do one or more of the following: pass a hunter safety and education course, pass a weapons proficiency test, or be approved by the appropriate county sheriff or conservation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571—105.6</w:t>
      </w:r>
      <w:r>
        <w:rPr>
          <w:rFonts w:ascii="Times New Roman" w:hAnsi="Times New Roman"/>
          <w:b/>
          <w:i w:val="false"/>
          <w:color w:val="000000"/>
          <w:sz w:val="22"/>
        </w:rPr>
        <w:t xml:space="preserve">(481A) </w:t>
      </w:r>
      <w:r>
        <w:rPr>
          <w:rFonts w:ascii="Times New Roman" w:hAnsi="Times New Roman"/>
          <w:b/>
          <w:i w:val="false"/>
          <w:color w:val="000000"/>
          <w:sz w:val="22"/>
        </w:rPr>
        <w:t xml:space="preserve">Special deer management zones on private land. </w:t>
      </w:r>
      <w:r>
        <w:rPr>
          <w:rFonts w:ascii="Times New Roman" w:hAnsi="Times New Roman"/>
          <w:b w:val="false"/>
          <w:i w:val="false"/>
          <w:color w:val="000000"/>
          <w:sz w:val="22"/>
        </w:rPr>
        <w:t xml:space="preserve">Special deer management zones may be established on private land when approved by the commission. Zones, seasons, and other conditions for hunting will be determined by the commission. Hunters will be required to comply with all applicable regulations specified in </w:t>
      </w:r>
      <w:hyperlink r:id="rId6">
        <w:r>
          <w:rPr>
            <w:rStyle w:val="Hyperlink"/>
            <w:rFonts w:ascii="Times New Roman" w:hAnsi="Times New Roman"/>
            <w:b w:val="false"/>
            <w:i w:val="false"/>
            <w:color w:val="000000"/>
            <w:sz w:val="22"/>
          </w:rPr>
          <w:t>571—Chapter 106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483A.8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10/4/91 after Notice 8/7/91—published 10/30/91, effective 10/4/91]</w:t>
      </w:r>
    </w:p>
    <w:p>
      <w:pPr>
        <w:spacing w:before="0" w:after="0"/>
        <w:ind w:left="120"/>
        <w:jc w:val="center"/>
      </w:pPr>
      <w:r>
        <w:rPr>
          <w:rFonts w:ascii="Times New Roman" w:hAnsi="Times New Roman"/>
          <w:b w:val="false"/>
          <w:i w:val="false"/>
          <w:color w:val="000000"/>
          <w:sz w:val="21"/>
        </w:rPr>
        <w:t>[Filed emergency 10/2/92 after Notice 7/22/92—published 10/28/92, effective 10/2/92]</w:t>
      </w:r>
    </w:p>
    <w:p>
      <w:pPr>
        <w:spacing w:before="0" w:after="0"/>
        <w:ind w:left="120"/>
        <w:jc w:val="center"/>
      </w:pPr>
      <w:r>
        <w:rPr>
          <w:rFonts w:ascii="Times New Roman" w:hAnsi="Times New Roman"/>
          <w:b w:val="false"/>
          <w:i w:val="false"/>
          <w:color w:val="000000"/>
          <w:sz w:val="21"/>
        </w:rPr>
        <w:t>[Filed emergency 9/9/94 after Notice 7/6/94—published 9/28/94, effective 9/9/94]</w:t>
      </w:r>
    </w:p>
    <w:p>
      <w:pPr>
        <w:spacing w:before="0" w:after="0"/>
        <w:ind w:left="120"/>
        <w:jc w:val="center"/>
      </w:pPr>
      <w:r>
        <w:rPr>
          <w:rFonts w:ascii="Times New Roman" w:hAnsi="Times New Roman"/>
          <w:b w:val="false"/>
          <w:i w:val="false"/>
          <w:color w:val="000000"/>
          <w:sz w:val="21"/>
        </w:rPr>
        <w:t>[Filed emergency 10/27/94—published 11/23/94, effective 10/27/94]</w:t>
      </w:r>
    </w:p>
    <w:p>
      <w:pPr>
        <w:spacing w:before="0" w:after="0"/>
        <w:ind w:left="120"/>
        <w:jc w:val="center"/>
      </w:pPr>
      <w:r>
        <w:rPr>
          <w:rFonts w:ascii="Times New Roman" w:hAnsi="Times New Roman"/>
          <w:b w:val="false"/>
          <w:i w:val="false"/>
          <w:color w:val="000000"/>
          <w:sz w:val="21"/>
        </w:rPr>
        <w:t>[Filed 5/15/95, Notice 3/1/95—published 6/7/95, effective 7/17/95]</w:t>
      </w:r>
    </w:p>
    <w:p>
      <w:pPr>
        <w:spacing w:before="0" w:after="0"/>
        <w:ind w:left="120"/>
        <w:jc w:val="center"/>
      </w:pPr>
      <w:r>
        <w:rPr>
          <w:rFonts w:ascii="Times New Roman" w:hAnsi="Times New Roman"/>
          <w:b w:val="false"/>
          <w:i w:val="false"/>
          <w:color w:val="000000"/>
          <w:sz w:val="21"/>
        </w:rPr>
        <w:t>[Filed 8/11/95, Notice 3/29/95—published 8/30/95, effective 10/4/95]</w:t>
      </w:r>
    </w:p>
    <w:p>
      <w:pPr>
        <w:spacing w:before="0" w:after="0"/>
        <w:ind w:left="120"/>
        <w:jc w:val="center"/>
      </w:pPr>
      <w:r>
        <w:rPr>
          <w:rFonts w:ascii="Times New Roman" w:hAnsi="Times New Roman"/>
          <w:b w:val="false"/>
          <w:i w:val="false"/>
          <w:color w:val="000000"/>
          <w:sz w:val="21"/>
        </w:rPr>
        <w:t>[Filed 8/11/95, Notice 6/7/95—published 8/30/95, effective 10/4/95]</w:t>
      </w:r>
    </w:p>
    <w:p>
      <w:pPr>
        <w:spacing w:before="0" w:after="0"/>
        <w:ind w:left="120"/>
        <w:jc w:val="center"/>
      </w:pPr>
      <w:r>
        <w:rPr>
          <w:rFonts w:ascii="Times New Roman" w:hAnsi="Times New Roman"/>
          <w:b w:val="false"/>
          <w:i w:val="false"/>
          <w:color w:val="000000"/>
          <w:sz w:val="21"/>
        </w:rPr>
        <w:t>[Filed 5/15/96, Notice 2/28/96—published 6/5/96, effective 7/10/96]</w:t>
      </w:r>
    </w:p>
    <w:p>
      <w:pPr>
        <w:spacing w:before="0" w:after="0"/>
        <w:ind w:left="120"/>
        <w:jc w:val="center"/>
      </w:pPr>
      <w:r>
        <w:rPr>
          <w:rFonts w:ascii="Times New Roman" w:hAnsi="Times New Roman"/>
          <w:b w:val="false"/>
          <w:i w:val="false"/>
          <w:color w:val="000000"/>
          <w:sz w:val="21"/>
        </w:rPr>
        <w:t>[Filed emergency 6/14/96—published 7/3/96, effective 6/14/96]</w:t>
      </w:r>
    </w:p>
    <w:p>
      <w:pPr>
        <w:spacing w:before="0" w:after="0"/>
        <w:ind w:left="120"/>
        <w:jc w:val="center"/>
      </w:pPr>
      <w:r>
        <w:rPr>
          <w:rFonts w:ascii="Times New Roman" w:hAnsi="Times New Roman"/>
          <w:b w:val="false"/>
          <w:i w:val="false"/>
          <w:color w:val="000000"/>
          <w:sz w:val="21"/>
        </w:rPr>
        <w:t>[Filed 8/9/96, Notice 6/5/96—published 8/28/96, effective 10/2/96]</w:t>
      </w:r>
    </w:p>
    <w:p>
      <w:pPr>
        <w:spacing w:before="0" w:after="0"/>
        <w:ind w:left="120"/>
        <w:jc w:val="center"/>
      </w:pPr>
      <w:r>
        <w:rPr>
          <w:rFonts w:ascii="Times New Roman" w:hAnsi="Times New Roman"/>
          <w:b w:val="false"/>
          <w:i w:val="false"/>
          <w:color w:val="000000"/>
          <w:sz w:val="21"/>
        </w:rPr>
        <w:t>[Filed emergency 9/20/96—published 10/9/96, effective 9/20/96]</w:t>
      </w:r>
    </w:p>
    <w:p>
      <w:pPr>
        <w:spacing w:before="0" w:after="0"/>
        <w:ind w:left="120"/>
        <w:jc w:val="center"/>
      </w:pPr>
      <w:r>
        <w:rPr>
          <w:rFonts w:ascii="Times New Roman" w:hAnsi="Times New Roman"/>
          <w:b w:val="false"/>
          <w:i w:val="false"/>
          <w:color w:val="000000"/>
          <w:sz w:val="21"/>
        </w:rPr>
        <w:t>[Filed 8/22/97, Notice 6/4/97—published 9/10/97, effective 10/15/97]</w:t>
      </w:r>
    </w:p>
    <w:p>
      <w:pPr>
        <w:spacing w:before="0" w:after="0"/>
        <w:ind w:left="120"/>
        <w:jc w:val="center"/>
      </w:pPr>
      <w:r>
        <w:rPr>
          <w:rFonts w:ascii="Times New Roman" w:hAnsi="Times New Roman"/>
          <w:b w:val="false"/>
          <w:i w:val="false"/>
          <w:color w:val="000000"/>
          <w:sz w:val="21"/>
        </w:rPr>
        <w:t>[Filed emergency 11/14/97 after Notice 9/10/97—published 12/3/97, effective 11/14/97]</w:t>
      </w:r>
    </w:p>
    <w:p>
      <w:pPr>
        <w:spacing w:before="0" w:after="0"/>
        <w:ind w:left="120"/>
        <w:jc w:val="center"/>
      </w:pPr>
      <w:r>
        <w:rPr>
          <w:rFonts w:ascii="Times New Roman" w:hAnsi="Times New Roman"/>
          <w:b w:val="false"/>
          <w:i w:val="false"/>
          <w:color w:val="000000"/>
          <w:sz w:val="21"/>
        </w:rPr>
        <w:t>[Filed 5/29/98, Notice 3/11/98—published 6/17/98, effective 7/22/98]</w:t>
      </w:r>
    </w:p>
    <w:p>
      <w:pPr>
        <w:spacing w:before="0" w:after="0"/>
        <w:ind w:left="120"/>
        <w:jc w:val="center"/>
      </w:pPr>
      <w:r>
        <w:rPr>
          <w:rFonts w:ascii="Times New Roman" w:hAnsi="Times New Roman"/>
          <w:b w:val="false"/>
          <w:i w:val="false"/>
          <w:color w:val="000000"/>
          <w:sz w:val="21"/>
        </w:rPr>
        <w:t>[Filed 8/13/04, Notice 7/7/04—published 9/1/04, effective 10/6/04]</w:t>
      </w:r>
    </w:p>
    <w:p>
      <w:pPr>
        <w:spacing w:before="0" w:after="0"/>
        <w:ind w:left="120"/>
        <w:jc w:val="center"/>
      </w:pPr>
      <w:r>
        <w:rPr>
          <w:rFonts w:ascii="Times New Roman" w:hAnsi="Times New Roman"/>
          <w:b w:val="false"/>
          <w:i w:val="false"/>
          <w:color w:val="000000"/>
          <w:sz w:val="21"/>
        </w:rPr>
        <w:t>[Filed 5/18/05, Notice 3/2/05—published 6/8/05, effective 7/13/05]</w:t>
      </w:r>
    </w:p>
    <w:p>
      <w:pPr>
        <w:spacing w:before="0" w:after="0"/>
        <w:ind w:left="120"/>
        <w:jc w:val="center"/>
      </w:pPr>
      <w:r>
        <w:rPr>
          <w:rFonts w:ascii="Times New Roman" w:hAnsi="Times New Roman"/>
          <w:b w:val="false"/>
          <w:i w:val="false"/>
          <w:color w:val="000000"/>
          <w:sz w:val="21"/>
        </w:rPr>
        <w:t>[Filed 8/11/06, Notice 6/7/06—published 8/30/06, effective 10/4/06]</w:t>
      </w:r>
    </w:p>
    <w:p>
      <w:pPr>
        <w:spacing w:before="0" w:after="0"/>
        <w:ind w:left="120"/>
        <w:jc w:val="center"/>
      </w:pPr>
      <w:r>
        <w:rPr>
          <w:rFonts w:ascii="Times New Roman" w:hAnsi="Times New Roman"/>
          <w:b w:val="false"/>
          <w:i w:val="false"/>
          <w:color w:val="000000"/>
          <w:sz w:val="21"/>
        </w:rPr>
        <w:t>[Filed ARC 9242C</w:t>
      </w:r>
      <w:r>
        <w:rPr>
          <w:rFonts w:ascii="Times New Roman" w:hAnsi="Times New Roman"/>
          <w:b w:val="false"/>
          <w:i w:val="false"/>
          <w:color w:val="000000"/>
          <w:sz w:val="21"/>
        </w:rPr>
        <w:t xml:space="preserve"> (Notice ARC 8628C,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106.10.pdf" Type="http://schemas.openxmlformats.org/officeDocument/2006/relationships/hyperlink" Id="rId5"/>
    <Relationship TargetMode="External" Target="https://www.legis.iowa.gov/docs/iac/chapter/571.106.pdf" Type="http://schemas.openxmlformats.org/officeDocument/2006/relationships/hyperlink" Id="rId6"/>
    <Relationship TargetMode="External" Target="https://www.legis.iowa.gov/docs/ico/chapter/481A.38.pdf" Type="http://schemas.openxmlformats.org/officeDocument/2006/relationships/hyperlink" Id="rId7"/>
    <Relationship TargetMode="External" Target="https://www.legis.iowa.gov/docs/ico/chapter/481A.39.pdf" Type="http://schemas.openxmlformats.org/officeDocument/2006/relationships/hyperlink" Id="rId8"/>
    <Relationship TargetMode="External" Target="https://www.legis.iowa.gov/docs/ico/chapter/481A.48.pdf" Type="http://schemas.openxmlformats.org/officeDocument/2006/relationships/hyperlink" Id="rId9"/>
    <Relationship TargetMode="External" Target="https://www.legis.iowa.gov/docs/ico/chapter/483A.8.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