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LABORATORY CERTIFICATION </w:t>
      </w:r>
    </w:p>
    <w:p>
      <w:pPr>
        <w:spacing w:before="0" w:after="0"/>
        <w:ind w:left="120"/>
        <w:jc w:val="center"/>
      </w:pPr>
      <w:r>
        <w:rPr>
          <w:rFonts w:ascii="Times New Roman" w:hAnsi="Times New Roman"/>
          <w:b w:val="false"/>
          <w:i w:val="false"/>
          <w:color w:val="000000"/>
          <w:sz w:val="14"/>
        </w:rPr>
        <w:t>[Prior to 4/10/96, see 567—Chapter 42]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pBdr>
          <w:top w:space="10"/>
        </w:pBdr>
        <w:spacing w:before="0" w:after="0"/>
        <w:ind w:left="120"/>
        <w:jc w:val="center"/>
      </w:pPr>
      <w:r>
        <w:rPr>
          <w:rFonts w:ascii="Times New Roman" w:hAnsi="Times New Roman"/>
          <w:b w:val="false"/>
          <w:i w:val="false"/>
          <w:color w:val="000000"/>
          <w:sz w:val="16"/>
        </w:rPr>
        <w:t xml:space="preserve">PART A </w:t>
      </w:r>
    </w:p>
    <w:p>
      <w:pPr>
        <w:pBdr>
          <w:bottom w:space="10"/>
        </w:pBdr>
        <w:spacing w:before="0" w:after="0"/>
        <w:ind w:left="120"/>
        <w:jc w:val="center"/>
      </w:pPr>
      <w:r>
        <w:rPr>
          <w:rFonts w:ascii="Times New Roman" w:hAnsi="Times New Roman"/>
          <w:b w:val="false"/>
          <w:i w:val="false"/>
          <w:color w:val="000000"/>
          <w:sz w:val="16"/>
        </w:rPr>
        <w:t>GENERAL</w:t>
      </w:r>
    </w:p>
    <w:p>
      <w:pPr>
        <w:spacing w:before="0" w:after="0"/>
        <w:ind w:left="120"/>
        <w:jc w:val="both"/>
      </w:pPr>
      <w:r>
        <w:rPr>
          <w:rFonts w:ascii="Times New Roman" w:hAnsi="Times New Roman"/>
          <w:b/>
          <w:i w:val="false"/>
          <w:color w:val="000000"/>
          <w:sz w:val="22"/>
        </w:rPr>
        <w:t>567—83.1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455B.113</w:t>
        </w:r>
      </w:hyperlink>
      <w:r>
        <w:rPr>
          <w:rFonts w:ascii="Times New Roman" w:hAnsi="Times New Roman"/>
          <w:b w:val="false"/>
          <w:i w:val="false"/>
          <w:color w:val="000000"/>
          <w:sz w:val="22"/>
        </w:rPr>
        <w:t xml:space="preserve">, a laboratory certification program is required for laboratories performing analyses of samples that are required to be submitted to the department as a result of Iowa Code provisions, rules, operation permits, or administrative orders. Pursuant to Iowa Code section </w:t>
      </w:r>
      <w:hyperlink r:id="rId6">
        <w:r>
          <w:rPr>
            <w:rStyle w:val="Hyperlink"/>
            <w:rFonts w:ascii="Times New Roman" w:hAnsi="Times New Roman"/>
            <w:b w:val="false"/>
            <w:i w:val="false"/>
            <w:color w:val="000000"/>
            <w:sz w:val="22"/>
          </w:rPr>
          <w:t>455B.114</w:t>
        </w:r>
      </w:hyperlink>
      <w:r>
        <w:rPr>
          <w:rFonts w:ascii="Times New Roman" w:hAnsi="Times New Roman"/>
          <w:b w:val="false"/>
          <w:i w:val="false"/>
          <w:color w:val="000000"/>
          <w:sz w:val="22"/>
        </w:rPr>
        <w:t>, the department may suspend or revoke the certification of a laboratory upon its determination that the laboratory no longer fulfills one or more of the requirements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provide the procedures for laboratories to use to apply for and maintain certification, to establish laboratory certification fees, and to provide the appropriate methods and references for evaluating laboratory competence including the requirements for laboratories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environmental program areas. </w:t>
      </w:r>
      <w:r>
        <w:rPr>
          <w:rFonts w:ascii="Times New Roman" w:hAnsi="Times New Roman"/>
          <w:b w:val="false"/>
          <w:i w:val="false"/>
          <w:color w:val="000000"/>
          <w:sz w:val="22"/>
        </w:rPr>
        <w:t>This chapter applies to the following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supply (drinking water). </w:t>
      </w:r>
      <w:r>
        <w:rPr>
          <w:rFonts w:ascii="Times New Roman" w:hAnsi="Times New Roman"/>
          <w:b w:val="false"/>
          <w:i w:val="false"/>
          <w:color w:val="000000"/>
          <w:sz w:val="22"/>
        </w:rPr>
        <w:t xml:space="preserve">All laboratories conducting drinking water analyses pursuant to 567—Chapters </w:t>
      </w:r>
      <w:hyperlink r:id="rId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tanks. </w:t>
      </w:r>
      <w:r>
        <w:rPr>
          <w:rFonts w:ascii="Times New Roman" w:hAnsi="Times New Roman"/>
          <w:b w:val="false"/>
          <w:i w:val="false"/>
          <w:color w:val="000000"/>
          <w:sz w:val="22"/>
        </w:rPr>
        <w:t xml:space="preserve">All laboratories conducting underground storage tank (UST) analyses for petroleum constituents pursuant to </w:t>
      </w:r>
      <w:hyperlink r:id="rId10">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Routine on-site monitoring conducted by or for UST owners for leak detection or a nonregulatory purpose is excluded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(nonpotable water). </w:t>
      </w:r>
      <w:r>
        <w:rPr>
          <w:rFonts w:ascii="Times New Roman" w:hAnsi="Times New Roman"/>
          <w:b w:val="false"/>
          <w:i w:val="false"/>
          <w:color w:val="000000"/>
          <w:sz w:val="22"/>
        </w:rPr>
        <w:t xml:space="preserve">All laboratories conducting analyses of wastewater, groundwater or sewage sludge (municipal biosolids), or manure pursuant to 567—Chapters </w:t>
      </w:r>
      <w:hyperlink r:id="rId11">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Solid waste and contaminated sites. </w:t>
      </w:r>
      <w:r>
        <w:rPr>
          <w:rFonts w:ascii="Times New Roman" w:hAnsi="Times New Roman"/>
          <w:b w:val="false"/>
          <w:i w:val="false"/>
          <w:color w:val="000000"/>
          <w:sz w:val="22"/>
        </w:rPr>
        <w:t xml:space="preserve">All laboratories conducting analyses of solid waste parameters pursuant to </w:t>
      </w:r>
      <w:hyperlink r:id="rId15">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129</w:t>
        </w:r>
      </w:hyperlink>
      <w:r>
        <w:rPr>
          <w:rFonts w:ascii="Times New Roman" w:hAnsi="Times New Roman"/>
          <w:b w:val="false"/>
          <w:i w:val="false"/>
          <w:color w:val="000000"/>
          <w:sz w:val="22"/>
        </w:rPr>
        <w:t xml:space="preserve">, contaminated site parameters pursuant to 567—Chapters </w:t>
      </w:r>
      <w:hyperlink r:id="rId17">
        <w:r>
          <w:rPr>
            <w:rStyle w:val="Hyperlink"/>
            <w:rFonts w:ascii="Times New Roman" w:hAnsi="Times New Roman"/>
            <w:b w:val="false"/>
            <w:i w:val="false"/>
            <w:color w:val="000000"/>
            <w:sz w:val="22"/>
          </w:rPr>
          <w:t>133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and regulated substances other than petroleum parameters regulated under </w:t>
      </w:r>
      <w:hyperlink r:id="rId1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83.1(4)</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Any parameter that must be analyzed immediately upon sample collection is excluded from the requirements of this chapter. Any samples collected or testing conducted that is not part of the specific monitoring required by the department for regulatory purposes are also excluded from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567—83.2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“Batch” </w:t>
      </w:r>
      <w:r>
        <w:rPr>
          <w:rFonts w:ascii="Times New Roman" w:hAnsi="Times New Roman"/>
          <w:b w:val="false"/>
          <w:i w:val="false"/>
          <w:color w:val="000000"/>
          <w:sz w:val="22"/>
        </w:rPr>
        <w:t>means environmental samples that are prepared, analyzed, or both together with the same process and personnel, using the same lot(s) of reagents. A preparation batch is composed of 1 to 20 environmental samples of the same quality systems matrix (water supply, wastewater, etc.), meeting the above-mentioned criteria and with a maximum time between the start of processing of the first and last sample in the batch to be 24 hours. An analytical batch is composed of prepared environmental samples (extracts, digestates or concentrates) that are analyzed together as a group. An analytical batch can include prepared samples originating from various quality system matrices and can exceed 20 samples. If there is a conflict between this definition and the requirements of an approved method, the more stringent requirements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means a laboratory demonstrates to the satisfaction of the department its ability to consistently produce valid data within the acceptance limits as specified within the department’s requirements for certification and meets the minimum requirements of this chapter and all applicable regulatory requirements. A laboratory may be certified for an analyte, an analytical series, or an environmental program area, except in the UST program area, where certification for individual analytes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“CAR” </w:t>
      </w:r>
      <w:r>
        <w:rPr>
          <w:rFonts w:ascii="Times New Roman" w:hAnsi="Times New Roman"/>
          <w:b w:val="false"/>
          <w:i w:val="false"/>
          <w:color w:val="000000"/>
          <w:sz w:val="22"/>
        </w:rPr>
        <w:t>means documentation that demonstrates a laboratory has satisfied cited deficiencies or deviations.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staff” </w:t>
      </w:r>
      <w:r>
        <w:rPr>
          <w:rFonts w:ascii="Times New Roman" w:hAnsi="Times New Roman"/>
          <w:b w:val="false"/>
          <w:i w:val="false"/>
          <w:color w:val="000000"/>
          <w:sz w:val="22"/>
        </w:rPr>
        <w:t>means an analyst who is the only person at a laboratory performing a particular function or analysis (no backup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“Demonstration of capability”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“DOC” </w:t>
      </w:r>
      <w:r>
        <w:rPr>
          <w:rFonts w:ascii="Times New Roman" w:hAnsi="Times New Roman"/>
          <w:b w:val="false"/>
          <w:i w:val="false"/>
          <w:color w:val="000000"/>
          <w:sz w:val="22"/>
        </w:rPr>
        <w:t>means a procedure used to demonstrate the ability of an analyst to generate acceptable accuracy for each method the analyst performs.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monitoring report-quality assurance”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“DMRQA” </w:t>
      </w:r>
      <w:r>
        <w:rPr>
          <w:rFonts w:ascii="Times New Roman" w:hAnsi="Times New Roman"/>
          <w:b w:val="false"/>
          <w:i w:val="false"/>
          <w:color w:val="000000"/>
          <w:sz w:val="22"/>
        </w:rPr>
        <w:t>means an effluent performance test study regulated by the National Pollutant Discharge Elimination System (NPDES) program and administered by the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program area” </w:t>
      </w:r>
      <w:r>
        <w:rPr>
          <w:rFonts w:ascii="Times New Roman" w:hAnsi="Times New Roman"/>
          <w:b w:val="false"/>
          <w:i w:val="false"/>
          <w:color w:val="000000"/>
          <w:sz w:val="22"/>
        </w:rPr>
        <w:t xml:space="preserve">means the water supply (drinking water) program, underground storage tank program, wastewater program (nonpotable water), or solid waste and contaminated site program pursuant to </w:t>
      </w:r>
      <w:hyperlink r:id="rId20">
        <w:r>
          <w:rPr>
            <w:rStyle w:val="Hyperlink"/>
            <w:rFonts w:ascii="Times New Roman" w:hAnsi="Times New Roman"/>
            <w:b w:val="false"/>
            <w:i w:val="false"/>
            <w:color w:val="000000"/>
            <w:sz w:val="22"/>
          </w:rPr>
          <w:t>83.1(3)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staff” </w:t>
      </w:r>
      <w:r>
        <w:rPr>
          <w:rFonts w:ascii="Times New Roman" w:hAnsi="Times New Roman"/>
          <w:b w:val="false"/>
          <w:i w:val="false"/>
          <w:color w:val="000000"/>
          <w:sz w:val="22"/>
        </w:rPr>
        <w:t>means an analyst who is primarily responsible for a particular analysis/program and handles the administrative or technical tasks associated with the analysis 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time” </w:t>
      </w:r>
      <w:r>
        <w:rPr>
          <w:rFonts w:ascii="Times New Roman" w:hAnsi="Times New Roman"/>
          <w:b w:val="false"/>
          <w:i w:val="false"/>
          <w:color w:val="000000"/>
          <w:sz w:val="22"/>
        </w:rPr>
        <w:t>means the maximum time a sample may be held before beginning of an associated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quantitation”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“LOQ” </w:t>
      </w:r>
      <w:r>
        <w:rPr>
          <w:rFonts w:ascii="Times New Roman" w:hAnsi="Times New Roman"/>
          <w:b w:val="false"/>
          <w:i w:val="false"/>
          <w:color w:val="000000"/>
          <w:sz w:val="22"/>
        </w:rPr>
        <w:t>means the analyte concentration that produces a signal sufficiently stronger than the blank, such that it can be detected with a specified level of uncertainty during routine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 for the Certification of Laboratories Analyzing Environmental Samples for the Iowa Department of Natural Resources” </w:t>
      </w:r>
      <w:r>
        <w:rPr>
          <w:rFonts w:ascii="Times New Roman" w:hAnsi="Times New Roman"/>
          <w:b w:val="false"/>
          <w:i w:val="false"/>
          <w:color w:val="000000"/>
          <w:sz w:val="22"/>
        </w:rPr>
        <w:t>is incorporated by reference in this chapter.</w:t>
      </w:r>
    </w:p>
    <w:p>
      <w:pPr>
        <w:spacing w:before="0" w:after="0"/>
        <w:ind w:left="120"/>
        <w:jc w:val="both"/>
      </w:pPr>
      <w:r>
        <w:rPr>
          <w:rFonts w:ascii="Times New Roman" w:hAnsi="Times New Roman"/>
          <w:b w:val="false"/>
          <w:i w:val="false"/>
          <w:color w:val="000000"/>
          <w:sz w:val="22"/>
        </w:rPr>
        <w:t xml:space="preserve">Chapter </w:t>
      </w:r>
      <w:r>
        <w:rPr>
          <w:rFonts w:ascii="Times New Roman" w:hAnsi="Times New Roman"/>
          <w:b w:val="false"/>
          <w:i w:val="false"/>
          <w:color w:val="000000"/>
          <w:sz w:val="22"/>
        </w:rPr>
        <w:t>1</w:t>
      </w:r>
      <w:r>
        <w:rPr>
          <w:rFonts w:ascii="Times New Roman" w:hAnsi="Times New Roman"/>
          <w:b w:val="false"/>
          <w:i w:val="false"/>
          <w:color w:val="000000"/>
          <w:sz w:val="22"/>
        </w:rPr>
        <w:t xml:space="preserve"> pertains to certification of laboratories analyzing samples of drinking water and incorporates by reference the Manual for the Certification of Laboratories Analyzing Drinking Water, 5th edition, January 2005, EPA document 815-R-05-004; Supplement 1, June 2008, EPA 815-F-08-006; and Supplement 2, November 2012, EPA 815-F-12-006.</w:t>
      </w:r>
    </w:p>
    <w:p>
      <w:pPr>
        <w:spacing w:before="0" w:after="0"/>
        <w:ind w:left="120"/>
        <w:jc w:val="both"/>
      </w:pPr>
      <w:r>
        <w:rPr>
          <w:rFonts w:ascii="Times New Roman" w:hAnsi="Times New Roman"/>
          <w:b w:val="false"/>
          <w:i w:val="false"/>
          <w:color w:val="000000"/>
          <w:sz w:val="22"/>
        </w:rPr>
        <w:t xml:space="preserve">Chapter 2 (2020), pertains to laboratories analyzing samples for the UST program. </w:t>
      </w:r>
    </w:p>
    <w:p>
      <w:pPr>
        <w:spacing w:before="0" w:after="0"/>
        <w:ind w:left="120"/>
        <w:jc w:val="both"/>
      </w:pPr>
      <w:r>
        <w:rPr>
          <w:rFonts w:ascii="Times New Roman" w:hAnsi="Times New Roman"/>
          <w:b w:val="false"/>
          <w:i w:val="false"/>
          <w:color w:val="000000"/>
          <w:sz w:val="22"/>
        </w:rPr>
        <w:t>Chapter 3 (2017), pertains to laboratories analyzing samples for wastewater and sewage sludge disposal programs.</w:t>
      </w:r>
    </w:p>
    <w:p>
      <w:pPr>
        <w:spacing w:before="0" w:after="0"/>
        <w:ind w:left="120"/>
        <w:jc w:val="both"/>
      </w:pPr>
      <w:r>
        <w:rPr>
          <w:rFonts w:ascii="Times New Roman" w:hAnsi="Times New Roman"/>
          <w:b w:val="false"/>
          <w:i w:val="false"/>
          <w:color w:val="000000"/>
          <w:sz w:val="22"/>
        </w:rPr>
        <w:t>Chapter 4 (2017), pertains to laboratories analyzing samples for the solid waste and contaminated site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“Method detection limit”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“MDL” </w:t>
      </w:r>
      <w:r>
        <w:rPr>
          <w:rFonts w:ascii="Times New Roman" w:hAnsi="Times New Roman"/>
          <w:b w:val="false"/>
          <w:i w:val="false"/>
          <w:color w:val="000000"/>
          <w:sz w:val="22"/>
        </w:rPr>
        <w:t>means the minimum concentration of a substance that can be measured and reported with 99 percent confidence that the analyte concentration is greater than zero and is determined from analysis of a sample in a given matrix containing the analyte.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environmental laboratory accreditation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“NELAP” </w:t>
      </w:r>
      <w:r>
        <w:rPr>
          <w:rFonts w:ascii="Times New Roman" w:hAnsi="Times New Roman"/>
          <w:b w:val="false"/>
          <w:i w:val="false"/>
          <w:color w:val="000000"/>
          <w:sz w:val="22"/>
        </w:rPr>
        <w:t>means the third-party accreditation program that is managed by the NELAC Institute (TNI), a 501(c)(3) nonprofit organization, and that is based on consensus standards representing the best professional practices for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assurance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“QA plan” </w:t>
      </w:r>
      <w:r>
        <w:rPr>
          <w:rFonts w:ascii="Times New Roman" w:hAnsi="Times New Roman"/>
          <w:b w:val="false"/>
          <w:i w:val="false"/>
          <w:color w:val="000000"/>
          <w:sz w:val="22"/>
        </w:rPr>
        <w:t>means a document that describes the key elements of laboratory functions that provide quality testing results to the client. The key elements include but are not limited to a description of the laboratory organizational structure and lines of responsibility; sampling requirements, procedures, and locations; sampling handling procedures; calibration procedures and frequencies; procedures for data reduction, validation, and reporting; quality control procedures including type, frequency and acceptance criteria; procedure(s) used to determine data precision and accuracy; corrective action contingencies; and preventative maintenance and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“Proficiency test sample”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“PT sample” </w:t>
      </w:r>
      <w:r>
        <w:rPr>
          <w:rFonts w:ascii="Times New Roman" w:hAnsi="Times New Roman"/>
          <w:b w:val="false"/>
          <w:i w:val="false"/>
          <w:color w:val="000000"/>
          <w:sz w:val="22"/>
        </w:rPr>
        <w:t xml:space="preserve">means a reference sample provided to a laboratory for the purpose of demonstrating that a laboratory can successfully analyze the sample within limits of performance specified by the department. The true value of the concentration of the reference material is unknown to the laboratory at the time of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“provisional status” </w:t>
      </w:r>
      <w:r>
        <w:rPr>
          <w:rFonts w:ascii="Times New Roman" w:hAnsi="Times New Roman"/>
          <w:b w:val="false"/>
          <w:i w:val="false"/>
          <w:color w:val="000000"/>
          <w:sz w:val="22"/>
        </w:rPr>
        <w:t xml:space="preserve">means a laboratory has deficiencies, which must be corrected within the specified time frames in </w:t>
      </w:r>
      <w:hyperlink r:id="rId21">
        <w:r>
          <w:rPr>
            <w:rStyle w:val="Hyperlink"/>
            <w:rFonts w:ascii="Times New Roman" w:hAnsi="Times New Roman"/>
            <w:b w:val="false"/>
            <w:i w:val="false"/>
            <w:color w:val="000000"/>
            <w:sz w:val="22"/>
          </w:rPr>
          <w:t>83.6(3)</w:t>
        </w:r>
      </w:hyperlink>
      <w:r>
        <w:rPr>
          <w:rFonts w:ascii="Times New Roman" w:hAnsi="Times New Roman"/>
          <w:b w:val="false"/>
          <w:i/>
          <w:color w:val="000000"/>
          <w:sz w:val="22"/>
        </w:rPr>
        <w:t>“d,”</w:t>
      </w:r>
      <w:r>
        <w:rPr>
          <w:rFonts w:ascii="Times New Roman" w:hAnsi="Times New Roman"/>
          <w:b w:val="false"/>
          <w:i w:val="false"/>
          <w:color w:val="000000"/>
          <w:sz w:val="22"/>
        </w:rPr>
        <w:t xml:space="preserve"> but demonstrates to the satisfaction of the department its ability to consistently produce valid data within the acceptance limits as specified within the department’s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“Reporting limit” </w:t>
      </w:r>
      <w:r>
        <w:rPr>
          <w:rFonts w:ascii="Times New Roman" w:hAnsi="Times New Roman"/>
          <w:b w:val="false"/>
          <w:i w:val="false"/>
          <w:color w:val="000000"/>
          <w:sz w:val="22"/>
        </w:rPr>
        <w:t>means a value established by the laboratory that is at or above the LOQ consistent with the method and compliance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“Revoked certification” </w:t>
      </w:r>
      <w:r>
        <w:rPr>
          <w:rFonts w:ascii="Times New Roman" w:hAnsi="Times New Roman"/>
          <w:b w:val="false"/>
          <w:i w:val="false"/>
          <w:color w:val="000000"/>
          <w:sz w:val="22"/>
        </w:rPr>
        <w:t xml:space="preserve">means a laboratory no longer fulfills the requirements of this chapter, and certification is revoked by the director upon determination of the director that the laboratory no longer fulfills the requirements for certification (Iowa Code section </w:t>
      </w:r>
      <w:hyperlink r:id="rId22">
        <w:r>
          <w:rPr>
            <w:rStyle w:val="Hyperlink"/>
            <w:rFonts w:ascii="Times New Roman" w:hAnsi="Times New Roman"/>
            <w:b w:val="false"/>
            <w:i w:val="false"/>
            <w:color w:val="000000"/>
            <w:sz w:val="22"/>
          </w:rPr>
          <w:t>455B.114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“Signature authority” </w:t>
      </w:r>
      <w:r>
        <w:rPr>
          <w:rFonts w:ascii="Times New Roman" w:hAnsi="Times New Roman"/>
          <w:b w:val="false"/>
          <w:i w:val="false"/>
          <w:color w:val="000000"/>
          <w:sz w:val="22"/>
        </w:rPr>
        <w:t>means the person with the managerial, educational, and technical experience authorized to sign analytical reports on behalf of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operating procedure”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“SOP” </w:t>
      </w:r>
      <w:r>
        <w:rPr>
          <w:rFonts w:ascii="Times New Roman" w:hAnsi="Times New Roman"/>
          <w:b w:val="false"/>
          <w:i w:val="false"/>
          <w:color w:val="000000"/>
          <w:sz w:val="22"/>
        </w:rPr>
        <w:t>is a set of written instructions that describe, in detail, how to perform a laboratory method or process safely, consistently, and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“SHL” </w:t>
      </w:r>
      <w:r>
        <w:rPr>
          <w:rFonts w:ascii="Times New Roman" w:hAnsi="Times New Roman"/>
          <w:b w:val="false"/>
          <w:i w:val="false"/>
          <w:color w:val="000000"/>
          <w:sz w:val="22"/>
        </w:rPr>
        <w:t>means the State Hygienic Laboratory at the University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“Suspended certification” </w:t>
      </w:r>
      <w:r>
        <w:rPr>
          <w:rFonts w:ascii="Times New Roman" w:hAnsi="Times New Roman"/>
          <w:b w:val="false"/>
          <w:i w:val="false"/>
          <w:color w:val="000000"/>
          <w:sz w:val="22"/>
        </w:rPr>
        <w:t xml:space="preserve">means a temporary suspension of certification for a laboratory, conditional upon meeting the time frames in </w:t>
      </w:r>
      <w:hyperlink r:id="rId23">
        <w:r>
          <w:rPr>
            <w:rStyle w:val="Hyperlink"/>
            <w:rFonts w:ascii="Times New Roman" w:hAnsi="Times New Roman"/>
            <w:b w:val="false"/>
            <w:i w:val="false"/>
            <w:color w:val="000000"/>
            <w:sz w:val="22"/>
          </w:rPr>
          <w:t>83.6(5)</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the correction of the deficiency.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“temporary status” </w:t>
      </w:r>
      <w:r>
        <w:rPr>
          <w:rFonts w:ascii="Times New Roman" w:hAnsi="Times New Roman"/>
          <w:b w:val="false"/>
          <w:i w:val="false"/>
          <w:color w:val="000000"/>
          <w:sz w:val="22"/>
        </w:rPr>
        <w:t>means short-term transitional certification granted to a new laboratory that has no history of generating compliance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“Traceability” </w:t>
      </w:r>
      <w:r>
        <w:rPr>
          <w:rFonts w:ascii="Times New Roman" w:hAnsi="Times New Roman"/>
          <w:b w:val="false"/>
          <w:i w:val="false"/>
          <w:color w:val="000000"/>
          <w:sz w:val="22"/>
        </w:rPr>
        <w:t>means the unbroken chain of events in the process of a sample being collected, received at the laboratory, prepared for analysis, analyzed, data reviewed and reported, and final disposal of the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B</w:t>
      </w:r>
    </w:p>
    <w:p>
      <w:pPr>
        <w:pBdr>
          <w:bottom w:space="10"/>
        </w:pBdr>
        <w:spacing w:before="0" w:after="0"/>
        <w:ind w:left="120"/>
        <w:jc w:val="center"/>
      </w:pPr>
      <w:r>
        <w:rPr>
          <w:rFonts w:ascii="Times New Roman" w:hAnsi="Times New Roman"/>
          <w:b w:val="false"/>
          <w:i w:val="false"/>
          <w:color w:val="000000"/>
          <w:sz w:val="16"/>
        </w:rPr>
        <w:t>CERTIFICATION PROCESS</w:t>
      </w:r>
    </w:p>
    <w:p>
      <w:pPr>
        <w:spacing w:before="0" w:after="0"/>
        <w:ind w:left="120"/>
        <w:jc w:val="both"/>
      </w:pPr>
      <w:r>
        <w:rPr>
          <w:rFonts w:ascii="Times New Roman" w:hAnsi="Times New Roman"/>
          <w:b/>
          <w:i w:val="false"/>
          <w:color w:val="000000"/>
          <w:sz w:val="22"/>
        </w:rPr>
        <w:t>567—83.3</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for laboratory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 xml:space="preserve">Application for laboratory certification shall be made on department form 542-0492 (July 2021) and shall be accompanied by the nonrefundable fee specified in </w:t>
      </w:r>
      <w:hyperlink r:id="rId24">
        <w:r>
          <w:rPr>
            <w:rStyle w:val="Hyperlink"/>
            <w:rFonts w:ascii="Times New Roman" w:hAnsi="Times New Roman"/>
            <w:b w:val="false"/>
            <w:i w:val="false"/>
            <w:color w:val="000000"/>
            <w:sz w:val="22"/>
          </w:rPr>
          <w:t>83.3(2)</w:t>
        </w:r>
      </w:hyperlink>
      <w:r>
        <w:rPr>
          <w:rFonts w:ascii="Times New Roman" w:hAnsi="Times New Roman"/>
          <w:b w:val="false"/>
          <w:i w:val="false"/>
          <w:color w:val="000000"/>
          <w:sz w:val="22"/>
        </w:rPr>
        <w:t>. The application for certification renewal shall be made at least 60 days prior to the certification expiration date. The department may require submission of additional information necessary to evaluate the application. All documentation and fees must be submitted to the department prior to the on-site audit. Failure to submit a complete application may result in denial of the renewal or certificate update.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color w:val="000000"/>
          <w:sz w:val="22"/>
        </w:rPr>
        <w:t xml:space="preserve">Fees and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nonrefundable fee for the administration, completion of on-site laboratory surveys and assessments, and enforcement of laboratory certification requirements shall be paid with the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on-site audit will not be conducted and certification will not be issued until the fees and expenses are paid and all other certification requirements are met. The fee for certification will not be refunded if an on-site audit is not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Out-of-state laboratories will be responsible for paying the expenses of an on-site audit, in addition to the standard certification fee if required, and the department or its agent will bill the out-of-state laboratory directly for the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laboratory’s certification status is changed to provisional or suspended and the period for correcting deficiencies extends beyond the certification period, the laboratory must continue to pay the required fees in order to maintain its certification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fees will be assessed for the following, and the department or its agent will bill the laboratory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laboratory is responsible for paying for any additional on-site audits, at a fee of $300 per audit. An example of this is when an additional on-site audit is required when a laboratory seeks certification for an entirely new set of parameters for which it had previously not been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an on-site audit is required to inspect for deficiencies that the laboratory must correct, the fee is $500 per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laboratory is certified for the same analyte in more than one environmental program area, the laboratory must meet all the applicable certification requirements in addition to the payment of the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the department does not certify calculations. However, it is acceptable to report calculated results to clients and for regulatory reporting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Applicable fees shall be based on the type of analytical service provided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308"/>
        <w:gridCol w:w="5624"/>
        <w:gridCol w:w="2258"/>
      </w:tblGrid>
      <w:tr>
        <w:trPr>
          <w:trHeight w:val="270" w:hRule="atLeast"/>
        </w:trPr>
        <w:tc>
          <w:tcPr>
            <w:tcW w:w="330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ANALYTICAL GROUP</w:t>
            </w:r>
          </w:p>
        </w:tc>
        <w:tc>
          <w:tcPr>
            <w:tcW w:w="56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REGULATORY PROGRAM &amp; PARAMETERS</w:t>
            </w:r>
            <w:r>
              <w:rPr>
                <w:rFonts w:ascii="Times New Roman" w:hAnsi="Times New Roman"/>
                <w:b w:val="false"/>
                <w:i w:val="false"/>
                <w:color w:val="000000"/>
                <w:sz w:val="18"/>
                <w:vertAlign w:val="superscript"/>
              </w:rPr>
              <w:t>1</w:t>
            </w:r>
          </w:p>
        </w:tc>
        <w:tc>
          <w:tcPr>
            <w:tcW w:w="225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FEE</w:t>
            </w:r>
          </w:p>
        </w:tc>
      </w:tr>
      <w:tr>
        <w:trPr>
          <w:trHeight w:val="240"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Asbestos</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40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Basic Drinking Water</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SDWA (includes total coliform bacteria, </w:t>
            </w:r>
            <w:r>
              <w:rPr>
                <w:rFonts w:ascii="Times New Roman" w:hAnsi="Times New Roman"/>
                <w:b w:val="false"/>
                <w:i/>
                <w:color w:val="000000"/>
                <w:sz w:val="16"/>
              </w:rPr>
              <w:t>E. coli</w:t>
            </w:r>
            <w:r>
              <w:rPr>
                <w:rFonts w:ascii="Times New Roman" w:hAnsi="Times New Roman"/>
                <w:b w:val="false"/>
                <w:i w:val="false"/>
                <w:color w:val="000000"/>
                <w:sz w:val="16"/>
              </w:rPr>
              <w:t>, heterotrophic plate count, nitrate, nitrite, &amp; fluoride)</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28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Basic Wastewater</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(includes BOD</w:t>
            </w:r>
            <w:r>
              <w:rPr>
                <w:rFonts w:ascii="Times New Roman" w:hAnsi="Times New Roman"/>
                <w:b w:val="false"/>
                <w:i w:val="false"/>
                <w:color w:val="000000"/>
                <w:sz w:val="18"/>
                <w:vertAlign w:val="subscript"/>
              </w:rPr>
              <w:t>5</w:t>
            </w:r>
            <w:r>
              <w:rPr>
                <w:rFonts w:ascii="Times New Roman" w:hAnsi="Times New Roman"/>
                <w:b w:val="false"/>
                <w:i w:val="false"/>
                <w:color w:val="000000"/>
                <w:sz w:val="16"/>
              </w:rPr>
              <w:t>, CBOD</w:t>
            </w:r>
            <w:r>
              <w:rPr>
                <w:rFonts w:ascii="Times New Roman" w:hAnsi="Times New Roman"/>
                <w:b w:val="false"/>
                <w:i w:val="false"/>
                <w:color w:val="000000"/>
                <w:sz w:val="18"/>
                <w:vertAlign w:val="subscript"/>
              </w:rPr>
              <w:t>5</w:t>
            </w:r>
            <w:r>
              <w:rPr>
                <w:rFonts w:ascii="Times New Roman" w:hAnsi="Times New Roman"/>
                <w:b w:val="false"/>
                <w:i w:val="false"/>
                <w:color w:val="000000"/>
                <w:sz w:val="16"/>
              </w:rPr>
              <w:t>, TSS, &amp; ammonia)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Bacteria</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CWA (includes total coliform, fecal coliform, and </w:t>
            </w:r>
            <w:r>
              <w:rPr>
                <w:rFonts w:ascii="Times New Roman" w:hAnsi="Times New Roman"/>
                <w:b w:val="false"/>
                <w:i/>
                <w:color w:val="000000"/>
                <w:sz w:val="16"/>
              </w:rPr>
              <w:t>E. coli</w:t>
            </w:r>
            <w:r>
              <w:rPr>
                <w:rFonts w:ascii="Times New Roman" w:hAnsi="Times New Roman"/>
                <w:b w:val="false"/>
                <w:i w:val="false"/>
                <w:color w:val="000000"/>
                <w:sz w:val="16"/>
              </w:rPr>
              <w:t>)</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(basic drinking water) &amp; CWA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$1,300</w:t>
            </w:r>
          </w:p>
        </w:tc>
      </w:tr>
      <w:tr>
        <w:trPr>
          <w:trHeight w:val="22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Dioxin</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22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Effluent Toxicity Testing</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40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Inorganics, including metals</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metals, inorganic compounds, and physical characteristics ($400 per analyte up to a maximum of $1,600)</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to 1,600</w:t>
            </w:r>
          </w:p>
        </w:tc>
      </w:tr>
      <w:tr>
        <w:trPr>
          <w:trHeight w:val="58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(includes metals, ammonia, cyanide, fluoride, bromate, bromide, chlorite, total organic carbon &amp; other inorganic chemicals)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SW/CS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SDWA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SDWA, and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Radionuclides</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40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(includes gross alpha, gross beta, photon emitters, radium, strontium, tritium, &amp; uranium)</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&amp; CWA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Synthetic Organic Chemicals (SOC)</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SW/CS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SDWA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SDWA,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Volatile Organic Chemicals (VOC)</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SW/CS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SDWA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SDWA,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Underground Storage Tank Program Methods (UST)</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OA1 &amp; OA2 for UST, CWA, &amp; SW/CS programs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OA1, OA2, &amp; Air Gas for UST, CWA, &amp; SW/CS programs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r>
      <w:tr>
        <w:trPr>
          <w:trHeight w:val="405" w:hRule="atLeast"/>
        </w:trPr>
        <w:tc>
          <w:tcPr>
            <w:tcW w:w="33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analytes not included in the above categories</w:t>
            </w:r>
          </w:p>
        </w:tc>
        <w:tc>
          <w:tcPr>
            <w:tcW w:w="56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CWA, UST, or SW/CS</w:t>
            </w:r>
          </w:p>
        </w:tc>
        <w:tc>
          <w:tcPr>
            <w:tcW w:w="22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per analyte</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CWA: Analysis of wastewater samples for the federal Clean Water Act.</w:t>
      </w:r>
    </w:p>
    <w:p>
      <w:pPr>
        <w:spacing w:before="0" w:after="0"/>
        <w:ind w:left="120"/>
        <w:jc w:val="both"/>
      </w:pPr>
      <w:r>
        <w:rPr>
          <w:rFonts w:ascii="Times New Roman" w:hAnsi="Times New Roman"/>
          <w:b w:val="false"/>
          <w:i w:val="false"/>
          <w:color w:val="000000"/>
          <w:sz w:val="16"/>
        </w:rPr>
        <w:t>SDWA: Analysis of drinking water samples for the federal Safe Drinking Water Act.</w:t>
      </w:r>
    </w:p>
    <w:p>
      <w:pPr>
        <w:spacing w:before="0" w:after="0"/>
        <w:ind w:left="120"/>
        <w:jc w:val="both"/>
      </w:pPr>
      <w:r>
        <w:rPr>
          <w:rFonts w:ascii="Times New Roman" w:hAnsi="Times New Roman"/>
          <w:b w:val="false"/>
          <w:i w:val="false"/>
          <w:color w:val="000000"/>
          <w:sz w:val="16"/>
        </w:rPr>
        <w:t>SW/CS: Analysis of water, soil, or solid samples for the solid waste or contaminated sites programs.</w:t>
      </w:r>
    </w:p>
    <w:p>
      <w:pPr>
        <w:spacing w:before="0" w:after="0"/>
        <w:ind w:left="120"/>
        <w:jc w:val="both"/>
      </w:pPr>
      <w:r>
        <w:rPr>
          <w:rFonts w:ascii="Times New Roman" w:hAnsi="Times New Roman"/>
          <w:b w:val="false"/>
          <w:i w:val="false"/>
          <w:color w:val="000000"/>
          <w:sz w:val="16"/>
        </w:rPr>
        <w:t>UST: Analysis of water and soil samples for the underground storage tank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shall be paid by cashier’s check, check, money order, credit card, electronic payment, or other means acceptable to the department, made payable to the Iowa department of natural resources laboratory certification program. Credit card or electronic payment may incur an additional fee. Purchase orders are not an acceptable form of payment. The fee shall be paid at least 60 days prior to the expiration date of any certification held by a laboratory. If a laboratory does not submit the application and fee by the expiration date, the laboratory is prohibited from conducting certified analytical tests until the application and fee are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Reciprocal certification of out-of-state laboratories by Iowa, and of Iowa laboratories by other states, is allowed. If the reciprocal state has a certification program for the area the lab is applying for in Iowa, the laboratory is required to obtain certification from their reciprocal state prior to receiving certification from Iowa. A laboratory must meet all Iowa certification criteria and pay all applicable fees as listed in this chapter. Any laboratory that is granted reciprocal certification in Iowa using primary certification from another state or provider is required to report any change in certification status from the accrediting state or provider to the department within 15 days of notification. A copy of the assessment report including the laboratory’s approved corrective actions must be submitted to the department within 15 days after it is approved by the resident state or third-party accreditation provider. A laboratory that loses primary certification, either in its resident state program or third-party accreditation program, will also immediately lose certification for the same program area and parameters in Iowa, pursuant to </w:t>
      </w:r>
      <w:hyperlink r:id="rId25">
        <w:r>
          <w:rPr>
            <w:rStyle w:val="Hyperlink"/>
            <w:rFonts w:ascii="Times New Roman" w:hAnsi="Times New Roman"/>
            <w:b w:val="false"/>
            <w:i w:val="false"/>
            <w:color w:val="000000"/>
            <w:sz w:val="22"/>
          </w:rPr>
          <w:t>83.6(6)</w:t>
        </w:r>
      </w:hyperlink>
      <w:r>
        <w:rPr>
          <w:rFonts w:ascii="Times New Roman" w:hAnsi="Times New Roman"/>
          <w:b w:val="false"/>
          <w:i/>
          <w:color w:val="000000"/>
          <w:sz w:val="22"/>
        </w:rPr>
        <w:t>“a”</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Out-of-state laboratories. </w:t>
      </w:r>
      <w:r>
        <w:rPr>
          <w:rFonts w:ascii="Times New Roman" w:hAnsi="Times New Roman"/>
          <w:b w:val="false"/>
          <w:i w:val="false"/>
          <w:color w:val="000000"/>
          <w:sz w:val="22"/>
        </w:rPr>
        <w:t>Where an out-of-state laboratory has received an on-site audit within its own state, the fee for certification shall not be reduced if an on-site audit is not performed by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Third-party accreditation. </w:t>
      </w:r>
      <w:r>
        <w:rPr>
          <w:rFonts w:ascii="Times New Roman" w:hAnsi="Times New Roman"/>
          <w:b w:val="false"/>
          <w:i w:val="false"/>
          <w:color w:val="000000"/>
          <w:sz w:val="22"/>
        </w:rPr>
        <w:t>The department will accept third-party accreditation from a state NELAP accreditation authority. The laboratory must provide the most recent on-site assessment and approved corrective action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567—83.4</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Procedures for new laboratory certification or changes in certification. </w:t>
      </w:r>
      <w:r>
        <w:rPr>
          <w:rFonts w:ascii="Times New Roman" w:hAnsi="Times New Roman"/>
          <w:b w:val="false"/>
          <w:i w:val="false"/>
          <w:color w:val="000000"/>
          <w:sz w:val="22"/>
        </w:rPr>
        <w:t xml:space="preserve">Laboratories that wish to become certified to conduct testing for an analyte or a method after the deadline for initial certification has passed, and any laboratory seeking initial certification, shall follow the procedures specified in rule </w:t>
      </w:r>
      <w:hyperlink r:id="rId26">
        <w:r>
          <w:rPr>
            <w:rStyle w:val="Hyperlink"/>
            <w:rFonts w:ascii="Times New Roman" w:hAnsi="Times New Roman"/>
            <w:b w:val="false"/>
            <w:i w:val="false"/>
            <w:color w:val="000000"/>
            <w:sz w:val="22"/>
          </w:rPr>
          <w:t>567—83.5</w:t>
        </w:r>
      </w:hyperlink>
      <w:r>
        <w:rPr>
          <w:rFonts w:ascii="Times New Roman" w:hAnsi="Times New Roman"/>
          <w:b w:val="false"/>
          <w:i w:val="false"/>
          <w:color w:val="000000"/>
          <w:sz w:val="22"/>
        </w:rPr>
        <w:t>(455B) for laboratory recertification. For changes in certification, the relevant fee must accompany the application where appropriate. New laboratories with no history of generating compliance data in any program area will be issued a temporary certification for a period of up to six months after the initial on-site audit. The laboratory may be re-audited in person or a document review may be conducted at the discretion of the SHL auditor(s).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567—83.5</w:t>
      </w:r>
      <w:r>
        <w:rPr>
          <w:rFonts w:ascii="Times New Roman" w:hAnsi="Times New Roman"/>
          <w:b/>
          <w:i w:val="false"/>
          <w:color w:val="000000"/>
          <w:sz w:val="22"/>
        </w:rPr>
        <w:t xml:space="preserve">(455B) </w:t>
      </w:r>
      <w:r>
        <w:rPr>
          <w:rFonts w:ascii="Times New Roman" w:hAnsi="Times New Roman"/>
          <w:b/>
          <w:i w:val="false"/>
          <w:color w:val="000000"/>
          <w:sz w:val="22"/>
        </w:rPr>
        <w:t xml:space="preserve">Laboratory recertification. </w:t>
      </w:r>
      <w:r>
        <w:rPr>
          <w:rFonts w:ascii="Times New Roman" w:hAnsi="Times New Roman"/>
          <w:b w:val="false"/>
          <w:i w:val="false"/>
          <w:color w:val="000000"/>
          <w:sz w:val="22"/>
        </w:rPr>
        <w:t xml:space="preserve">Laboratories shall be recertified every two years after initial certification. Applications for recertification must be on department form 542-0492 (June 2021) and must be submitted at least 60 days prior to the renewal date. Applications shall be accompanied by the nonrefundable fee specified in </w:t>
      </w:r>
      <w:hyperlink r:id="rId27">
        <w:r>
          <w:rPr>
            <w:rStyle w:val="Hyperlink"/>
            <w:rFonts w:ascii="Times New Roman" w:hAnsi="Times New Roman"/>
            <w:b w:val="false"/>
            <w:i w:val="false"/>
            <w:color w:val="000000"/>
            <w:sz w:val="22"/>
          </w:rPr>
          <w:t>83.3(2)</w:t>
        </w:r>
      </w:hyperlink>
      <w:r>
        <w:rPr>
          <w:rFonts w:ascii="Times New Roman" w:hAnsi="Times New Roman"/>
          <w:b w:val="false"/>
          <w:i w:val="false"/>
          <w:color w:val="000000"/>
          <w:sz w:val="22"/>
        </w:rPr>
        <w:t>. To be recertified, laboratories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w:t>
      </w:r>
      <w:r>
        <w:rPr>
          <w:rFonts w:ascii="Times New Roman" w:hAnsi="Times New Roman"/>
          <w:b w:val="false"/>
          <w:i w:val="false"/>
          <w:color w:val="000000"/>
          <w:sz w:val="22"/>
        </w:rPr>
        <w:t> </w:t>
      </w:r>
      <w:r>
        <w:rPr>
          <w:rFonts w:ascii="Times New Roman" w:hAnsi="Times New Roman"/>
          <w:b w:val="false"/>
          <w:i/>
          <w:color w:val="000000"/>
          <w:sz w:val="22"/>
        </w:rPr>
        <w:t xml:space="preserve">Approved methodology. </w:t>
      </w:r>
      <w:r>
        <w:rPr>
          <w:rFonts w:ascii="Times New Roman" w:hAnsi="Times New Roman"/>
          <w:b w:val="false"/>
          <w:i w:val="false"/>
          <w:color w:val="000000"/>
          <w:sz w:val="22"/>
        </w:rPr>
        <w:t>Laboratories must use methods promulgated or approved by the EPA or by the department. Notwithstanding an approval by the EPA, the department may use discretion in determining which methods may be used in Iowa. A laboratory may not analyze and report data from samples collected for an environmental program area until certified in that area. The laboratory shall submit supporting documentation such as calibration curves, MDL studies, LOQs, or other information upon request. The following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Drinking Water </w:t>
      </w:r>
      <w:r>
        <w:rPr>
          <w:rFonts w:ascii="Times New Roman" w:hAnsi="Times New Roman"/>
          <w:b w:val="false"/>
          <w:i w:val="false"/>
          <w:color w:val="000000"/>
          <w:sz w:val="22"/>
        </w:rPr>
        <w:t xml:space="preserve">– </w:t>
      </w:r>
      <w:r>
        <w:rPr>
          <w:rFonts w:ascii="Times New Roman" w:hAnsi="Times New Roman"/>
          <w:b w:val="false"/>
          <w:i w:val="false"/>
          <w:color w:val="000000"/>
          <w:sz w:val="22"/>
        </w:rPr>
        <w:t>40 CFR Part 141</w:t>
      </w:r>
      <w:r>
        <w:rPr>
          <w:rFonts w:ascii="Times New Roman" w:hAnsi="Times New Roman"/>
          <w:b w:val="false"/>
          <w:i w:val="false"/>
          <w:color w:val="000000"/>
          <w:sz w:val="22"/>
        </w:rPr>
        <w:t xml:space="preserve"> Subpart C (Monitoring and Analytical Requirements) as amended February 5, 2024; </w:t>
      </w:r>
      <w:r>
        <w:rPr>
          <w:rFonts w:ascii="Times New Roman" w:hAnsi="Times New Roman"/>
          <w:b w:val="false"/>
          <w:i w:val="false"/>
          <w:color w:val="000000"/>
          <w:sz w:val="22"/>
        </w:rPr>
        <w:t>40 CFR §141.74</w:t>
      </w:r>
      <w:r>
        <w:rPr>
          <w:rFonts w:ascii="Times New Roman" w:hAnsi="Times New Roman"/>
          <w:b w:val="false"/>
          <w:i w:val="false"/>
          <w:color w:val="000000"/>
          <w:sz w:val="22"/>
        </w:rPr>
        <w:t xml:space="preserve"> (Filtration and Disinfection) as amended February 13, 2013; </w:t>
      </w:r>
      <w:r>
        <w:rPr>
          <w:rFonts w:ascii="Times New Roman" w:hAnsi="Times New Roman"/>
          <w:b w:val="false"/>
          <w:i w:val="false"/>
          <w:color w:val="000000"/>
          <w:sz w:val="22"/>
        </w:rPr>
        <w:t>40 CFR §141.89</w:t>
      </w:r>
      <w:r>
        <w:rPr>
          <w:rFonts w:ascii="Times New Roman" w:hAnsi="Times New Roman"/>
          <w:b w:val="false"/>
          <w:i w:val="false"/>
          <w:color w:val="000000"/>
          <w:sz w:val="22"/>
        </w:rPr>
        <w:t xml:space="preserve"> (Control of Lead and Copper) as amended January 15, 2021; </w:t>
      </w:r>
      <w:r>
        <w:rPr>
          <w:rFonts w:ascii="Times New Roman" w:hAnsi="Times New Roman"/>
          <w:b w:val="false"/>
          <w:i w:val="false"/>
          <w:color w:val="000000"/>
          <w:sz w:val="22"/>
        </w:rPr>
        <w:t>40 CFR §141.131</w:t>
      </w:r>
      <w:r>
        <w:rPr>
          <w:rFonts w:ascii="Times New Roman" w:hAnsi="Times New Roman"/>
          <w:b w:val="false"/>
          <w:i w:val="false"/>
          <w:color w:val="000000"/>
          <w:sz w:val="22"/>
        </w:rPr>
        <w:t xml:space="preserve"> (Disinfection By-Products) as amended February 13, 2013; </w:t>
      </w:r>
      <w:r>
        <w:rPr>
          <w:rFonts w:ascii="Times New Roman" w:hAnsi="Times New Roman"/>
          <w:b w:val="false"/>
          <w:i w:val="false"/>
          <w:color w:val="000000"/>
          <w:sz w:val="22"/>
        </w:rPr>
        <w:t>40 CFR §141.402</w:t>
      </w:r>
      <w:r>
        <w:rPr>
          <w:rFonts w:ascii="Times New Roman" w:hAnsi="Times New Roman"/>
          <w:b w:val="false"/>
          <w:i w:val="false"/>
          <w:color w:val="000000"/>
          <w:sz w:val="22"/>
        </w:rPr>
        <w:t xml:space="preserve"> (Groundwater Rule) as amended February 13, 2013; </w:t>
      </w:r>
      <w:r>
        <w:rPr>
          <w:rFonts w:ascii="Times New Roman" w:hAnsi="Times New Roman"/>
          <w:b w:val="false"/>
          <w:i w:val="false"/>
          <w:color w:val="000000"/>
          <w:sz w:val="22"/>
        </w:rPr>
        <w:t>40 CFR §141.704</w:t>
      </w:r>
      <w:r>
        <w:rPr>
          <w:rFonts w:ascii="Times New Roman" w:hAnsi="Times New Roman"/>
          <w:b w:val="false"/>
          <w:i w:val="false"/>
          <w:color w:val="000000"/>
          <w:sz w:val="22"/>
        </w:rPr>
        <w:t xml:space="preserve"> (Enhanced Treatment for Cryptosporidium) as amended June 29, 2009; </w:t>
      </w:r>
      <w:r>
        <w:rPr>
          <w:rFonts w:ascii="Times New Roman" w:hAnsi="Times New Roman"/>
          <w:b w:val="false"/>
          <w:i w:val="false"/>
          <w:color w:val="000000"/>
          <w:sz w:val="22"/>
        </w:rPr>
        <w:t>40 CFR §141.852</w:t>
      </w:r>
      <w:r>
        <w:rPr>
          <w:rFonts w:ascii="Times New Roman" w:hAnsi="Times New Roman"/>
          <w:b w:val="false"/>
          <w:i w:val="false"/>
          <w:color w:val="000000"/>
          <w:sz w:val="22"/>
        </w:rPr>
        <w:t xml:space="preserve"> (Revised TCR) as amended February 26, 2014; </w:t>
      </w:r>
      <w:r>
        <w:rPr>
          <w:rFonts w:ascii="Times New Roman" w:hAnsi="Times New Roman"/>
          <w:b w:val="false"/>
          <w:i w:val="false"/>
          <w:color w:val="000000"/>
          <w:sz w:val="22"/>
        </w:rPr>
        <w:t>40 CFR Part 901</w:t>
      </w:r>
      <w:r>
        <w:rPr>
          <w:rFonts w:ascii="Times New Roman" w:hAnsi="Times New Roman"/>
          <w:b w:val="false"/>
          <w:i w:val="false"/>
          <w:color w:val="000000"/>
          <w:sz w:val="22"/>
        </w:rPr>
        <w:t xml:space="preserve"> (PFAS) as amended through June 25, 2024; </w:t>
      </w:r>
      <w:r>
        <w:rPr>
          <w:rFonts w:ascii="Times New Roman" w:hAnsi="Times New Roman"/>
          <w:b w:val="false"/>
          <w:i w:val="false"/>
          <w:color w:val="000000"/>
          <w:sz w:val="22"/>
        </w:rPr>
        <w:t>40 CFR §143.4</w:t>
      </w:r>
      <w:r>
        <w:rPr>
          <w:rFonts w:ascii="Times New Roman" w:hAnsi="Times New Roman"/>
          <w:b w:val="false"/>
          <w:i w:val="false"/>
          <w:color w:val="000000"/>
          <w:sz w:val="22"/>
        </w:rPr>
        <w:t xml:space="preserve"> (Secondary Regulations) as amended June 29,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(nonpotable water) </w:t>
      </w:r>
      <w:r>
        <w:rPr>
          <w:rFonts w:ascii="Times New Roman" w:hAnsi="Times New Roman"/>
          <w:b w:val="false"/>
          <w:i w:val="false"/>
          <w:color w:val="000000"/>
          <w:sz w:val="22"/>
        </w:rPr>
        <w:t xml:space="preserve">– </w:t>
      </w:r>
      <w:r>
        <w:rPr>
          <w:rFonts w:ascii="Times New Roman" w:hAnsi="Times New Roman"/>
          <w:b w:val="false"/>
          <w:i w:val="false"/>
          <w:color w:val="000000"/>
          <w:sz w:val="22"/>
        </w:rPr>
        <w:t>40 CFR Part 136</w:t>
      </w:r>
      <w:r>
        <w:rPr>
          <w:rFonts w:ascii="Times New Roman" w:hAnsi="Times New Roman"/>
          <w:b w:val="false"/>
          <w:i w:val="false"/>
          <w:color w:val="000000"/>
          <w:sz w:val="22"/>
        </w:rPr>
        <w:t>, June 17,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Municipal biosolids (sewage sludge) </w:t>
      </w:r>
      <w:r>
        <w:rPr>
          <w:rFonts w:ascii="Times New Roman" w:hAnsi="Times New Roman"/>
          <w:b w:val="false"/>
          <w:i w:val="false"/>
          <w:color w:val="000000"/>
          <w:sz w:val="22"/>
        </w:rPr>
        <w:t xml:space="preserve">– </w:t>
      </w:r>
      <w:r>
        <w:rPr>
          <w:rFonts w:ascii="Times New Roman" w:hAnsi="Times New Roman"/>
          <w:b w:val="false"/>
          <w:i w:val="false"/>
          <w:color w:val="000000"/>
          <w:sz w:val="22"/>
        </w:rPr>
        <w:t>40 CFR Part 136</w:t>
      </w:r>
      <w:r>
        <w:rPr>
          <w:rFonts w:ascii="Times New Roman" w:hAnsi="Times New Roman"/>
          <w:b w:val="false"/>
          <w:i w:val="false"/>
          <w:color w:val="000000"/>
          <w:sz w:val="22"/>
        </w:rPr>
        <w:t>, as amended June 17, 2024, and Test Methods for Evaluating Solid Waste: Physical/Chemical Methods (SW-846 Update VII) as amended July 30,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Solid waste and contaminated sites </w:t>
      </w:r>
      <w:r>
        <w:rPr>
          <w:rFonts w:ascii="Times New Roman" w:hAnsi="Times New Roman"/>
          <w:b w:val="false"/>
          <w:i w:val="false"/>
          <w:color w:val="000000"/>
          <w:sz w:val="22"/>
        </w:rPr>
        <w:t>– Test Methods for Evaluating Solid Waste: Physical/Chemical Methods (SW-846 Update VII) as amended July 30,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tanks </w:t>
      </w:r>
      <w:r>
        <w:rPr>
          <w:rFonts w:ascii="Times New Roman" w:hAnsi="Times New Roman"/>
          <w:b w:val="false"/>
          <w:i w:val="false"/>
          <w:color w:val="000000"/>
          <w:sz w:val="22"/>
        </w:rPr>
        <w:t>– Iowa Methods OA-1 and OA-2, December 10, 2019, and EPA method 8260 – Test Methods for Evaluating Solid Waste: Physical/Chemical Methods (SW-846 Update VII) as amended July 30,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83.5(2)</w:t>
      </w:r>
      <w:r>
        <w:rPr>
          <w:rFonts w:ascii="Times New Roman" w:hAnsi="Times New Roman"/>
          <w:b w:val="false"/>
          <w:i w:val="false"/>
          <w:color w:val="000000"/>
          <w:sz w:val="22"/>
        </w:rPr>
        <w:t> </w:t>
      </w:r>
      <w:r>
        <w:rPr>
          <w:rFonts w:ascii="Times New Roman" w:hAnsi="Times New Roman"/>
          <w:b w:val="false"/>
          <w:i/>
          <w:color w:val="000000"/>
          <w:sz w:val="22"/>
        </w:rPr>
        <w:t xml:space="preserve">Proficiency testing samples. </w:t>
      </w:r>
      <w:r>
        <w:rPr>
          <w:rFonts w:ascii="Times New Roman" w:hAnsi="Times New Roman"/>
          <w:b w:val="false"/>
          <w:i w:val="false"/>
          <w:color w:val="000000"/>
          <w:sz w:val="22"/>
        </w:rPr>
        <w:t xml:space="preserve">Certified laboratories must satisfactorily analyze PTs at least once every 12 months for each analyte by each method in each program area for which the laboratory intends to retain certification unless a PT sample is not available for the particular analyte, method, or program area. Results must be submitted electronically by the PT provider to the department at </w:t>
      </w:r>
      <w:hyperlink r:id="rId28">
        <w:r>
          <w:rPr>
            <w:rStyle w:val="Hyperlink"/>
            <w:rFonts w:ascii="Times New Roman" w:hAnsi="Times New Roman"/>
            <w:b w:val="false"/>
            <w:i w:val="false"/>
            <w:color w:val="000000"/>
            <w:sz w:val="22"/>
            <w:u w:val="single"/>
          </w:rPr>
          <w:t>labcert@dnr.iowa.gov</w:t>
        </w:r>
      </w:hyperlink>
      <w:r>
        <w:rPr>
          <w:rFonts w:ascii="Times New Roman" w:hAnsi="Times New Roman"/>
          <w:b w:val="false"/>
          <w:i w:val="false"/>
          <w:color w:val="000000"/>
          <w:sz w:val="22"/>
        </w:rPr>
        <w:t xml:space="preserve"> along with a statement of the method used once the study is published. The laboratory must maintain records of all PT samples including summary pages, explanations, and footnotes, pursuant to the recordkeeping requirements in </w:t>
      </w:r>
      <w:hyperlink r:id="rId29">
        <w:r>
          <w:rPr>
            <w:rStyle w:val="Hyperlink"/>
            <w:rFonts w:ascii="Times New Roman" w:hAnsi="Times New Roman"/>
            <w:b w:val="false"/>
            <w:i w:val="false"/>
            <w:color w:val="000000"/>
            <w:sz w:val="22"/>
          </w:rPr>
          <w:t>83.5(8)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Test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PT samples shall be analyzed in accordance with the laboratory’s routine standard operating procedures using the same quality control, acceptance criteria, and staff as used for the analysis of routine environmental samples. PT samples may not be analyzed multiple times for the purpose of averaging results to be reported to the PT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PT sample shall be analyzed by a different analyst(s) or analytical team in following years, if there are multiple analysts in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the results of a PT sample are submitted to the PT provider, remaining PT samples may be used as check samples or for demonstration of capability of analysts.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Laboratories that receive unacceptable PT result(s) shall notify the department within 10 days of the unacceptable result(s). This does not include the required corrective action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testing providers and acceptance limits. </w:t>
      </w:r>
      <w:r>
        <w:rPr>
          <w:rFonts w:ascii="Times New Roman" w:hAnsi="Times New Roman"/>
          <w:b w:val="false"/>
          <w:i w:val="false"/>
          <w:color w:val="000000"/>
          <w:sz w:val="22"/>
        </w:rPr>
        <w:t xml:space="preserve">All PT samples must be obtained from a NELAP accredited provider. Performance test results shall be evaluated using criteria from NELAP field of proficiency tables except where noted otherwise. If there is a difference between the NELAP field of proficiency tables and federal rules, the rules shall prevail. Approved PT vendors and fields of proficiency tables may be found at </w:t>
      </w:r>
      <w:hyperlink r:id="rId30">
        <w:r>
          <w:rPr>
            <w:rStyle w:val="Hyperlink"/>
            <w:rFonts w:ascii="Times New Roman" w:hAnsi="Times New Roman"/>
            <w:b w:val="false"/>
            <w:i w:val="false"/>
            <w:color w:val="000000"/>
            <w:sz w:val="22"/>
            <w:u w:val="single"/>
          </w:rPr>
          <w:t>nelac-institute.org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major changes. </w:t>
      </w:r>
      <w:r>
        <w:rPr>
          <w:rFonts w:ascii="Times New Roman" w:hAnsi="Times New Roman"/>
          <w:b w:val="false"/>
          <w:i w:val="false"/>
          <w:color w:val="000000"/>
          <w:sz w:val="22"/>
        </w:rPr>
        <w:t>Laboratories must notify the department, in writing, of major changes in critical or essential personnel, equipment, laboratory location, or other major change that might alter or impair analytical capability. The department may issue a notice of violation based on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Major equipment. </w:t>
      </w:r>
      <w:r>
        <w:rPr>
          <w:rFonts w:ascii="Times New Roman" w:hAnsi="Times New Roman"/>
          <w:b w:val="false"/>
          <w:i w:val="false"/>
          <w:color w:val="000000"/>
          <w:sz w:val="22"/>
        </w:rPr>
        <w:t>Laboratories must notify the department 90 days, whenever possible, prior to installation of major equipment when the technology is not currently being utilized by the laboratory. This includes, but is not limited to, inductively coupled plasma spectrophotometers, mass spectrometers, gas chromatographs, liquid chromatographs, and continuous spectrophotometers. The installation of a new water bath or incubator does not need to be reported. If requested, the laboratory must submit the DOC to the department for review and approval prior to reporting compliance data using the new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Laboratory relocation. </w:t>
      </w:r>
      <w:r>
        <w:rPr>
          <w:rFonts w:ascii="Times New Roman" w:hAnsi="Times New Roman"/>
          <w:b w:val="false"/>
          <w:i w:val="false"/>
          <w:color w:val="000000"/>
          <w:sz w:val="22"/>
        </w:rPr>
        <w:t>Laboratories must notify the department 90 days prior to a laboratory relocation. Laboratories must complete a DOC for each major piece of equipment once it has been relocated to the new laboratory. If requested, the laboratory must submit the DOC to the department for review and approval prior to reporting compliance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Personnel changes. </w:t>
      </w:r>
      <w:r>
        <w:rPr>
          <w:rFonts w:ascii="Times New Roman" w:hAnsi="Times New Roman"/>
          <w:b w:val="false"/>
          <w:i w:val="false"/>
          <w:color w:val="000000"/>
          <w:sz w:val="22"/>
        </w:rPr>
        <w:t>Laboratories must notify the department 30 days prior to, whenever possible, but in no circumstance later than ten days after, the departure of critical or essential personnel. If requested, a DOC must be submitted to the department before the laboratory may report environmental data. DOC records for all staff must be maintained on file for review by an auditor. The loss of a critical staff person means the lab will not be able to analyze samples and must subcontract samples for a specific method(s) or program area(s) until another person is hired to perform the particular function or analysis and has completed an initial DOC. The loss of an essential staff person means that existing staff must undergo additional training before they can assume the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Laboratory shutdown. </w:t>
      </w:r>
      <w:r>
        <w:rPr>
          <w:rFonts w:ascii="Times New Roman" w:hAnsi="Times New Roman"/>
          <w:b w:val="false"/>
          <w:i w:val="false"/>
          <w:color w:val="000000"/>
          <w:sz w:val="22"/>
        </w:rPr>
        <w:t>Laboratories must notify the department within five days if the laboratory has shut down due to a natural or man-made disaster, a cybersecurity incident, or other occurrence that renders the laboratory unable to perform analyses for Iowa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Data quality issues. </w:t>
      </w:r>
      <w:r>
        <w:rPr>
          <w:rFonts w:ascii="Times New Roman" w:hAnsi="Times New Roman"/>
          <w:b w:val="false"/>
          <w:i w:val="false"/>
          <w:color w:val="000000"/>
          <w:sz w:val="22"/>
        </w:rPr>
        <w:t>If a laboratory becomes aware that there are systematic data quality issues that affect the result(s) for one or more analytes, the laboratory must notify the department within five days. The laboratory must resolve the issues, submit a corrective action report, and submit an amended analytical report to the client(s) and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83.5(4)</w:t>
      </w:r>
      <w:r>
        <w:rPr>
          <w:rFonts w:ascii="Times New Roman" w:hAnsi="Times New Roman"/>
          <w:b w:val="false"/>
          <w:i w:val="false"/>
          <w:color w:val="000000"/>
          <w:sz w:val="22"/>
        </w:rPr>
        <w:t> </w:t>
      </w:r>
      <w:r>
        <w:rPr>
          <w:rFonts w:ascii="Times New Roman" w:hAnsi="Times New Roman"/>
          <w:b w:val="false"/>
          <w:i/>
          <w:color w:val="000000"/>
          <w:sz w:val="22"/>
        </w:rPr>
        <w:t xml:space="preserve">Annual requirements. </w:t>
      </w:r>
      <w:r>
        <w:rPr>
          <w:rFonts w:ascii="Times New Roman" w:hAnsi="Times New Roman"/>
          <w:b w:val="false"/>
          <w:i w:val="false"/>
          <w:color w:val="000000"/>
          <w:sz w:val="22"/>
        </w:rPr>
        <w:t xml:space="preserve">Laboratories are required to perform the following updates on an annual basis. Documentation of these updates must be maintained in paper or electronic form, or a combination thereof, pursuant to the recordkeeping requirements in </w:t>
      </w:r>
      <w:hyperlink r:id="rId31">
        <w:r>
          <w:rPr>
            <w:rStyle w:val="Hyperlink"/>
            <w:rFonts w:ascii="Times New Roman" w:hAnsi="Times New Roman"/>
            <w:b w:val="false"/>
            <w:i w:val="false"/>
            <w:color w:val="000000"/>
            <w:sz w:val="22"/>
          </w:rPr>
          <w:t>83.5(8)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shall be made available during the on-site audit, or if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Balance maintenance and weight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Working thermometer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the QA plan and document the date, reviewer, and any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SOPs, and document the review and any changes to the SOPs. Confirm that QC requirements are performed with each analysis and that additional QC requirements are conducted monthly, quarterly, or annually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sample handling, preservation and storage requirements if they are not addressed in the 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a continuing DOC for analysts;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Run and document calibration curves;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Perform annual 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Review manufacturer equipment maintenance schedules, perform scheduled maintenance, and document the maintenance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Replace and document the source of reference cultures used for microbiological analyses;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Check spreadsheets annually to determine that calculated results have not changed due to software updates. Spreadsheet calculations may need to be checked manually.</w:t>
      </w:r>
    </w:p>
    <w:p>
      <w:pPr>
        <w:spacing w:before="0" w:after="0"/>
        <w:ind w:left="120"/>
        <w:jc w:val="both"/>
      </w:pPr>
      <w:r>
        <w:rPr>
          <w:rFonts w:ascii="Times New Roman" w:hAnsi="Times New Roman"/>
          <w:b w:val="false"/>
          <w:i w:val="false"/>
          <w:color w:val="000000"/>
          <w:sz w:val="22"/>
        </w:rPr>
        <w:t>In addition to the above requirements, it is recommended that the laboratory review the safety plan with all employees and conduct an internal audit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83.5(5)</w:t>
      </w:r>
      <w:r>
        <w:rPr>
          <w:rFonts w:ascii="Times New Roman" w:hAnsi="Times New Roman"/>
          <w:b w:val="false"/>
          <w:i w:val="false"/>
          <w:color w:val="000000"/>
          <w:sz w:val="22"/>
        </w:rPr>
        <w:t> </w:t>
      </w:r>
      <w:r>
        <w:rPr>
          <w:rFonts w:ascii="Times New Roman" w:hAnsi="Times New Roman"/>
          <w:b w:val="false"/>
          <w:i/>
          <w:color w:val="000000"/>
          <w:sz w:val="22"/>
        </w:rPr>
        <w:t xml:space="preserve">Site audits.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SHL certification. </w:t>
      </w:r>
      <w:r>
        <w:rPr>
          <w:rFonts w:ascii="Times New Roman" w:hAnsi="Times New Roman"/>
          <w:b w:val="false"/>
          <w:i w:val="false"/>
          <w:color w:val="000000"/>
          <w:sz w:val="22"/>
        </w:rPr>
        <w:t xml:space="preserve">The department has designated the SHL as its appraisal authority for laboratory certification. The SHL is responsible for attaining and maintaining laboratory certification for the SDWA program that is acceptable to the EPA. The SHL shall obtain accreditation from a state NELAP accreditation authority in all department program areas specified in </w:t>
      </w:r>
      <w:hyperlink r:id="rId32">
        <w:r>
          <w:rPr>
            <w:rStyle w:val="Hyperlink"/>
            <w:rFonts w:ascii="Times New Roman" w:hAnsi="Times New Roman"/>
            <w:b w:val="false"/>
            <w:i w:val="false"/>
            <w:color w:val="000000"/>
            <w:sz w:val="22"/>
          </w:rPr>
          <w:t>83.1(3)</w:t>
        </w:r>
      </w:hyperlink>
      <w:r>
        <w:rPr>
          <w:rFonts w:ascii="Times New Roman" w:hAnsi="Times New Roman"/>
          <w:b w:val="false"/>
          <w:i w:val="false"/>
          <w:color w:val="000000"/>
          <w:sz w:val="22"/>
        </w:rPr>
        <w:t xml:space="preserve">, where available. The SHL shall forward audit reports to the department according to the time frame in </w:t>
      </w:r>
      <w:hyperlink r:id="rId33">
        <w:r>
          <w:rPr>
            <w:rStyle w:val="Hyperlink"/>
            <w:rFonts w:ascii="Times New Roman" w:hAnsi="Times New Roman"/>
            <w:b w:val="false"/>
            <w:i w:val="false"/>
            <w:color w:val="000000"/>
            <w:sz w:val="22"/>
          </w:rPr>
          <w:t>83.3(3)</w:t>
        </w:r>
      </w:hyperlink>
      <w:r>
        <w:rPr>
          <w:rFonts w:ascii="Times New Roman" w:hAnsi="Times New Roman"/>
          <w:b w:val="false"/>
          <w:i w:val="false"/>
          <w:color w:val="000000"/>
          <w:sz w:val="22"/>
        </w:rPr>
        <w:t>. The SHL is not required to pay the fees for laboratory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On-site audits. </w:t>
      </w:r>
      <w:r>
        <w:rPr>
          <w:rFonts w:ascii="Times New Roman" w:hAnsi="Times New Roman"/>
          <w:b w:val="false"/>
          <w:i w:val="false"/>
          <w:color w:val="000000"/>
          <w:sz w:val="22"/>
        </w:rPr>
        <w:t>Laboratories must consent to a periodic site audit by the department or its designee, at least every two years. However, on-site audits may be conducted more frequently if the laboratory undergoes a major change that may alter or impair analytical capability, fails a PE sample analysis, or if the department questions an aspect of data submitted that is not satisfactorily resolved. Laboratories certified by reciprocity generally are not required to have an on-site audit conducted by the SHL. However, the department and the SHL reserve the right to conduct an on-site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83.5(6)</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shall be valid for a period not to exceed two years from the date of issuance. Certification shall remain in effect until certification is either renewed or revoked, provided a laboratory has submitted a timely and complete application, and paid the appropriate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Laboratories that have not submitted a timely and complete application and have not paid the appropriate fee may not report compliance data if their certification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83.5(7)</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Laboratories may not analyze or report sample results for any analyte, analytical series, or environmental program area until an initial certification status of certified or temporary has been granted by the department. Any data generated before certification status is granted will be considered invalid for compliance purposes. A laboratory with provisional status may analyze and report analyses for compliance purposes. A certified laboratory may contract analyses to another certified laboratory. The responsibility lies with the primary certified laboratory contracting for services to verify that the secondary contracting laboratory is certified by the department and to ensure that reporting requirements and deadlines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program areas. </w:t>
      </w:r>
      <w:r>
        <w:rPr>
          <w:rFonts w:ascii="Times New Roman" w:hAnsi="Times New Roman"/>
          <w:b w:val="false"/>
          <w:i w:val="false"/>
          <w:color w:val="000000"/>
          <w:sz w:val="22"/>
        </w:rPr>
        <w:t>Laboratories that generate data for clients must list all of the following elements on paper or electronic reports provided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certified laboratory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Laboratory name, address, and 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 sample 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Client sample location 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Regulatory ID number, such as a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and time of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 and time of sample receipt and temperature (may be recorded on chain of custody, receiving sheet, or comments);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Sample collector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and time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Analyst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Matrix;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Analyte;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Analytical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reporting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Analysis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Units of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Subcontracting laboratory or laboratories, if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Signature of signatory authorized to sign analytical reports;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Chain of custody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reporting for all program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whiteout to correct errors is strictly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Laboratory records and final reports shall be recorded in ink or electronically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laboratory shall not express an analytical result 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Lower than the LOQ, such as using the MDL;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zero, unless specifically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Laboratories reporting data for the purpose of a monthly operation report (MOR) or discharge monitoring report (DMR) must follow the instructions and use the templates specified by the program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supply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laboratories must report all analytical test results for all public water supply systems (PWS) using the electronic reporting system provided by the department. New laboratories shall be fully compliant with electronic data reporting requirements no later than 45 days after the laboratory begins analysis of compliance samples. If a PWS is required by the department to collect and analyze a sample for an analyte not normally required by 567—Chapters </w:t>
      </w:r>
      <w:hyperlink r:id="rId3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laboratory testing for that analyte must also be certified and report the results of that analyte to the department. A PWS may request that a laboratory add additional analytes for analysis after samples are received by the laboratory, but may not remove an analyte originally requested after the laboratory has initiated analysis of those analytes without written department approval. It is the laboratory’s responsibility to correctly assign and track the sample identification number, the facility ID, and source/entry point data for all reported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sample types for which data results must be reported: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 a regular sample that includes samples collected for compliance purposes at various sampling frequencies;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Repeat: a sample that must be collected after a positive result from a routine or previous repeat total coliform sample, per </w:t>
      </w:r>
      <w:hyperlink r:id="rId36">
        <w:r>
          <w:rPr>
            <w:rStyle w:val="Hyperlink"/>
            <w:rFonts w:ascii="Times New Roman" w:hAnsi="Times New Roman"/>
            <w:b w:val="false"/>
            <w:i w:val="false"/>
            <w:color w:val="000000"/>
            <w:sz w:val="22"/>
          </w:rPr>
          <w:t>567—paragraph 41.2(1)</w:t>
        </w:r>
      </w:hyperlink>
      <w:r>
        <w:rPr>
          <w:rFonts w:ascii="Times New Roman" w:hAnsi="Times New Roman"/>
          <w:b w:val="false"/>
          <w:i/>
          <w:color w:val="000000"/>
          <w:sz w:val="22"/>
        </w:rPr>
        <w:t>“j.”</w:t>
      </w:r>
      <w:r>
        <w:rPr>
          <w:rFonts w:ascii="Times New Roman" w:hAnsi="Times New Roman"/>
          <w:b w:val="false"/>
          <w:i w:val="false"/>
          <w:color w:val="000000"/>
          <w:sz w:val="22"/>
        </w:rPr>
        <w:t xml:space="preserve"> Repeat samples must be analyzed by the same laboratory that analyzed the associated original routine sample;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a sample that verifies a routine sample, normally used to determine compliance with a health-based standard;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Special: a nonroutine sample, such as raw, plant, and troubleshooting samples, which cannot be used to comply with monitoring requirements assigned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Maximum residence time: a sample collected at the maximum residence time location in the distribution system, usually for disinfection byproduct measurement;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Replacement: a sample that replaces a missed sample from a prior monitoring period resulting in a monitoring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additional types of data must be reported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MOR data that is required by the department to demonstrate compliance with public health standards;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Raw water sampling results specifically covered by </w:t>
      </w:r>
      <w:hyperlink r:id="rId37">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3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for new surface water or groundwater sources, or reconstruction of groundwater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data results that are not required to be reported by a laboratory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 MOR data;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Distribution samples for the Total Coliform Rule </w:t>
      </w:r>
      <w:hyperlink r:id="rId39">
        <w:r>
          <w:rPr>
            <w:rStyle w:val="Hyperlink"/>
            <w:rFonts w:ascii="Times New Roman" w:hAnsi="Times New Roman"/>
            <w:b w:val="false"/>
            <w:i w:val="false"/>
            <w:color w:val="000000"/>
            <w:sz w:val="22"/>
          </w:rPr>
          <w:t>567—subrule 41.2(1)</w:t>
        </w:r>
      </w:hyperlink>
      <w:r>
        <w:rPr>
          <w:rFonts w:ascii="Times New Roman" w:hAnsi="Times New Roman"/>
          <w:b w:val="false"/>
          <w:i w:val="false"/>
          <w:color w:val="000000"/>
          <w:sz w:val="22"/>
        </w:rPr>
        <w:t xml:space="preserve"> for water main repair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sample type cannot be changed after submittal to the laboratory, without written department approval. The prescreening, splitting, or selective reporting of compliance samples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laboratories must report all analytical results to the PWS for which the analyses were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Analytical results must be reported to and received by the department by the seventh day of the month following the month in which the samples were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addition to the monthly reporting of analytical results, the following results must be reported within 24 hours of the completion of the analysis, including data reduction, to the department by email or other acceptable method acceptable to the department, and to the PWS for which the analyses were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of positive routine coliform bacteria samples, and all repeat and follow-up samples;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any contaminant that exceeds public drinking water standards (maximum contaminant level, treatment technique, action level, or health advisory), and any subsequent confirmation samples.</w:t>
      </w:r>
    </w:p>
    <w:p>
      <w:pPr>
        <w:spacing w:before="0" w:after="0"/>
        <w:ind w:left="120"/>
        <w:jc w:val="both"/>
      </w:pPr>
      <w:r>
        <w:rPr>
          <w:rFonts w:ascii="Times New Roman" w:hAnsi="Times New Roman"/>
          <w:b w:val="false"/>
          <w:i w:val="false"/>
          <w:color w:val="000000"/>
          <w:sz w:val="22"/>
        </w:rPr>
        <w:t>Results available outside of routine business hours must be reported to the department’s Environmental Emergency Reporting Hotline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requested by the department, certified laboratories shall report their MDLs, LOQs, and any other pertinent information when reporting results for PWSs.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UST program. </w:t>
      </w:r>
      <w:r>
        <w:rPr>
          <w:rFonts w:ascii="Times New Roman" w:hAnsi="Times New Roman"/>
          <w:b w:val="false"/>
          <w:i w:val="false"/>
          <w:color w:val="000000"/>
          <w:sz w:val="22"/>
        </w:rPr>
        <w:t xml:space="preserve">No additional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Wastewater program. </w:t>
      </w:r>
      <w:r>
        <w:rPr>
          <w:rFonts w:ascii="Times New Roman" w:hAnsi="Times New Roman"/>
          <w:b w:val="false"/>
          <w:i w:val="false"/>
          <w:color w:val="000000"/>
          <w:sz w:val="22"/>
        </w:rPr>
        <w:t>No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Solid waste and contaminated site programs. </w:t>
      </w:r>
      <w:r>
        <w:rPr>
          <w:rFonts w:ascii="Times New Roman" w:hAnsi="Times New Roman"/>
          <w:b w:val="false"/>
          <w:i w:val="false"/>
          <w:color w:val="000000"/>
          <w:sz w:val="22"/>
        </w:rPr>
        <w:t xml:space="preserve">No additional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83.5(8)</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Appraisal authority. </w:t>
      </w:r>
      <w:r>
        <w:rPr>
          <w:rFonts w:ascii="Times New Roman" w:hAnsi="Times New Roman"/>
          <w:b w:val="false"/>
          <w:i w:val="false"/>
          <w:color w:val="000000"/>
          <w:sz w:val="22"/>
        </w:rPr>
        <w:t>The laboratory certification program appraisal authority must retain the records for on-site laboratory audits and certification program reviews. The records must be maintained in an easily accessible manner for a period of six years, including the last two on-site audits. The records include correspondence used to determine compliance with the laboratory certification program requirements, and may include checklists, corrective action reports, final reports, certificates, PT study results, and any other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Laboratories. </w:t>
      </w:r>
      <w:r>
        <w:rPr>
          <w:rFonts w:ascii="Times New Roman" w:hAnsi="Times New Roman"/>
          <w:b w:val="false"/>
          <w:i w:val="false"/>
          <w:color w:val="000000"/>
          <w:sz w:val="22"/>
        </w:rPr>
        <w:t>Laboratories shall retain laboratory records in paper or electronic form or a combination of both. Laboratory records include, but are not limited to, calibration curves; raw data; calculations and supporting data such as chromatographs; analytical results; lists of chemicals and equipment used; QA plans; SOPs; and PT results. Laboratory records shall be retained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Drinking water: microbiology and turbidity, five years; chemical, ten years; lead and copper rule, twelve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Wastewater: all analytes, three years. Federal DMRQA reports,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Sewage sludge (municipal biosolids): all analytes,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Solid waste and contaminated sites: all analytes,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Underground storage tanks: all analytes,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567—83.6</w:t>
      </w:r>
      <w:r>
        <w:rPr>
          <w:rFonts w:ascii="Times New Roman" w:hAnsi="Times New Roman"/>
          <w:b/>
          <w:i w:val="false"/>
          <w:color w:val="000000"/>
          <w:sz w:val="22"/>
        </w:rPr>
        <w:t xml:space="preserve">(455B) </w:t>
      </w:r>
      <w:r>
        <w:rPr>
          <w:rFonts w:ascii="Times New Roman" w:hAnsi="Times New Roman"/>
          <w:b/>
          <w:i w:val="false"/>
          <w:color w:val="000000"/>
          <w:sz w:val="22"/>
        </w:rPr>
        <w:t xml:space="preserve">Criteria and procedure for provisional, suspended, and revoked laboratory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w:t>
      </w:r>
      <w:r>
        <w:rPr>
          <w:rFonts w:ascii="Times New Roman" w:hAnsi="Times New Roman"/>
          <w:b w:val="false"/>
          <w:i w:val="false"/>
          <w:color w:val="000000"/>
          <w:sz w:val="22"/>
        </w:rPr>
        <w:t> </w:t>
      </w:r>
      <w:r>
        <w:rPr>
          <w:rFonts w:ascii="Times New Roman" w:hAnsi="Times New Roman"/>
          <w:b w:val="false"/>
          <w:i/>
          <w:color w:val="000000"/>
          <w:sz w:val="22"/>
        </w:rPr>
        <w:t xml:space="preserve">Voluntary withdrawal of certification. </w:t>
      </w:r>
      <w:r>
        <w:rPr>
          <w:rFonts w:ascii="Times New Roman" w:hAnsi="Times New Roman"/>
          <w:b w:val="false"/>
          <w:i w:val="false"/>
          <w:color w:val="000000"/>
          <w:sz w:val="22"/>
        </w:rPr>
        <w:t>A laboratory may voluntarily withdraw certification for an analyte, a related analytical series, an environmental program area, or the entire laboratory at any time in lieu of receiving a downgraded certificate with a provisional, suspended, or revoked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w:t>
      </w:r>
      <w:r>
        <w:rPr>
          <w:rFonts w:ascii="Times New Roman" w:hAnsi="Times New Roman"/>
          <w:b w:val="false"/>
          <w:i w:val="false"/>
          <w:color w:val="000000"/>
          <w:sz w:val="22"/>
        </w:rPr>
        <w:t> </w:t>
      </w:r>
      <w:r>
        <w:rPr>
          <w:rFonts w:ascii="Times New Roman" w:hAnsi="Times New Roman"/>
          <w:b w:val="false"/>
          <w:i/>
          <w:color w:val="000000"/>
          <w:sz w:val="22"/>
        </w:rPr>
        <w:t xml:space="preserve">Provisional certification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downgrade certification to provisional status based on cause. The reasons for which a laboratory may be downgraded to provisionally certified status include, but are not limited to, the following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analyze a performance evaluation (PT) sample annually within acceptance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department within the time period specified in </w:t>
      </w:r>
      <w:r>
        <w:rPr>
          <w:rFonts w:ascii="Times New Roman" w:hAnsi="Times New Roman"/>
          <w:b w:val="false"/>
          <w:i w:val="false"/>
          <w:color w:val="000000"/>
          <w:sz w:val="22"/>
        </w:rPr>
        <w:t>83.5(3)</w:t>
      </w:r>
      <w:r>
        <w:rPr>
          <w:rFonts w:ascii="Times New Roman" w:hAnsi="Times New Roman"/>
          <w:b w:val="false"/>
          <w:i w:val="false"/>
          <w:color w:val="000000"/>
          <w:sz w:val="22"/>
        </w:rPr>
        <w:t xml:space="preserve"> of changes in essential personnel, equipment, laboratory facilities, or other major changes that might impair analytical 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department that the laboratory is maintaining the required standard of quality based on an on-site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report compliance data in a timely manner to the department or the client, thereby preventing timely compliance with environmental program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assess an administrative penalty for a laboratory’s failure to comply with the laboratory certification or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w:t>
      </w:r>
      <w:r>
        <w:rPr>
          <w:rFonts w:ascii="Times New Roman" w:hAnsi="Times New Roman"/>
          <w:b w:val="false"/>
          <w:i w:val="false"/>
          <w:color w:val="000000"/>
          <w:sz w:val="22"/>
        </w:rPr>
        <w:t> </w:t>
      </w:r>
      <w:r>
        <w:rPr>
          <w:rFonts w:ascii="Times New Roman" w:hAnsi="Times New Roman"/>
          <w:b w:val="false"/>
          <w:i/>
          <w:color w:val="000000"/>
          <w:sz w:val="22"/>
        </w:rPr>
        <w:t xml:space="preserve">Provisional certification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Laboratory notification. </w:t>
      </w:r>
      <w:r>
        <w:rPr>
          <w:rFonts w:ascii="Times New Roman" w:hAnsi="Times New Roman"/>
          <w:b w:val="false"/>
          <w:i w:val="false"/>
          <w:color w:val="000000"/>
          <w:sz w:val="22"/>
        </w:rPr>
        <w:t xml:space="preserve">If a laboratory is subject to a downgrade to provisional status on the basis of </w:t>
      </w:r>
      <w:r>
        <w:rPr>
          <w:rFonts w:ascii="Times New Roman" w:hAnsi="Times New Roman"/>
          <w:b w:val="false"/>
          <w:i w:val="false"/>
          <w:color w:val="000000"/>
          <w:sz w:val="22"/>
        </w:rPr>
        <w:t>83.6(2)</w:t>
      </w:r>
      <w:r>
        <w:rPr>
          <w:rFonts w:ascii="Times New Roman" w:hAnsi="Times New Roman"/>
          <w:b w:val="false"/>
          <w:i w:val="false"/>
          <w:color w:val="000000"/>
          <w:sz w:val="22"/>
        </w:rPr>
        <w:t>, the department will notify the laboratory or owner in writing of the downgraded status. Certification may be downgraded to provisional for an analyte, a related analytical series, an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provisionally certified laboratory may continue to analyze samples for compliance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r>
        <w:rPr>
          <w:rFonts w:ascii="Times New Roman" w:hAnsi="Times New Roman"/>
          <w:b w:val="false"/>
          <w:i w:val="false"/>
          <w:color w:val="000000"/>
          <w:sz w:val="22"/>
        </w:rPr>
        <w:t>There is no appeal for this process, as it does not affect a laboratory’s ability to analyze compliance samples and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the department notifies a laboratory in writing that it has been downgraded to provisionally certified status, the laboratory must correct the problem within the following time frames, unless a written extension is obtained from the department. If the problem is not corrected, the laboratory is subject to suspension for that analyte, related analytical series,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Unacceptable PT sample result within two months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Procedural deficiency within three months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deficiency within three months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Equipment deficiency within three months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laboratory shall submit a corrective action report(s), including documentation that demonstrates the laboratory has complied with the required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Certification will be reinstated when the laboratory can demonstrate that all conditions for laboratory certification have been met to the department’s satisfaction and that the deficiencies that caused provisional certification status have been corrected. The SHL may conduct an on-site audit to verify that corrective actions have been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w:t>
      </w:r>
      <w:r>
        <w:rPr>
          <w:rFonts w:ascii="Times New Roman" w:hAnsi="Times New Roman"/>
          <w:b w:val="false"/>
          <w:i w:val="false"/>
          <w:color w:val="000000"/>
          <w:sz w:val="22"/>
        </w:rPr>
        <w:t> </w:t>
      </w:r>
      <w:r>
        <w:rPr>
          <w:rFonts w:ascii="Times New Roman" w:hAnsi="Times New Roman"/>
          <w:b w:val="false"/>
          <w:i/>
          <w:color w:val="000000"/>
          <w:sz w:val="22"/>
        </w:rPr>
        <w:t xml:space="preserve">Suspended certification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downgrade certification to suspended status based on cause. The reasons for which a laboratory may be downgraded to suspended status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analyze a PT sample annually within acceptance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correct previously identified deficiencies, which resulted in provisional certification status, within the prescribed time frames of </w:t>
      </w:r>
      <w:hyperlink r:id="rId40">
        <w:r>
          <w:rPr>
            <w:rStyle w:val="Hyperlink"/>
            <w:rFonts w:ascii="Times New Roman" w:hAnsi="Times New Roman"/>
            <w:b w:val="false"/>
            <w:i w:val="false"/>
            <w:color w:val="000000"/>
            <w:sz w:val="22"/>
          </w:rPr>
          <w:t>83.6(3)</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department that the laboratory is producing accurate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use required analytical methodology for analyses submitted to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Repeated failure to report compliance data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penalty. The department may assess an administrative penalty for a laboratory’s failure to comply with the laboratory certification or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certification suspension. The department may suspend certification without providing notice and opportunity to the laboratory to be heard if the department finds that the public health, safety, or welfare imperatively requires emergency action, and incorporates a finding to that effect in its administrative order, pursuant to </w:t>
      </w:r>
      <w:hyperlink r:id="rId41">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83.6(5)</w:t>
      </w:r>
      <w:r>
        <w:rPr>
          <w:rFonts w:ascii="Times New Roman" w:hAnsi="Times New Roman"/>
          <w:b w:val="false"/>
          <w:i w:val="false"/>
          <w:color w:val="000000"/>
          <w:sz w:val="22"/>
        </w:rPr>
        <w:t> </w:t>
      </w:r>
      <w:r>
        <w:rPr>
          <w:rFonts w:ascii="Times New Roman" w:hAnsi="Times New Roman"/>
          <w:b w:val="false"/>
          <w:i/>
          <w:color w:val="000000"/>
          <w:sz w:val="22"/>
        </w:rPr>
        <w:t xml:space="preserve">Suspended certification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Laboratory notification. </w:t>
      </w:r>
      <w:r>
        <w:rPr>
          <w:rFonts w:ascii="Times New Roman" w:hAnsi="Times New Roman"/>
          <w:b w:val="false"/>
          <w:i w:val="false"/>
          <w:color w:val="000000"/>
          <w:sz w:val="22"/>
        </w:rPr>
        <w:t xml:space="preserve">If a laboratory is subject to downgrading to suspended status on the basis of </w:t>
      </w:r>
      <w:hyperlink r:id="rId42">
        <w:r>
          <w:rPr>
            <w:rStyle w:val="Hyperlink"/>
            <w:rFonts w:ascii="Times New Roman" w:hAnsi="Times New Roman"/>
            <w:b w:val="false"/>
            <w:i w:val="false"/>
            <w:color w:val="000000"/>
            <w:sz w:val="22"/>
          </w:rPr>
          <w:t>83.6(4)</w:t>
        </w:r>
      </w:hyperlink>
      <w:r>
        <w:rPr>
          <w:rFonts w:ascii="Times New Roman" w:hAnsi="Times New Roman"/>
          <w:b w:val="false"/>
          <w:i w:val="false"/>
          <w:color w:val="000000"/>
          <w:sz w:val="22"/>
        </w:rPr>
        <w:t xml:space="preserve">, the department will notify the laboratory or owner in writing of its intent to suspend certification in accordance with </w:t>
      </w:r>
      <w:hyperlink r:id="rId43">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Certification may be suspended for an analyte, a related analytical series, an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Once the suspension is effective, a laboratory must immediately discontinue analysis and reporting of compliance samples, may not analyze or report samples for compliance with departmental standards, and must notify the laboratory’s Iowa regulated clientele and other state certifying agencies of the change of the laboratory certification status within three days. Any results generated during the period of suspension may not be used for compliance purposes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laboratory may appeal this decision by filing a written notice of appeal and request an administrative hearing with the department director within 30 days of receipt of the notice of suspension of certification. Contested case procedures under </w:t>
      </w:r>
      <w:hyperlink r:id="rId44">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shall govern administration of the appeal. The appeal must identify the specific portion(s) of the department action being appealed, be supported with a statement of the reason(s) for the challenge, and be signed by a responsible official from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timely notice of appeal is filed, suspension is effective 30 days after receipt of the notice of suspension unless an emergency suspension order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the department notifies a laboratory in writing that it has been downgraded to suspended status, the laboratory must correct the problem within the following timetable, unless a written extension is obtained from the department. If the problem is not corrected, the laboratory is subject to revocation for that analyte, related analytical series,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Unacceptable PT sample result within two months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Procedural deficiency within three months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deficiency within three months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deficiency within three months of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laboratory shall review the problems cited and, within the time period designated by the department, submit a corrective action report(s) including documentation that demonstrates the laboratory has complied with the required corrective actions. The department shall consider the adequacy of the response and notify the laboratory of its certification status and may follow up to ensure that corrective actions have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laboratory will not be required to pay an additional fee if recertification affects an analyte or related analytical series, provided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laboratory is currently certified for other analytes,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fee was paid within the two-year certification period for that related analytical series and the laboratory is certified for other parameters within that related analytical series.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fee is required when suspension affects a related analytical series, effectively deleting that fee group from certification (such as all microbiological parameters in SDWA-MICRO), an environmental program area, or the entire laboratory. A fee is also required if an additional on-site audit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will be reinstated when the laboratory can demonstrate that all conditions for laboratory certification have been met and that the deficiencies that caused the suspension have been corrected. This may include an on-site audit, successful analysis of unknown samples, or any other measure that the department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83.6(6)</w:t>
      </w:r>
      <w:r>
        <w:rPr>
          <w:rFonts w:ascii="Times New Roman" w:hAnsi="Times New Roman"/>
          <w:b w:val="false"/>
          <w:i w:val="false"/>
          <w:color w:val="000000"/>
          <w:sz w:val="22"/>
        </w:rPr>
        <w:t> </w:t>
      </w:r>
      <w:r>
        <w:rPr>
          <w:rFonts w:ascii="Times New Roman" w:hAnsi="Times New Roman"/>
          <w:b w:val="false"/>
          <w:i/>
          <w:color w:val="000000"/>
          <w:sz w:val="22"/>
        </w:rPr>
        <w:t xml:space="preserve">Revoked certification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certification for cause. The reasons for which a laboratory’s certification may be revoked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correct deficiencies according to the time period specified in </w:t>
      </w:r>
      <w:hyperlink r:id="rId45">
        <w:r>
          <w:rPr>
            <w:rStyle w:val="Hyperlink"/>
            <w:rFonts w:ascii="Times New Roman" w:hAnsi="Times New Roman"/>
            <w:b w:val="false"/>
            <w:i w:val="false"/>
            <w:color w:val="000000"/>
            <w:sz w:val="22"/>
          </w:rPr>
          <w:t>83.6(5)</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Submission of a PT sample to another laboratory for analysis and reporting the data as its 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Falsification of data or other deceptive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use required analytical methodology for analyses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department that the laboratory is maintaining the required standard of quality based on the on-site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Persistent failure to report compliance data to the regulated client or the department in a timely manner, thereby preventing compliance with state regulations and endangering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Subverting compliance with state regulations by actions such as changing the sample type for a noncompliance sample to a compliance sample after its submission to the laboratory, allowing compliance samples to be changed to other noncompliance sample types, or selective reporting of split sample results;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laboratories certified through a reciprocal agreement with another state or third-party accreditation program, loss of certification in either the resident state or third-party accreditation program is cause for immediate revocation of certification in Iowa for the same parameters or program areas for which certification was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assess an administrative penalty for a laboratory’s failure to comply with the laboratory certification or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revocation. The department may revoke certification without providing notice and opportunity to the laboratory to be heard if the department finds that the public health, safety, or welfare imperatively requires emergency action, and incorporates a finding to that effect in its administrative order, pursuant to </w:t>
      </w:r>
      <w:hyperlink r:id="rId46">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Laboratory-requested revocation (withdrawal of certification). The department may revoke certification upon receipt of a written request by the certified laboratory for removal from the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w:t>
      </w:r>
      <w:r>
        <w:rPr>
          <w:rFonts w:ascii="Times New Roman" w:hAnsi="Times New Roman"/>
          <w:b w:val="false"/>
          <w:i w:val="false"/>
          <w:color w:val="000000"/>
          <w:sz w:val="22"/>
        </w:rPr>
        <w:t> </w:t>
      </w:r>
      <w:r>
        <w:rPr>
          <w:rFonts w:ascii="Times New Roman" w:hAnsi="Times New Roman"/>
          <w:b w:val="false"/>
          <w:i/>
          <w:color w:val="000000"/>
          <w:sz w:val="22"/>
        </w:rPr>
        <w:t xml:space="preserve">Revoked certification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Laboratory notification. </w:t>
      </w:r>
      <w:r>
        <w:rPr>
          <w:rFonts w:ascii="Times New Roman" w:hAnsi="Times New Roman"/>
          <w:b w:val="false"/>
          <w:i w:val="false"/>
          <w:color w:val="000000"/>
          <w:sz w:val="22"/>
        </w:rPr>
        <w:t xml:space="preserve">Except for the instance when the laboratory voluntarily requests revocation in </w:t>
      </w:r>
      <w:hyperlink r:id="rId47">
        <w:r>
          <w:rPr>
            <w:rStyle w:val="Hyperlink"/>
            <w:rFonts w:ascii="Times New Roman" w:hAnsi="Times New Roman"/>
            <w:b w:val="false"/>
            <w:i w:val="false"/>
            <w:color w:val="000000"/>
            <w:sz w:val="22"/>
          </w:rPr>
          <w:t>83.6(6)</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 laboratory is subject to revocation on the basis of </w:t>
      </w:r>
      <w:hyperlink r:id="rId48">
        <w:r>
          <w:rPr>
            <w:rStyle w:val="Hyperlink"/>
            <w:rFonts w:ascii="Times New Roman" w:hAnsi="Times New Roman"/>
            <w:b w:val="false"/>
            <w:i w:val="false"/>
            <w:color w:val="000000"/>
            <w:sz w:val="22"/>
          </w:rPr>
          <w:t>83.6(6)</w:t>
        </w:r>
      </w:hyperlink>
      <w:r>
        <w:rPr>
          <w:rFonts w:ascii="Times New Roman" w:hAnsi="Times New Roman"/>
          <w:b w:val="false"/>
          <w:i w:val="false"/>
          <w:color w:val="000000"/>
          <w:sz w:val="22"/>
        </w:rPr>
        <w:t xml:space="preserve">, the department will notify the party in writing of its intent to revoke certification in accordance with </w:t>
      </w:r>
      <w:hyperlink r:id="rId49">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Certification may be revoked for an analyte, a related analytical series, an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Once revocation is effective, a laboratory must immediately discontinue analysis and reporting of compliance samples, shall not analyze or report samples for compliance with departmental standards, and must notify the laboratory’s Iowa-regulated clientele and other state certifying agencies of the change of the laboratory certification status within three business days of receipt of the final notice. Any results generated after revocation may not be used for compliance purposes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r>
        <w:rPr>
          <w:rFonts w:ascii="Times New Roman" w:hAnsi="Times New Roman"/>
          <w:b w:val="false"/>
          <w:i w:val="false"/>
          <w:color w:val="000000"/>
          <w:sz w:val="22"/>
        </w:rPr>
        <w:t xml:space="preserve">When a laboratory requests revocation pursuant to </w:t>
      </w:r>
      <w:hyperlink r:id="rId50">
        <w:r>
          <w:rPr>
            <w:rStyle w:val="Hyperlink"/>
            <w:rFonts w:ascii="Times New Roman" w:hAnsi="Times New Roman"/>
            <w:b w:val="false"/>
            <w:i w:val="false"/>
            <w:color w:val="000000"/>
            <w:sz w:val="22"/>
          </w:rPr>
          <w:t>83.6(6)</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revocation will be issued promptly and will be effective immediately with no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laboratory may appeal this decision by filing a written notice of appeal and request for an administrative hearing with the department director within 30 days of receipt of the notice of revocation of certification. Contested case procedures under </w:t>
      </w:r>
      <w:hyperlink r:id="rId51">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shall govern further administration of the appeal. The appeal must identify the specific portion(s) of the department action being appealed, be supported with a statement of the reason(s) for the challenge, and be signed by a responsible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timely notice of appeal is filed within the 30-day time period, revocation is effective 30 days after receipt of the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A laboratory that has had its certification revoked may apply for certification in accordance with rule </w:t>
      </w:r>
      <w:hyperlink r:id="rId52">
        <w:r>
          <w:rPr>
            <w:rStyle w:val="Hyperlink"/>
            <w:rFonts w:ascii="Times New Roman" w:hAnsi="Times New Roman"/>
            <w:b w:val="false"/>
            <w:i w:val="false"/>
            <w:color w:val="000000"/>
            <w:sz w:val="22"/>
          </w:rPr>
          <w:t>567—83.3</w:t>
        </w:r>
      </w:hyperlink>
      <w:r>
        <w:rPr>
          <w:rFonts w:ascii="Times New Roman" w:hAnsi="Times New Roman"/>
          <w:b w:val="false"/>
          <w:i w:val="false"/>
          <w:color w:val="000000"/>
          <w:sz w:val="22"/>
        </w:rPr>
        <w:t>(455B) once the deficiencies have been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3">
        <w:r>
          <w:rPr>
            <w:rStyle w:val="Hyperlink"/>
            <w:rFonts w:ascii="Times New Roman" w:hAnsi="Times New Roman"/>
            <w:b w:val="false"/>
            <w:i w:val="false"/>
            <w:color w:val="000000"/>
            <w:sz w:val="22"/>
          </w:rPr>
          <w:t>455B.113</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455B.115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8/22/86—published 9/10/86, effective 8/22/86]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emergency 9/30/88—published 10/19/88, effective 9/30/88]</w:t>
      </w:r>
    </w:p>
    <w:p>
      <w:pPr>
        <w:spacing w:before="0" w:after="0"/>
        <w:ind w:left="120"/>
        <w:jc w:val="center"/>
      </w:pPr>
      <w:r>
        <w:rPr>
          <w:rFonts w:ascii="Times New Roman" w:hAnsi="Times New Roman"/>
          <w:b w:val="false"/>
          <w:i w:val="false"/>
          <w:color w:val="000000"/>
          <w:sz w:val="21"/>
        </w:rPr>
        <w:t>[Filed 9/25/92, Notice 6/10/92—published 10/14/92, effective 11/18/92]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3/26/93, Notice 1/20/93—published 4/14/93, effective 5/19/93]</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1/27/95, Notice 11/9/94—published 2/15/95, effective 3/22/95]</w:t>
      </w:r>
    </w:p>
    <w:p>
      <w:pPr>
        <w:spacing w:before="0" w:after="0"/>
        <w:ind w:left="120"/>
        <w:jc w:val="center"/>
      </w:pPr>
      <w:r>
        <w:rPr>
          <w:rFonts w:ascii="Times New Roman" w:hAnsi="Times New Roman"/>
          <w:b w:val="false"/>
          <w:i w:val="false"/>
          <w:color w:val="000000"/>
          <w:sz w:val="21"/>
        </w:rPr>
        <w:t>[Filed 3/22/96, Notice 11/8/95—published 4/10/96, effective 5/15/96]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9214C</w:t>
      </w:r>
      <w:r>
        <w:rPr>
          <w:rFonts w:ascii="Times New Roman" w:hAnsi="Times New Roman"/>
          <w:b w:val="false"/>
          <w:i w:val="false"/>
          <w:color w:val="000000"/>
          <w:sz w:val="21"/>
        </w:rPr>
        <w:t xml:space="preserve"> (Notice ARC 8601C,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 of 42.2(1)</w:t>
      </w:r>
      <w:r>
        <w:rPr>
          <w:rFonts w:ascii="Times New Roman" w:hAnsi="Times New Roman"/>
          <w:b w:val="false"/>
          <w:i/>
          <w:color w:val="000000"/>
          <w:sz w:val="22"/>
        </w:rPr>
        <w:t>“b”</w:t>
      </w:r>
      <w:r>
        <w:rPr>
          <w:rFonts w:ascii="Times New Roman" w:hAnsi="Times New Roman"/>
          <w:b w:val="false"/>
          <w:i w:val="false"/>
          <w:color w:val="000000"/>
          <w:sz w:val="22"/>
        </w:rPr>
        <w:t>(9) and (10) delayed 70 days by the Administrative Rules Review Committee at its meeting held November 10, 1992.</w:t>
      </w:r>
    </w:p>
    <w:p>
      <w:pPr>
        <w:pBdr>
          <w:bottom w:space="2"/>
        </w:pBdr>
        <w:spacing w:before="0" w:after="0"/>
        <w:ind w:left="120"/>
        <w:jc w:val="both"/>
      </w:pPr>
      <w:r>
        <w:rPr>
          <w:rFonts w:ascii="Times New Roman" w:hAnsi="Times New Roman"/>
          <w:b w:val="false"/>
          <w:i w:val="false"/>
          <w:color w:val="000000"/>
          <w:sz w:val="22"/>
        </w:rPr>
        <w:t>Effective date of Ch 83 delayed 70 days by the Administrative Rules Review Committee at its meeting held May 14, 1996.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13.pdf" Type="http://schemas.openxmlformats.org/officeDocument/2006/relationships/hyperlink" Id="rId5"/>
    <Relationship TargetMode="External" Target="https://www.legis.iowa.gov/docs/ico/chapter/455B.114.pdf" Type="http://schemas.openxmlformats.org/officeDocument/2006/relationships/hyperlink" Id="rId6"/>
    <Relationship TargetMode="External" Target="https://www.legis.iowa.gov/docs/iac/chapter/567.40.pdf" Type="http://schemas.openxmlformats.org/officeDocument/2006/relationships/hyperlink" Id="rId7"/>
    <Relationship TargetMode="External" Target="https://www.legis.iowa.gov/docs/iac/chapter/567.41.pdf" Type="http://schemas.openxmlformats.org/officeDocument/2006/relationships/hyperlink" Id="rId8"/>
    <Relationship TargetMode="External" Target="https://www.legis.iowa.gov/docs/iac/chapter/567.43.pdf" Type="http://schemas.openxmlformats.org/officeDocument/2006/relationships/hyperlink" Id="rId9"/>
    <Relationship TargetMode="External" Target="https://www.legis.iowa.gov/docs/iac/chapter/567.135.pdf" Type="http://schemas.openxmlformats.org/officeDocument/2006/relationships/hyperlink" Id="rId10"/>
    <Relationship TargetMode="External" Target="https://www.legis.iowa.gov/docs/iac/chapter/567.63.pdf" Type="http://schemas.openxmlformats.org/officeDocument/2006/relationships/hyperlink" Id="rId11"/>
    <Relationship TargetMode="External" Target="https://www.legis.iowa.gov/docs/iac/chapter/567.65.pdf" Type="http://schemas.openxmlformats.org/officeDocument/2006/relationships/hyperlink" Id="rId12"/>
    <Relationship TargetMode="External" Target="https://www.legis.iowa.gov/docs/iac/chapter/567.67.pdf" Type="http://schemas.openxmlformats.org/officeDocument/2006/relationships/hyperlink" Id="rId13"/>
    <Relationship TargetMode="External" Target="https://www.legis.iowa.gov/docs/iac/chapter/567.69.pdf" Type="http://schemas.openxmlformats.org/officeDocument/2006/relationships/hyperlink" Id="rId14"/>
    <Relationship TargetMode="External" Target="https://www.legis.iowa.gov/docs/iac/chapter/567.100.pdf" Type="http://schemas.openxmlformats.org/officeDocument/2006/relationships/hyperlink" Id="rId15"/>
    <Relationship TargetMode="External" Target="https://www.legis.iowa.gov/docs/iac/chapter/567.129.pdf" Type="http://schemas.openxmlformats.org/officeDocument/2006/relationships/hyperlink" Id="rId16"/>
    <Relationship TargetMode="External" Target="https://www.legis.iowa.gov/docs/iac/chapter/567.133.pdf" Type="http://schemas.openxmlformats.org/officeDocument/2006/relationships/hyperlink" Id="rId17"/>
    <Relationship TargetMode="External" Target="https://www.legis.iowa.gov/docs/iac/chapter/567.137.pdf" Type="http://schemas.openxmlformats.org/officeDocument/2006/relationships/hyperlink" Id="rId18"/>
    <Relationship TargetMode="External" Target="https://www.legis.iowa.gov/docs/iac/chapter/567.135.pdf" Type="http://schemas.openxmlformats.org/officeDocument/2006/relationships/hyperlink" Id="rId19"/>
    <Relationship TargetMode="External" Target="https://www.legis.iowa.gov/docs/iac/rule/567.83.1.pdf" Type="http://schemas.openxmlformats.org/officeDocument/2006/relationships/hyperlink" Id="rId20"/>
    <Relationship TargetMode="External" Target="https://www.legis.iowa.gov/docs/iac/rule/567.83.6.pdf" Type="http://schemas.openxmlformats.org/officeDocument/2006/relationships/hyperlink" Id="rId21"/>
    <Relationship TargetMode="External" Target="https://www.legis.iowa.gov/docs/ico/chapter/455B.114.pdf" Type="http://schemas.openxmlformats.org/officeDocument/2006/relationships/hyperlink" Id="rId22"/>
    <Relationship TargetMode="External" Target="https://www.legis.iowa.gov/docs/iac/rule/567.83.6.pdf" Type="http://schemas.openxmlformats.org/officeDocument/2006/relationships/hyperlink" Id="rId23"/>
    <Relationship TargetMode="External" Target="https://www.legis.iowa.gov/docs/iac/rule/567.83.3.pdf" Type="http://schemas.openxmlformats.org/officeDocument/2006/relationships/hyperlink" Id="rId24"/>
    <Relationship TargetMode="External" Target="https://www.legis.iowa.gov/docs/iac/rule/567.83.6.pdf" Type="http://schemas.openxmlformats.org/officeDocument/2006/relationships/hyperlink" Id="rId25"/>
    <Relationship TargetMode="External" Target="https://www.legis.iowa.gov/docs/iac/rule/567.83.5.pdf" Type="http://schemas.openxmlformats.org/officeDocument/2006/relationships/hyperlink" Id="rId26"/>
    <Relationship TargetMode="External" Target="https://www.legis.iowa.gov/docs/iac/rule/567.83.3.pdf" Type="http://schemas.openxmlformats.org/officeDocument/2006/relationships/hyperlink" Id="rId27"/>
    <Relationship TargetMode="External" Target="mailto:labcert@dnr.iowa.gov" Type="http://schemas.openxmlformats.org/officeDocument/2006/relationships/hyperlink" Id="rId28"/>
    <Relationship TargetMode="External" Target="https://www.legis.iowa.gov/docs/iac/rule/567.83.5.pdf" Type="http://schemas.openxmlformats.org/officeDocument/2006/relationships/hyperlink" Id="rId29"/>
    <Relationship TargetMode="External" Target="http://nelac-institute.org" Type="http://schemas.openxmlformats.org/officeDocument/2006/relationships/hyperlink" Id="rId30"/>
    <Relationship TargetMode="External" Target="https://www.legis.iowa.gov/docs/iac/rule/567.83.5.pdf" Type="http://schemas.openxmlformats.org/officeDocument/2006/relationships/hyperlink" Id="rId31"/>
    <Relationship TargetMode="External" Target="https://www.legis.iowa.gov/docs/iac/rule/567.83.1.pdf" Type="http://schemas.openxmlformats.org/officeDocument/2006/relationships/hyperlink" Id="rId32"/>
    <Relationship TargetMode="External" Target="https://www.legis.iowa.gov/docs/iac/rule/567.83.3.pdf" Type="http://schemas.openxmlformats.org/officeDocument/2006/relationships/hyperlink" Id="rId33"/>
    <Relationship TargetMode="External" Target="https://www.legis.iowa.gov/docs/iac/chapter/567.41.pdf" Type="http://schemas.openxmlformats.org/officeDocument/2006/relationships/hyperlink" Id="rId34"/>
    <Relationship TargetMode="External" Target="https://www.legis.iowa.gov/docs/iac/chapter/567.43.pdf" Type="http://schemas.openxmlformats.org/officeDocument/2006/relationships/hyperlink" Id="rId35"/>
    <Relationship TargetMode="External" Target="https://www.legis.iowa.gov/docs/iac/rule/567.41.2.pdf" Type="http://schemas.openxmlformats.org/officeDocument/2006/relationships/hyperlink" Id="rId36"/>
    <Relationship TargetMode="External" Target="https://www.legis.iowa.gov/docs/iac/chapter/567.40.pdf" Type="http://schemas.openxmlformats.org/officeDocument/2006/relationships/hyperlink" Id="rId37"/>
    <Relationship TargetMode="External" Target="https://www.legis.iowa.gov/docs/iac/chapter/567.43.pdf" Type="http://schemas.openxmlformats.org/officeDocument/2006/relationships/hyperlink" Id="rId38"/>
    <Relationship TargetMode="External" Target="https://www.legis.iowa.gov/docs/iac/rule/567.41.2.pdf" Type="http://schemas.openxmlformats.org/officeDocument/2006/relationships/hyperlink" Id="rId39"/>
    <Relationship TargetMode="External" Target="https://www.legis.iowa.gov/docs/iac/rule/567.83.6.pdf" Type="http://schemas.openxmlformats.org/officeDocument/2006/relationships/hyperlink" Id="rId40"/>
    <Relationship TargetMode="External" Target="https://www.legis.iowa.gov/docs/iac/chapter/561.7.pdf" Type="http://schemas.openxmlformats.org/officeDocument/2006/relationships/hyperlink" Id="rId41"/>
    <Relationship TargetMode="External" Target="https://www.legis.iowa.gov/docs/iac/rule/567.83.6.pdf" Type="http://schemas.openxmlformats.org/officeDocument/2006/relationships/hyperlink" Id="rId42"/>
    <Relationship TargetMode="External" Target="https://www.legis.iowa.gov/docs/iac/chapter/561.7.pdf" Type="http://schemas.openxmlformats.org/officeDocument/2006/relationships/hyperlink" Id="rId43"/>
    <Relationship TargetMode="External" Target="https://www.legis.iowa.gov/docs/iac/chapter/561.7.pdf" Type="http://schemas.openxmlformats.org/officeDocument/2006/relationships/hyperlink" Id="rId44"/>
    <Relationship TargetMode="External" Target="https://www.legis.iowa.gov/docs/iac/rule/567.83.6.pdf" Type="http://schemas.openxmlformats.org/officeDocument/2006/relationships/hyperlink" Id="rId45"/>
    <Relationship TargetMode="External" Target="https://www.legis.iowa.gov/docs/iac/chapter/561.7.pdf" Type="http://schemas.openxmlformats.org/officeDocument/2006/relationships/hyperlink" Id="rId46"/>
    <Relationship TargetMode="External" Target="https://www.legis.iowa.gov/docs/iac/rule/567.83.6.pdf" Type="http://schemas.openxmlformats.org/officeDocument/2006/relationships/hyperlink" Id="rId47"/>
    <Relationship TargetMode="External" Target="https://www.legis.iowa.gov/docs/iac/rule/567.83.6.pdf" Type="http://schemas.openxmlformats.org/officeDocument/2006/relationships/hyperlink" Id="rId48"/>
    <Relationship TargetMode="External" Target="https://www.legis.iowa.gov/docs/iac/chapter/561.7.pdf" Type="http://schemas.openxmlformats.org/officeDocument/2006/relationships/hyperlink" Id="rId49"/>
    <Relationship TargetMode="External" Target="https://www.legis.iowa.gov/docs/iac/rule/567.83.6.pdf" Type="http://schemas.openxmlformats.org/officeDocument/2006/relationships/hyperlink" Id="rId50"/>
    <Relationship TargetMode="External" Target="https://www.legis.iowa.gov/docs/iac/chapter/561.7.pdf" Type="http://schemas.openxmlformats.org/officeDocument/2006/relationships/hyperlink" Id="rId51"/>
    <Relationship TargetMode="External" Target="https://www.legis.iowa.gov/docs/iac/rule/567.83.3.pdf" Type="http://schemas.openxmlformats.org/officeDocument/2006/relationships/hyperlink" Id="rId52"/>
    <Relationship TargetMode="External" Target="https://www.legis.iowa.gov/docs/ico/chapter/455B.113.pdf" Type="http://schemas.openxmlformats.org/officeDocument/2006/relationships/hyperlink" Id="rId53"/>
    <Relationship TargetMode="External" Target="https://www.legis.iowa.gov/docs/ico/chapter/455B.115.pdf" Type="http://schemas.openxmlformats.org/officeDocument/2006/relationships/hyperlink"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