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WELL CONTRACTOR CERTIFICATION</w:t>
      </w:r>
    </w:p>
    <w:p>
      <w:pPr>
        <w:spacing w:before="0" w:after="0"/>
        <w:ind w:left="120"/>
        <w:jc w:val="center"/>
      </w:pPr>
      <w:r>
        <w:rPr>
          <w:rFonts w:ascii="Times New Roman" w:hAnsi="Times New Roman"/>
          <w:b w:val="false"/>
          <w:i w:val="false"/>
          <w:color w:val="000000"/>
          <w:sz w:val="14"/>
        </w:rPr>
        <w:t>[Prior to 5/12/93, see also 567—Ch 37]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567—82.1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 xml:space="preserve">, and Iowa Code sections </w:t>
      </w:r>
      <w:hyperlink r:id="rId8">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which are hereby adopted by reference,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“Pump installer” </w:t>
      </w:r>
      <w:r>
        <w:rPr>
          <w:rFonts w:ascii="Times New Roman" w:hAnsi="Times New Roman"/>
          <w:b w:val="false"/>
          <w:i w:val="false"/>
          <w:color w:val="000000"/>
          <w:sz w:val="22"/>
        </w:rPr>
        <w:t>means a person certified by the department to perform pump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“Pump services”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xml:space="preserve">. The term also includes modification of the upper terminus of a well; well plugging; well rehabilitation; or the construction of Class 3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driller” </w:t>
      </w:r>
      <w:r>
        <w:rPr>
          <w:rFonts w:ascii="Times New Roman" w:hAnsi="Times New Roman"/>
          <w:b w:val="false"/>
          <w:i w:val="false"/>
          <w:color w:val="000000"/>
          <w:sz w:val="22"/>
        </w:rPr>
        <w:t>means a person certified by the department to perform well drilling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drilling services” </w:t>
      </w:r>
      <w:r>
        <w:rPr>
          <w:rFonts w:ascii="Times New Roman" w:hAnsi="Times New Roman"/>
          <w:b w:val="false"/>
          <w:i w:val="false"/>
          <w:color w:val="000000"/>
          <w:sz w:val="22"/>
        </w:rPr>
        <w:t xml:space="preserve">means the same as “well services” as defined in Iowa Code section </w:t>
      </w:r>
      <w:hyperlink r:id="rId12">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The term includes well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plugging contractor” </w:t>
      </w:r>
      <w:r>
        <w:rPr>
          <w:rFonts w:ascii="Times New Roman" w:hAnsi="Times New Roman"/>
          <w:b w:val="false"/>
          <w:i w:val="false"/>
          <w:color w:val="000000"/>
          <w:sz w:val="22"/>
        </w:rPr>
        <w:t>means a well contractor certified to plug only Class 1 or Class 3 wells but not certified to abandon Class 2 wells or perform any other well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567—82.2</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Certified well contractor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well services shall be performed pursuant to this chapter by a certified well contractor who is on site and in direct charge of the well services, except that a person may perform well services on their own property without being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performing well drilling services, a certified well contractor shall notify: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the county, if a well does not have the required construction permits;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if the use of the water requires a water use allocation and the owner has not applied for or been issued a water use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Applicability exception. </w:t>
      </w:r>
      <w:r>
        <w:rPr>
          <w:rFonts w:ascii="Times New Roman" w:hAnsi="Times New Roman"/>
          <w:b w:val="false"/>
          <w:i w:val="false"/>
          <w:color w:val="000000"/>
          <w:sz w:val="22"/>
        </w:rPr>
        <w:t xml:space="preserve">These rules shall not apply to a water operator certified pursuant to Iowa Code section </w:t>
      </w:r>
      <w:hyperlink r:id="rId13">
        <w:r>
          <w:rPr>
            <w:rStyle w:val="Hyperlink"/>
            <w:rFonts w:ascii="Times New Roman" w:hAnsi="Times New Roman"/>
            <w:b w:val="false"/>
            <w:i w:val="false"/>
            <w:color w:val="000000"/>
            <w:sz w:val="22"/>
          </w:rPr>
          <w:t>455B.213</w:t>
        </w:r>
      </w:hyperlink>
      <w:r>
        <w:rPr>
          <w:rFonts w:ascii="Times New Roman" w:hAnsi="Times New Roman"/>
          <w:b w:val="false"/>
          <w:i w:val="false"/>
          <w:color w:val="000000"/>
          <w:sz w:val="22"/>
        </w:rPr>
        <w:t xml:space="preserve">, when the water operator is performing pump services on any well owned by a PWS as defined in Iowa Code section </w:t>
      </w:r>
      <w:hyperlink r:id="rId14">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These rules shall not apply to a wastewater operator certified pursuant to Iowa Code section </w:t>
      </w:r>
      <w:hyperlink r:id="rId15">
        <w:r>
          <w:rPr>
            <w:rStyle w:val="Hyperlink"/>
            <w:rFonts w:ascii="Times New Roman" w:hAnsi="Times New Roman"/>
            <w:b w:val="false"/>
            <w:i w:val="false"/>
            <w:color w:val="000000"/>
            <w:sz w:val="22"/>
          </w:rPr>
          <w:t>455B.213</w:t>
        </w:r>
      </w:hyperlink>
      <w:r>
        <w:rPr>
          <w:rFonts w:ascii="Times New Roman" w:hAnsi="Times New Roman"/>
          <w:b w:val="false"/>
          <w:i w:val="false"/>
          <w:color w:val="000000"/>
          <w:sz w:val="22"/>
        </w:rPr>
        <w:t xml:space="preserve">, when the wastewater operator is performing pump services on a groundwater monitoring well, groundwater dewatering well, or other well not used to provide drinking water, owned by a sewer system as defined in Iowa Code section </w:t>
      </w:r>
      <w:hyperlink r:id="rId16">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Pump installer certification requirements shall not apply to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Address change. </w:t>
      </w:r>
      <w:r>
        <w:rPr>
          <w:rFonts w:ascii="Times New Roman" w:hAnsi="Times New Roman"/>
          <w:b w:val="false"/>
          <w:i w:val="false"/>
          <w:color w:val="000000"/>
          <w:sz w:val="22"/>
        </w:rPr>
        <w:t>Certified well contractors shall report address changes to the department within 30 days after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567—82.3</w:t>
      </w:r>
      <w:r>
        <w:rPr>
          <w:rFonts w:ascii="Times New Roman" w:hAnsi="Times New Roman"/>
          <w:b/>
          <w:i w:val="false"/>
          <w:color w:val="000000"/>
          <w:sz w:val="22"/>
        </w:rPr>
        <w:t xml:space="preserve">(455B) </w:t>
      </w:r>
      <w:r>
        <w:rPr>
          <w:rFonts w:ascii="Times New Roman" w:hAnsi="Times New Roman"/>
          <w:b/>
          <w:i w:val="false"/>
          <w:color w:val="000000"/>
          <w:sz w:val="22"/>
        </w:rPr>
        <w:t xml:space="preserve">Classification of well 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82.3(1)</w:t>
      </w:r>
      <w:r>
        <w:rPr>
          <w:rFonts w:ascii="Times New Roman" w:hAnsi="Times New Roman"/>
          <w:b w:val="false"/>
          <w:i w:val="false"/>
          <w:color w:val="000000"/>
          <w:sz w:val="22"/>
        </w:rPr>
        <w:t> </w:t>
      </w:r>
      <w:r>
        <w:rPr>
          <w:rFonts w:ascii="Times New Roman" w:hAnsi="Times New Roman"/>
          <w:b w:val="false"/>
          <w:i/>
          <w:color w:val="000000"/>
          <w:sz w:val="22"/>
        </w:rPr>
        <w:t xml:space="preserve">Classifications. </w:t>
      </w:r>
      <w:r>
        <w:rPr>
          <w:rFonts w:ascii="Times New Roman" w:hAnsi="Times New Roman"/>
          <w:b w:val="false"/>
          <w:i w:val="false"/>
          <w:color w:val="000000"/>
          <w:sz w:val="22"/>
        </w:rPr>
        <w:t>The three classifications of certified well contractors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well contractor,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Well driller,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Pump installer.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Provisionally certified well contractor,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Well driller,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Pump installer.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Well plugging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w:t>
      </w:r>
      <w:r>
        <w:rPr>
          <w:rFonts w:ascii="Times New Roman" w:hAnsi="Times New Roman"/>
          <w:b w:val="false"/>
          <w:i w:val="false"/>
          <w:color w:val="000000"/>
          <w:sz w:val="22"/>
        </w:rPr>
        <w:t> </w:t>
      </w:r>
      <w:r>
        <w:rPr>
          <w:rFonts w:ascii="Times New Roman" w:hAnsi="Times New Roman"/>
          <w:b w:val="false"/>
          <w:i/>
          <w:color w:val="000000"/>
          <w:sz w:val="22"/>
        </w:rPr>
        <w:t xml:space="preserve">Certified well contractor. </w:t>
      </w:r>
      <w:r>
        <w:rPr>
          <w:rFonts w:ascii="Times New Roman" w:hAnsi="Times New Roman"/>
          <w:b w:val="false"/>
          <w:i w:val="false"/>
          <w:color w:val="000000"/>
          <w:sz w:val="22"/>
        </w:rPr>
        <w:t>In order to be a certified well contractor, an applicant shall have met the experience requirements, successfully completed the well contractor examination for well drilling services or pump services, or both, been issued a certificate by the department, and renewed the certification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w:t>
      </w:r>
      <w:r>
        <w:rPr>
          <w:rFonts w:ascii="Times New Roman" w:hAnsi="Times New Roman"/>
          <w:b w:val="false"/>
          <w:i w:val="false"/>
          <w:color w:val="000000"/>
          <w:sz w:val="22"/>
        </w:rPr>
        <w:t> </w:t>
      </w:r>
      <w:r>
        <w:rPr>
          <w:rFonts w:ascii="Times New Roman" w:hAnsi="Times New Roman"/>
          <w:b w:val="false"/>
          <w:i/>
          <w:color w:val="000000"/>
          <w:sz w:val="22"/>
        </w:rPr>
        <w:t xml:space="preserve">Provisionally certified well contractor. </w:t>
      </w:r>
      <w:r>
        <w:rPr>
          <w:rFonts w:ascii="Times New Roman" w:hAnsi="Times New Roman"/>
          <w:b w:val="false"/>
          <w:i w:val="false"/>
          <w:color w:val="000000"/>
          <w:sz w:val="22"/>
        </w:rPr>
        <w:t xml:space="preserve">The requirements and conditions for provisional well contractor certification are described in Iowa Code section </w:t>
      </w:r>
      <w:hyperlink r:id="rId17">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A provisionally certified well contractor will become a certified well contractor after the submission of an application showing all certification requirements have been met and submission of appropriate fees to the department. The certificate for a provisionally certified well contractor will be issued for one year. The department shall issue a certified well contractor certificate after the one-year period and the receipt of appropriate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82.3(4)</w:t>
      </w:r>
      <w:r>
        <w:rPr>
          <w:rFonts w:ascii="Times New Roman" w:hAnsi="Times New Roman"/>
          <w:b w:val="false"/>
          <w:i w:val="false"/>
          <w:color w:val="000000"/>
          <w:sz w:val="22"/>
        </w:rPr>
        <w:t> </w:t>
      </w:r>
      <w:r>
        <w:rPr>
          <w:rFonts w:ascii="Times New Roman" w:hAnsi="Times New Roman"/>
          <w:b w:val="false"/>
          <w:i/>
          <w:color w:val="000000"/>
          <w:sz w:val="22"/>
        </w:rPr>
        <w:t xml:space="preserve">Well plugging contractor. </w:t>
      </w:r>
      <w:r>
        <w:rPr>
          <w:rFonts w:ascii="Times New Roman" w:hAnsi="Times New Roman"/>
          <w:b w:val="false"/>
          <w:i w:val="false"/>
          <w:color w:val="000000"/>
          <w:sz w:val="22"/>
        </w:rPr>
        <w:t>In order to be certified as a well plugging contractor, an applicant shall take a four-hour training course designated by the department, successfully complete a well plugging test, be issued a certificate by the department, and renew the certification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567—82.4</w:t>
      </w:r>
      <w:r>
        <w:rPr>
          <w:rFonts w:ascii="Times New Roman" w:hAnsi="Times New Roman"/>
          <w:b/>
          <w:i w:val="false"/>
          <w:color w:val="000000"/>
          <w:sz w:val="22"/>
        </w:rPr>
        <w:t xml:space="preserve">(455B) </w:t>
      </w:r>
      <w:r>
        <w:rPr>
          <w:rFonts w:ascii="Times New Roman" w:hAnsi="Times New Roman"/>
          <w:b/>
          <w:i w:val="false"/>
          <w:color w:val="000000"/>
          <w:sz w:val="22"/>
        </w:rPr>
        <w:t xml:space="preserve">Experience requirements. </w:t>
      </w:r>
      <w:r>
        <w:rPr>
          <w:rFonts w:ascii="Times New Roman" w:hAnsi="Times New Roman"/>
          <w:b w:val="false"/>
          <w:i w:val="false"/>
          <w:color w:val="000000"/>
          <w:sz w:val="22"/>
        </w:rPr>
        <w:t>All applicants shall meet the experience requirements shown below. Educational programming approved by the department may be substituted for up to one half of any experience requirement at the rate of one continuing education unit (CEU) for each 100 hours of required experience.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115"/>
        <w:gridCol w:w="6075"/>
      </w:tblGrid>
      <w:tr>
        <w:trPr>
          <w:trHeight w:val="285" w:hRule="atLeast"/>
        </w:trPr>
        <w:tc>
          <w:tcPr>
            <w:tcW w:w="5115" w:type="dxa"/>
            <w:tcBorders>
              <w:bottom w:val="doub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CLASSIFICATION</w:t>
            </w:r>
          </w:p>
        </w:tc>
        <w:tc>
          <w:tcPr>
            <w:tcW w:w="607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EXPERIENCE</w:t>
            </w:r>
          </w:p>
        </w:tc>
      </w:tr>
      <w:tr>
        <w:trPr>
          <w:trHeight w:val="51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Certified Well Contractor (well driller)</w:t>
            </w:r>
          </w:p>
        </w:tc>
        <w:tc>
          <w:tcPr>
            <w:tcW w:w="60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years’ employment and 2000 hours work experience in Class 1 and Class 2 well construction</w:t>
            </w:r>
          </w:p>
        </w:tc>
      </w:tr>
      <w:tr>
        <w:trPr>
          <w:trHeight w:val="72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Certified Well Contractor (pump installer)</w:t>
            </w:r>
          </w:p>
        </w:tc>
        <w:tc>
          <w:tcPr>
            <w:tcW w:w="60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years’ employment and 1000 hours work experience in the installation, repair, and maintenance of water systems</w:t>
            </w:r>
          </w:p>
        </w:tc>
      </w:tr>
      <w:tr>
        <w:trPr>
          <w:trHeight w:val="495"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Provisionally Certified Well Contractor</w:t>
            </w:r>
          </w:p>
        </w:tc>
        <w:tc>
          <w:tcPr>
            <w:tcW w:w="60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half of the employment and experience required for full certification</w:t>
            </w:r>
          </w:p>
        </w:tc>
      </w:tr>
      <w:tr>
        <w:trPr>
          <w:trHeight w:val="270" w:hRule="atLeast"/>
        </w:trPr>
        <w:tc>
          <w:tcPr>
            <w:tcW w:w="5115"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Well Plugging Contractor</w:t>
            </w:r>
          </w:p>
        </w:tc>
        <w:tc>
          <w:tcPr>
            <w:tcW w:w="60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None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567—82.5</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and examination fees. </w:t>
      </w:r>
      <w:r>
        <w:rPr>
          <w:rFonts w:ascii="Times New Roman" w:hAnsi="Times New Roman"/>
          <w:b w:val="false"/>
          <w:i w:val="false"/>
          <w:color w:val="000000"/>
          <w:sz w:val="22"/>
        </w:rPr>
        <w:t>The following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color w:val="000000"/>
          <w:sz w:val="22"/>
        </w:rPr>
        <w:t xml:space="preserve">Examination fee. </w:t>
      </w:r>
      <w:r>
        <w:rPr>
          <w:rFonts w:ascii="Times New Roman" w:hAnsi="Times New Roman"/>
          <w:b w:val="false"/>
          <w:i w:val="false"/>
          <w:color w:val="000000"/>
          <w:sz w:val="22"/>
        </w:rPr>
        <w:t xml:space="preserve">Fee for each examination: $50.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color w:val="000000"/>
          <w:sz w:val="22"/>
        </w:rPr>
        <w:t xml:space="preserve">Oral examination fee. </w:t>
      </w:r>
      <w:r>
        <w:rPr>
          <w:rFonts w:ascii="Times New Roman" w:hAnsi="Times New Roman"/>
          <w:b w:val="false"/>
          <w:i w:val="false"/>
          <w:color w:val="000000"/>
          <w:sz w:val="22"/>
        </w:rPr>
        <w:t>Fee for each oral examination: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82.5(3)</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Well drilling 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certification fee for each one-half year of a two-year period from the date of issuance to June 30 of the next even-numbered year: $75.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renewal fee: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Pump installation contractors and well plugging 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one-half year of the first year of certification: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additional one-half year period to June 30 of the next even-numbered year: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Certification renewal fee: $200.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82.5(4)</w:t>
      </w:r>
      <w:r>
        <w:rPr>
          <w:rFonts w:ascii="Times New Roman" w:hAnsi="Times New Roman"/>
          <w:b w:val="false"/>
          <w:i w:val="false"/>
          <w:color w:val="000000"/>
          <w:sz w:val="22"/>
        </w:rPr>
        <w:t> </w:t>
      </w:r>
      <w:r>
        <w:rPr>
          <w:rFonts w:ascii="Times New Roman" w:hAnsi="Times New Roman"/>
          <w:b w:val="false"/>
          <w:i/>
          <w:color w:val="000000"/>
          <w:sz w:val="22"/>
        </w:rPr>
        <w:t xml:space="preserve">Provisionally certified well contractor fee. </w:t>
      </w:r>
      <w:r>
        <w:rPr>
          <w:rFonts w:ascii="Times New Roman" w:hAnsi="Times New Roman"/>
          <w:b w:val="false"/>
          <w:i w:val="false"/>
          <w:color w:val="000000"/>
          <w:sz w:val="22"/>
        </w:rPr>
        <w:t>Provisionally certified well contractor fee: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82.5(5)</w:t>
      </w:r>
      <w:r>
        <w:rPr>
          <w:rFonts w:ascii="Times New Roman" w:hAnsi="Times New Roman"/>
          <w:b w:val="false"/>
          <w:i w:val="false"/>
          <w:color w:val="000000"/>
          <w:sz w:val="22"/>
        </w:rPr>
        <w:t> </w:t>
      </w:r>
      <w:r>
        <w:rPr>
          <w:rFonts w:ascii="Times New Roman" w:hAnsi="Times New Roman"/>
          <w:b w:val="false"/>
          <w:i/>
          <w:color w:val="000000"/>
          <w:sz w:val="22"/>
        </w:rPr>
        <w:t xml:space="preserve">Late certification penalty fee. </w:t>
      </w:r>
      <w:r>
        <w:rPr>
          <w:rFonts w:ascii="Times New Roman" w:hAnsi="Times New Roman"/>
          <w:b w:val="false"/>
          <w:i w:val="false"/>
          <w:color w:val="000000"/>
          <w:sz w:val="22"/>
        </w:rPr>
        <w:t>Penalty fee for late payment of the initial certification fee or renewal fee: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82.5(6)</w:t>
      </w:r>
      <w:r>
        <w:rPr>
          <w:rFonts w:ascii="Times New Roman" w:hAnsi="Times New Roman"/>
          <w:b w:val="false"/>
          <w:i w:val="false"/>
          <w:color w:val="000000"/>
          <w:sz w:val="22"/>
        </w:rPr>
        <w:t> </w:t>
      </w:r>
      <w:r>
        <w:rPr>
          <w:rFonts w:ascii="Times New Roman" w:hAnsi="Times New Roman"/>
          <w:b w:val="false"/>
          <w:i/>
          <w:color w:val="000000"/>
          <w:sz w:val="22"/>
        </w:rPr>
        <w:t xml:space="preserve">Duplicate certificate fee. </w:t>
      </w:r>
      <w:r>
        <w:rPr>
          <w:rFonts w:ascii="Times New Roman" w:hAnsi="Times New Roman"/>
          <w:b w:val="false"/>
          <w:i w:val="false"/>
          <w:color w:val="000000"/>
          <w:sz w:val="22"/>
        </w:rPr>
        <w:t>A currently certified well contractor may obtain a duplicate certificate upon payment of a $20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82.5(7)</w:t>
      </w:r>
      <w:r>
        <w:rPr>
          <w:rFonts w:ascii="Times New Roman" w:hAnsi="Times New Roman"/>
          <w:b w:val="false"/>
          <w:i w:val="false"/>
          <w:color w:val="000000"/>
          <w:sz w:val="22"/>
        </w:rPr>
        <w:t> </w:t>
      </w:r>
      <w:r>
        <w:rPr>
          <w:rFonts w:ascii="Times New Roman" w:hAnsi="Times New Roman"/>
          <w:b w:val="false"/>
          <w:i/>
          <w:color w:val="000000"/>
          <w:sz w:val="22"/>
        </w:rPr>
        <w:t xml:space="preserve">Recertification fee. </w:t>
      </w:r>
      <w:r>
        <w:rPr>
          <w:rFonts w:ascii="Times New Roman" w:hAnsi="Times New Roman"/>
          <w:b w:val="false"/>
          <w:i w:val="false"/>
          <w:color w:val="000000"/>
          <w:sz w:val="22"/>
        </w:rPr>
        <w:t>Contractors who have not earned sufficient CEUs for certification renewal and who wish to recertify within two years after expiration of their certification must retake and pass the examination(s) and pay a certification fee of $1,000.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567—82.6</w:t>
      </w:r>
      <w:r>
        <w:rPr>
          <w:rFonts w:ascii="Times New Roman" w:hAnsi="Times New Roman"/>
          <w:b/>
          <w:i w:val="false"/>
          <w:color w:val="000000"/>
          <w:sz w:val="22"/>
        </w:rPr>
        <w:t xml:space="preserve">(455B) </w:t>
      </w:r>
      <w:r>
        <w:rPr>
          <w:rFonts w:ascii="Times New Roman" w:hAnsi="Times New Roman"/>
          <w:b/>
          <w:i w:val="false"/>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82.6(1)</w:t>
      </w:r>
      <w:r>
        <w:rPr>
          <w:rFonts w:ascii="Times New Roman" w:hAnsi="Times New Roman"/>
          <w:b w:val="false"/>
          <w:i w:val="false"/>
          <w:color w:val="000000"/>
          <w:sz w:val="22"/>
        </w:rPr>
        <w:t> </w:t>
      </w:r>
      <w:r>
        <w:rPr>
          <w:rFonts w:ascii="Times New Roman" w:hAnsi="Times New Roman"/>
          <w:b w:val="false"/>
          <w:i/>
          <w:color w:val="000000"/>
          <w:sz w:val="22"/>
        </w:rPr>
        <w:t xml:space="preserve">Examination types. </w:t>
      </w:r>
      <w:r>
        <w:rPr>
          <w:rFonts w:ascii="Times New Roman" w:hAnsi="Times New Roman"/>
          <w:b w:val="false"/>
          <w:i w:val="false"/>
          <w:color w:val="000000"/>
          <w:sz w:val="22"/>
        </w:rPr>
        <w:t xml:space="preserve">There are four well contractor examinations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fundamentals examination - well drilling and pump installation 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Specialty examination - well drillers.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Specialty examination - pump installers.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Specialty examination - well plugging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82.6(2)</w:t>
      </w:r>
      <w:r>
        <w:rPr>
          <w:rFonts w:ascii="Times New Roman" w:hAnsi="Times New Roman"/>
          <w:b w:val="false"/>
          <w:i w:val="false"/>
          <w:color w:val="000000"/>
          <w:sz w:val="22"/>
        </w:rPr>
        <w:t> </w:t>
      </w:r>
      <w:r>
        <w:rPr>
          <w:rFonts w:ascii="Times New Roman" w:hAnsi="Times New Roman"/>
          <w:b w:val="false"/>
          <w:i/>
          <w:color w:val="000000"/>
          <w:sz w:val="22"/>
        </w:rPr>
        <w:t xml:space="preserve">Required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Well drilling contractors and pump installers must take and pass the general fundamentals examination and at least one of the specialty examinations. Examinations may be taken at the same time and place or at different times. Work shall be limited to the specialty in which proficiency has been demonstrated by written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Well plugging contractors must take and pass the well plugging examination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82.6(3)</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wishing to take the examination(s) to become a certified well contractor shall complete and submit an examination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examination applications shall be accompanied by the examination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allow local county environmental health officials to take an examination, even if they do not meet the work experience or training requirements, provided they pay the examination fee. If an official receives a passing score on the examination, they will receive a letter of acknowledgement; however, they will not be certified and will not be allowed to perform any well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82.6(4)</w:t>
      </w:r>
      <w:r>
        <w:rPr>
          <w:rFonts w:ascii="Times New Roman" w:hAnsi="Times New Roman"/>
          <w:b w:val="false"/>
          <w:i w:val="false"/>
          <w:color w:val="000000"/>
          <w:sz w:val="22"/>
        </w:rPr>
        <w:t> </w:t>
      </w:r>
      <w:r>
        <w:rPr>
          <w:rFonts w:ascii="Times New Roman" w:hAnsi="Times New Roman"/>
          <w:b w:val="false"/>
          <w:i/>
          <w:color w:val="000000"/>
          <w:sz w:val="22"/>
        </w:rPr>
        <w:t xml:space="preserve">Application evaluation. </w:t>
      </w:r>
      <w:r>
        <w:rPr>
          <w:rFonts w:ascii="Times New Roman" w:hAnsi="Times New Roman"/>
          <w:b w:val="false"/>
          <w:i w:val="false"/>
          <w:color w:val="000000"/>
          <w:sz w:val="22"/>
        </w:rPr>
        <w:t>After evaluating an application, the department will notify an applicant of examination eligibility or noneligibility.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82.6(5)</w:t>
      </w:r>
      <w:r>
        <w:rPr>
          <w:rFonts w:ascii="Times New Roman" w:hAnsi="Times New Roman"/>
          <w:b w:val="false"/>
          <w:i w:val="false"/>
          <w:color w:val="000000"/>
          <w:sz w:val="22"/>
        </w:rPr>
        <w:t> </w:t>
      </w:r>
      <w:r>
        <w:rPr>
          <w:rFonts w:ascii="Times New Roman" w:hAnsi="Times New Roman"/>
          <w:b w:val="false"/>
          <w:i/>
          <w:color w:val="000000"/>
          <w:sz w:val="22"/>
        </w:rPr>
        <w:t xml:space="preserve">Application expiration. </w:t>
      </w:r>
      <w:r>
        <w:rPr>
          <w:rFonts w:ascii="Times New Roman" w:hAnsi="Times New Roman"/>
          <w:b w:val="false"/>
          <w:i w:val="false"/>
          <w:color w:val="000000"/>
          <w:sz w:val="22"/>
        </w:rPr>
        <w:t>An approved examination application shall be valid for one year from the approval date. All required examinations shall be completed within one year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82.6(6)</w:t>
      </w:r>
      <w:r>
        <w:rPr>
          <w:rFonts w:ascii="Times New Roman" w:hAnsi="Times New Roman"/>
          <w:b w:val="false"/>
          <w:i w:val="false"/>
          <w:color w:val="000000"/>
          <w:sz w:val="22"/>
        </w:rPr>
        <w:t> </w:t>
      </w:r>
      <w:r>
        <w:rPr>
          <w:rFonts w:ascii="Times New Roman" w:hAnsi="Times New Roman"/>
          <w:b w:val="false"/>
          <w:i/>
          <w:color w:val="000000"/>
          <w:sz w:val="22"/>
        </w:rPr>
        <w:t xml:space="preserve">Examination fee refund. </w:t>
      </w:r>
      <w:r>
        <w:rPr>
          <w:rFonts w:ascii="Times New Roman" w:hAnsi="Times New Roman"/>
          <w:b w:val="false"/>
          <w:i w:val="false"/>
          <w:color w:val="000000"/>
          <w:sz w:val="22"/>
        </w:rPr>
        <w:t>The department may refund a portion of the examination or reexamination fee for an applicant who does not qualify for examination within one year of application approval. If an applicant will qualify for a scheduled examination within one year, the fee will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82.6(7)</w:t>
      </w:r>
      <w:r>
        <w:rPr>
          <w:rFonts w:ascii="Times New Roman" w:hAnsi="Times New Roman"/>
          <w:b w:val="false"/>
          <w:i w:val="false"/>
          <w:color w:val="000000"/>
          <w:sz w:val="22"/>
        </w:rPr>
        <w:t> </w:t>
      </w:r>
      <w:r>
        <w:rPr>
          <w:rFonts w:ascii="Times New Roman" w:hAnsi="Times New Roman"/>
          <w:b w:val="false"/>
          <w:i/>
          <w:color w:val="000000"/>
          <w:sz w:val="22"/>
        </w:rPr>
        <w:t xml:space="preserve">Reexamination.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failure of the first examination, an applicant may apply for reexamination. Upon failure of the second examination, the applicant must wait a period of 180 days between each subsequent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while a valid application is on file, an applicant shall submit the examination fee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82.6(8)</w:t>
      </w:r>
      <w:r>
        <w:rPr>
          <w:rFonts w:ascii="Times New Roman" w:hAnsi="Times New Roman"/>
          <w:b w:val="false"/>
          <w:i w:val="false"/>
          <w:color w:val="000000"/>
          <w:sz w:val="22"/>
        </w:rPr>
        <w:t> </w:t>
      </w:r>
      <w:r>
        <w:rPr>
          <w:rFonts w:ascii="Times New Roman" w:hAnsi="Times New Roman"/>
          <w:b w:val="false"/>
          <w:i/>
          <w:color w:val="000000"/>
          <w:sz w:val="22"/>
        </w:rPr>
        <w:t xml:space="preserve">Application invalidation. </w:t>
      </w:r>
      <w:r>
        <w:rPr>
          <w:rFonts w:ascii="Times New Roman" w:hAnsi="Times New Roman"/>
          <w:b w:val="false"/>
          <w:i w:val="false"/>
          <w:color w:val="000000"/>
          <w:sz w:val="22"/>
        </w:rPr>
        <w:t xml:space="preserve">Failure to successfully complete the necessary examinations within one year from the application approval date shall invalidate an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82.6(9)</w:t>
      </w:r>
      <w:r>
        <w:rPr>
          <w:rFonts w:ascii="Times New Roman" w:hAnsi="Times New Roman"/>
          <w:b w:val="false"/>
          <w:i w:val="false"/>
          <w:color w:val="000000"/>
          <w:sz w:val="22"/>
        </w:rPr>
        <w:t> </w:t>
      </w:r>
      <w:r>
        <w:rPr>
          <w:rFonts w:ascii="Times New Roman" w:hAnsi="Times New Roman"/>
          <w:b w:val="false"/>
          <w:i/>
          <w:color w:val="000000"/>
          <w:sz w:val="22"/>
        </w:rPr>
        <w:t xml:space="preserve">Oral examination. </w:t>
      </w:r>
      <w:r>
        <w:rPr>
          <w:rFonts w:ascii="Times New Roman" w:hAnsi="Times New Roman"/>
          <w:b w:val="false"/>
          <w:i w:val="false"/>
          <w:color w:val="000000"/>
          <w:sz w:val="22"/>
        </w:rPr>
        <w:t>Upon written request by an applicant, the director will consider administering an oral examination on an individual basis when: the applicant has failed the written examination at least twice; the applicant has shown difficulty in reading or understanding written questions but may be able to respond to oral questioning; the applicant is capable of communicating in writing with regard to departmental requirements and inquiries; and the director has received a written recommendation for an oral examination from a department staff member attesting to the operational and performance capabilities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82.6(10)</w:t>
      </w:r>
      <w:r>
        <w:rPr>
          <w:rFonts w:ascii="Times New Roman" w:hAnsi="Times New Roman"/>
          <w:b w:val="false"/>
          <w:i w:val="false"/>
          <w:color w:val="000000"/>
          <w:sz w:val="22"/>
        </w:rPr>
        <w:t> </w:t>
      </w:r>
      <w:r>
        <w:rPr>
          <w:rFonts w:ascii="Times New Roman" w:hAnsi="Times New Roman"/>
          <w:b w:val="false"/>
          <w:i/>
          <w:color w:val="000000"/>
          <w:sz w:val="22"/>
        </w:rPr>
        <w:t xml:space="preserve">Reasonable accommodation. </w:t>
      </w:r>
      <w:r>
        <w:rPr>
          <w:rFonts w:ascii="Times New Roman" w:hAnsi="Times New Roman"/>
          <w:b w:val="false"/>
          <w:i w:val="false"/>
          <w:color w:val="000000"/>
          <w:sz w:val="22"/>
        </w:rPr>
        <w:t>Upon an applicant’s request, the director will consider reasonable accommodation to allow administration of an examination without discrimination on the basis of disability. An applicant shall request accommodation 30 days prior to the examination date. An applicant shall provide documentation of eligibility for the accommodation with the examination application form. Accommodations based on documentation may include site accessibility, oral examination, extended time, separate testing area, or other concerns. If an oral examination is considered a reasonable accommodation, the oral examination fee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567—82.7</w:t>
      </w:r>
      <w:r>
        <w:rPr>
          <w:rFonts w:ascii="Times New Roman" w:hAnsi="Times New Roman"/>
          <w:b/>
          <w:i w:val="false"/>
          <w:color w:val="000000"/>
          <w:sz w:val="22"/>
        </w:rPr>
        <w:t xml:space="preserve">(455B) </w:t>
      </w:r>
      <w:r>
        <w:rPr>
          <w:rFonts w:ascii="Times New Roman" w:hAnsi="Times New Roman"/>
          <w:b/>
          <w:i w:val="false"/>
          <w:color w:val="000000"/>
          <w:sz w:val="22"/>
        </w:rPr>
        <w:t xml:space="preserve">Contractor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82.7(1)</w:t>
      </w:r>
      <w:r>
        <w:rPr>
          <w:rFonts w:ascii="Times New Roman" w:hAnsi="Times New Roman"/>
          <w:b w:val="false"/>
          <w:i w:val="false"/>
          <w:color w:val="000000"/>
          <w:sz w:val="22"/>
        </w:rPr>
        <w:t> </w:t>
      </w:r>
      <w:r>
        <w:rPr>
          <w:rFonts w:ascii="Times New Roman" w:hAnsi="Times New Roman"/>
          <w:b w:val="false"/>
          <w:i/>
          <w:color w:val="000000"/>
          <w:sz w:val="22"/>
        </w:rPr>
        <w:t xml:space="preserve">Examination requirement. </w:t>
      </w:r>
      <w:r>
        <w:rPr>
          <w:rFonts w:ascii="Times New Roman" w:hAnsi="Times New Roman"/>
          <w:b w:val="false"/>
          <w:i w:val="false"/>
          <w:color w:val="000000"/>
          <w:sz w:val="22"/>
        </w:rPr>
        <w:t xml:space="preserve">All applicants for well contractor certification shall pass the relevant examinations prior to receiving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82.7(2)</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certification, an applicant who passes the examination(s) shall submit the appropriate certification fee to the department within 30 days of receiving notification from the department of passing the examination(s). Payment may be digitally submitted in accordance with the instructions on the department’s website at </w:t>
      </w:r>
      <w:hyperlink r:id="rId18">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mailed, or hand delivered. All certification fee payments that are mailed or hand delivered shall be submitted with the applicant’s notification of passing the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certification payment digitally submitted, postmarked, or hand delivered to the department more than 30 days but less than 60 days after the date the applicant received notification passing the examination(s) shall be accompanied by the appropriate certification fee and the late certification penalty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who do not submit the appropriate certification fee within 60 days’ notice of passing the examinations will not be certified on the basis of that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82.7(3)</w:t>
      </w:r>
      <w:r>
        <w:rPr>
          <w:rFonts w:ascii="Times New Roman" w:hAnsi="Times New Roman"/>
          <w:b w:val="false"/>
          <w:i w:val="false"/>
          <w:color w:val="000000"/>
          <w:sz w:val="22"/>
        </w:rPr>
        <w:t> </w:t>
      </w:r>
      <w:r>
        <w:rPr>
          <w:rFonts w:ascii="Times New Roman" w:hAnsi="Times New Roman"/>
          <w:b w:val="false"/>
          <w:i/>
          <w:color w:val="000000"/>
          <w:sz w:val="22"/>
        </w:rPr>
        <w:t xml:space="preserve">Denial appeal. </w:t>
      </w:r>
      <w:r>
        <w:rPr>
          <w:rFonts w:ascii="Times New Roman" w:hAnsi="Times New Roman"/>
          <w:b w:val="false"/>
          <w:i w:val="false"/>
          <w:color w:val="000000"/>
          <w:sz w:val="22"/>
        </w:rPr>
        <w:t xml:space="preserve">Applicants may appeal a denial of certification within 30 days of receiving notification pursuant to </w:t>
      </w:r>
      <w:hyperlink r:id="rId19">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82.7(4)</w:t>
      </w:r>
      <w:r>
        <w:rPr>
          <w:rFonts w:ascii="Times New Roman" w:hAnsi="Times New Roman"/>
          <w:b w:val="false"/>
          <w:i w:val="false"/>
          <w:color w:val="000000"/>
          <w:sz w:val="22"/>
        </w:rPr>
        <w:t> </w:t>
      </w:r>
      <w:r>
        <w:rPr>
          <w:rFonts w:ascii="Times New Roman" w:hAnsi="Times New Roman"/>
          <w:b w:val="false"/>
          <w:i/>
          <w:color w:val="000000"/>
          <w:sz w:val="22"/>
        </w:rPr>
        <w:t xml:space="preserve">Certificate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All certificates shall expire on June 30 of even-numbered years and shall be renewed every two years in order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for renewal. </w:t>
      </w:r>
      <w:r>
        <w:rPr>
          <w:rFonts w:ascii="Times New Roman" w:hAnsi="Times New Roman"/>
          <w:b w:val="false"/>
          <w:i w:val="false"/>
          <w:color w:val="000000"/>
          <w:sz w:val="22"/>
        </w:rPr>
        <w:t xml:space="preserve">The CEU credits detailed in </w:t>
      </w:r>
      <w:hyperlink r:id="rId20">
        <w:r>
          <w:rPr>
            <w:rStyle w:val="Hyperlink"/>
            <w:rFonts w:ascii="Times New Roman" w:hAnsi="Times New Roman"/>
            <w:b w:val="false"/>
            <w:i w:val="false"/>
            <w:color w:val="000000"/>
            <w:sz w:val="22"/>
          </w:rPr>
          <w:t>567—82.8</w:t>
        </w:r>
      </w:hyperlink>
      <w:r>
        <w:rPr>
          <w:rFonts w:ascii="Times New Roman" w:hAnsi="Times New Roman"/>
          <w:b w:val="false"/>
          <w:i w:val="false"/>
          <w:color w:val="000000"/>
          <w:sz w:val="22"/>
        </w:rPr>
        <w:t>(455B) shall be obtained prior to any certificate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applications and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renewal applications shall be made available to certified well contractors on the department’s website at </w:t>
      </w:r>
      <w:hyperlink r:id="rId2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60 days prior to the certificate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renewal applications shall be digitally submitted, postmarked, or hand delivered to the department prior to certificate expiration, and shall be accompanied by the appropriate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Any certification renewal application digitally submitted, postmarked, or hand delivered to the department after certificate expiration shall be accompanied by the appropriate certification renewal fee and the late certification renewal penalty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renew. </w:t>
      </w:r>
      <w:r>
        <w:rPr>
          <w:rFonts w:ascii="Times New Roman" w:hAnsi="Times New Roman"/>
          <w:b w:val="false"/>
          <w:i w:val="false"/>
          <w:color w:val="000000"/>
          <w:sz w:val="22"/>
        </w:rPr>
        <w:t>If a certified well contractor fails to renew within 60 days following certificate expiration, the right to renew the certificate is automatically terminated. Certification may be allowed at any time following such termination, provided that the applicant passes the appropriate examinations and submits the appropriate certification fee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Expired certificate. </w:t>
      </w:r>
      <w:r>
        <w:rPr>
          <w:rFonts w:ascii="Times New Roman" w:hAnsi="Times New Roman"/>
          <w:b w:val="false"/>
          <w:i w:val="false"/>
          <w:color w:val="000000"/>
          <w:sz w:val="22"/>
        </w:rPr>
        <w:t xml:space="preserve">A certified well contractor may not continue to provide well services after certificate expiration without renewal thereof.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567—82.8</w:t>
      </w:r>
      <w:r>
        <w:rPr>
          <w:rFonts w:ascii="Times New Roman" w:hAnsi="Times New Roman"/>
          <w:b/>
          <w:i w:val="false"/>
          <w:color w:val="000000"/>
          <w:sz w:val="22"/>
        </w:rPr>
        <w:t xml:space="preserve">(455B)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82.8(1)</w:t>
      </w:r>
      <w:r>
        <w:rPr>
          <w:rFonts w:ascii="Times New Roman" w:hAnsi="Times New Roman"/>
          <w:b w:val="false"/>
          <w:i w:val="false"/>
          <w:color w:val="000000"/>
          <w:sz w:val="22"/>
        </w:rPr>
        <w:t> </w:t>
      </w:r>
      <w:r>
        <w:rPr>
          <w:rFonts w:ascii="Times New Roman" w:hAnsi="Times New Roman"/>
          <w:b w:val="false"/>
          <w:i/>
          <w:color w:val="000000"/>
          <w:sz w:val="22"/>
        </w:rPr>
        <w:t xml:space="preserve">CEU requirements. </w:t>
      </w:r>
      <w:r>
        <w:rPr>
          <w:rFonts w:ascii="Times New Roman" w:hAnsi="Times New Roman"/>
          <w:b w:val="false"/>
          <w:i w:val="false"/>
          <w:color w:val="000000"/>
          <w:sz w:val="22"/>
        </w:rPr>
        <w:t xml:space="preserve">CEUs must be earned during two-year periods between April 1 and March 31 of even-numbered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well contractor holding well driller certification or both well driller and pump installer certifications must earn 1.6 CEUs or 16 contact hours during each two-year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well contractor holding only pump installer certification must earn 1.0 CEU or 10 contact hours during each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well plugging contractor may be required to earn 0.2 CEUs or 2 contact hours during each two-year period as determined by the department, provided the well plugging contractor is notified of the requirement at the beginning of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Newly certified (previously uncertified) well contractors who are certified after April 1 of even-numbered years will not be required to earn CEUs until the next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82.8(2)</w:t>
      </w:r>
      <w:r>
        <w:rPr>
          <w:rFonts w:ascii="Times New Roman" w:hAnsi="Times New Roman"/>
          <w:b w:val="false"/>
          <w:i w:val="false"/>
          <w:color w:val="000000"/>
          <w:sz w:val="22"/>
        </w:rPr>
        <w:t> </w:t>
      </w:r>
      <w:r>
        <w:rPr>
          <w:rFonts w:ascii="Times New Roman" w:hAnsi="Times New Roman"/>
          <w:b w:val="false"/>
          <w:i/>
          <w:color w:val="000000"/>
          <w:sz w:val="22"/>
        </w:rPr>
        <w:t xml:space="preserve">Certificate renewal. </w:t>
      </w:r>
      <w:r>
        <w:rPr>
          <w:rFonts w:ascii="Times New Roman" w:hAnsi="Times New Roman"/>
          <w:b w:val="false"/>
          <w:i w:val="false"/>
          <w:color w:val="000000"/>
          <w:sz w:val="22"/>
        </w:rPr>
        <w:t>Only those certified well contractors fulfilling the CEU requirements before the end of each two-year period (March 31) will be allowed to renew their certificate(s). All certificates of certified well contractors not fulfilling the CEU requirements shall expire on June 30 of every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82.8(3)</w:t>
      </w:r>
      <w:r>
        <w:rPr>
          <w:rFonts w:ascii="Times New Roman" w:hAnsi="Times New Roman"/>
          <w:b w:val="false"/>
          <w:i w:val="false"/>
          <w:color w:val="000000"/>
          <w:sz w:val="22"/>
        </w:rPr>
        <w:t> </w:t>
      </w:r>
      <w:r>
        <w:rPr>
          <w:rFonts w:ascii="Times New Roman" w:hAnsi="Times New Roman"/>
          <w:b w:val="false"/>
          <w:i/>
          <w:color w:val="000000"/>
          <w:sz w:val="22"/>
        </w:rPr>
        <w:t xml:space="preserve">CEU approval. </w:t>
      </w:r>
      <w:r>
        <w:rPr>
          <w:rFonts w:ascii="Times New Roman" w:hAnsi="Times New Roman"/>
          <w:b w:val="false"/>
          <w:i w:val="false"/>
          <w:color w:val="000000"/>
          <w:sz w:val="22"/>
        </w:rPr>
        <w:t>All activities for which CEU credit will be granted must be approved by an accredited college or university, technical institute, or the department, and shall be related to well services, relevant aspects of Iowa groundwater law, well construction, well maintenance, well abandonment practices, well contractor safety (no more than 0.2 CEU per renewal), water system maintenance, or Iowa hydrogeologic conditions that protect groundwater and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82.8(4)</w:t>
      </w:r>
      <w:r>
        <w:rPr>
          <w:rFonts w:ascii="Times New Roman" w:hAnsi="Times New Roman"/>
          <w:b w:val="false"/>
          <w:i w:val="false"/>
          <w:color w:val="000000"/>
          <w:sz w:val="22"/>
        </w:rPr>
        <w:t> </w:t>
      </w:r>
      <w:r>
        <w:rPr>
          <w:rFonts w:ascii="Times New Roman" w:hAnsi="Times New Roman"/>
          <w:b w:val="false"/>
          <w:i/>
          <w:color w:val="000000"/>
          <w:sz w:val="22"/>
        </w:rPr>
        <w:t xml:space="preserve">CEU exceptions. </w:t>
      </w:r>
      <w:r>
        <w:rPr>
          <w:rFonts w:ascii="Times New Roman" w:hAnsi="Times New Roman"/>
          <w:b w:val="false"/>
          <w:i w:val="false"/>
          <w:color w:val="000000"/>
          <w:sz w:val="22"/>
        </w:rPr>
        <w:t>The director may, in individual cases involving hardship or extenuating circumstances, grant a certified well contractor six additional months to fulfill the minimum CEU requirements. Hardship or extenuating circumstances include documented health-related confinement or other circumstances beyond the control of the contractor that prevent attendance at the required activities. All extension requests must be made prior to March 31 of each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82.8(5)</w:t>
      </w:r>
      <w:r>
        <w:rPr>
          <w:rFonts w:ascii="Times New Roman" w:hAnsi="Times New Roman"/>
          <w:b w:val="false"/>
          <w:i w:val="false"/>
          <w:color w:val="000000"/>
          <w:sz w:val="22"/>
        </w:rPr>
        <w:t> </w:t>
      </w:r>
      <w:r>
        <w:rPr>
          <w:rFonts w:ascii="Times New Roman" w:hAnsi="Times New Roman"/>
          <w:b w:val="false"/>
          <w:i/>
          <w:color w:val="000000"/>
          <w:sz w:val="22"/>
        </w:rPr>
        <w:t xml:space="preserve">CEU reporting. </w:t>
      </w:r>
      <w:r>
        <w:rPr>
          <w:rFonts w:ascii="Times New Roman" w:hAnsi="Times New Roman"/>
          <w:b w:val="false"/>
          <w:i w:val="false"/>
          <w:color w:val="000000"/>
          <w:sz w:val="22"/>
        </w:rPr>
        <w:t xml:space="preserve">It is the certified well contractor’s personal responsibility to maintain a written record of the CEUs earned during each renewal period and report the credits to the department by following the instructions on the department’s website at </w:t>
      </w:r>
      <w:hyperlink r:id="rId22">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82.8(6)</w:t>
      </w:r>
      <w:r>
        <w:rPr>
          <w:rFonts w:ascii="Times New Roman" w:hAnsi="Times New Roman"/>
          <w:b w:val="false"/>
          <w:i w:val="false"/>
          <w:color w:val="000000"/>
          <w:sz w:val="22"/>
        </w:rPr>
        <w:t> </w:t>
      </w:r>
      <w:r>
        <w:rPr>
          <w:rFonts w:ascii="Times New Roman" w:hAnsi="Times New Roman"/>
          <w:b w:val="false"/>
          <w:i/>
          <w:color w:val="000000"/>
          <w:sz w:val="22"/>
        </w:rPr>
        <w:t xml:space="preserve">Alternative CEU requirements. </w:t>
      </w:r>
      <w:r>
        <w:rPr>
          <w:rFonts w:ascii="Times New Roman" w:hAnsi="Times New Roman"/>
          <w:b w:val="false"/>
          <w:i w:val="false"/>
          <w:color w:val="000000"/>
          <w:sz w:val="22"/>
        </w:rPr>
        <w:t>A certified well contractor shall be deemed to have complied with the CEU requirements of this rule during periods that they serve honorably on active duty in the military services, for periods of government employment working as a well contractor and assigned to duty outside of the United States, or for other periods of active practice and absence from the state approved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567—82.9</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Certified well contractor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82.9(1)</w:t>
      </w:r>
      <w:r>
        <w:rPr>
          <w:rFonts w:ascii="Times New Roman" w:hAnsi="Times New Roman"/>
          <w:b w:val="false"/>
          <w:i w:val="false"/>
          <w:color w:val="000000"/>
          <w:sz w:val="22"/>
        </w:rPr>
        <w:t> </w:t>
      </w:r>
      <w:r>
        <w:rPr>
          <w:rFonts w:ascii="Times New Roman" w:hAnsi="Times New Roman"/>
          <w:b w:val="false"/>
          <w:i/>
          <w:color w:val="000000"/>
          <w:sz w:val="22"/>
        </w:rPr>
        <w:t xml:space="preserve">Record and sample submission. </w:t>
      </w:r>
      <w:r>
        <w:rPr>
          <w:rFonts w:ascii="Times New Roman" w:hAnsi="Times New Roman"/>
          <w:b w:val="false"/>
          <w:i w:val="false"/>
          <w:color w:val="000000"/>
          <w:sz w:val="22"/>
        </w:rPr>
        <w:t xml:space="preserve">Within 30 days of completion of any water well, each certified well contractor shall 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well record form to the authority who issued the well construction permit (the department or the local county health department), in accordance with </w:t>
      </w:r>
      <w:hyperlink r:id="rId23">
        <w:r>
          <w:rPr>
            <w:rStyle w:val="Hyperlink"/>
            <w:rFonts w:ascii="Times New Roman" w:hAnsi="Times New Roman"/>
            <w:b w:val="false"/>
            <w:i w:val="false"/>
            <w:color w:val="000000"/>
            <w:sz w:val="22"/>
          </w:rPr>
          <w:t>82.9(2)</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Drill cutting samples to the Iowa Geological Survey (IGS) for any water well used as part of a public water supply, a well used for water withdrawal for which a permit is required by </w:t>
      </w:r>
      <w:hyperlink r:id="rId24">
        <w:r>
          <w:rPr>
            <w:rStyle w:val="Hyperlink"/>
            <w:rFonts w:ascii="Times New Roman" w:hAnsi="Times New Roman"/>
            <w:b w:val="false"/>
            <w:i w:val="false"/>
            <w:color w:val="000000"/>
            <w:sz w:val="22"/>
          </w:rPr>
          <w:t>567—50.1</w:t>
        </w:r>
      </w:hyperlink>
      <w:r>
        <w:rPr>
          <w:rFonts w:ascii="Times New Roman" w:hAnsi="Times New Roman"/>
          <w:b w:val="false"/>
          <w:i w:val="false"/>
          <w:color w:val="000000"/>
          <w:sz w:val="22"/>
        </w:rPr>
        <w:t xml:space="preserve">(455B), or a department-required well used to monitor groundwater quantity or quality, as required by </w:t>
      </w:r>
      <w:hyperlink r:id="rId25">
        <w:r>
          <w:rPr>
            <w:rStyle w:val="Hyperlink"/>
            <w:rFonts w:ascii="Times New Roman" w:hAnsi="Times New Roman"/>
            <w:b w:val="false"/>
            <w:i w:val="false"/>
            <w:color w:val="000000"/>
            <w:sz w:val="22"/>
          </w:rPr>
          <w:t>82.9(3)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constructing a water well to be used as part of a nonpublic water supply or other water well used to access groundwater, a certified well contractor shall contact the local health department in the county in which the water well is to be located to determine if submittal of drill cutting samples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82.9(2)</w:t>
      </w:r>
      <w:r>
        <w:rPr>
          <w:rFonts w:ascii="Times New Roman" w:hAnsi="Times New Roman"/>
          <w:b w:val="false"/>
          <w:i w:val="false"/>
          <w:color w:val="000000"/>
          <w:sz w:val="22"/>
        </w:rPr>
        <w:t> </w:t>
      </w:r>
      <w:r>
        <w:rPr>
          <w:rFonts w:ascii="Times New Roman" w:hAnsi="Times New Roman"/>
          <w:b w:val="false"/>
          <w:i/>
          <w:color w:val="000000"/>
          <w:sz w:val="22"/>
        </w:rPr>
        <w:t xml:space="preserve">Well record form. </w:t>
      </w:r>
      <w:r>
        <w:rPr>
          <w:rFonts w:ascii="Times New Roman" w:hAnsi="Times New Roman"/>
          <w:b w:val="false"/>
          <w:i w:val="false"/>
          <w:color w:val="000000"/>
          <w:sz w:val="22"/>
        </w:rPr>
        <w:t xml:space="preserve">Well drilling records shall be submitted on the well record form, or, for all nonpublic water supply wells, into the department’s Iowa Well Information System database. Both the form and the database are available on the department’s website at </w:t>
      </w:r>
      <w:hyperlink r:id="rId26">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The well record form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Well location and legal description (quarter section, section number, township, range, and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point for all depth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Depth at which each significant change of formation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Depth at which pump is set, the non-pumping and pumping water levels in the well measured from the land surface, and the rate and duration the well was pumped;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the material of which each significant stratum is composed;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Depth at which hole diameters (bit sizes)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Normal hole diameter of the well bore;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Total depth of the completed 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Depth or location of any lost drilling fluids, drilling materials, or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Casing depth, grouting schedule, including materials used and method of placement, and description of the well casing and liner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description of well screens, including diameter, length, material slot sizes, amount of open area, and location in well;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description of physical and chemical well development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82.9(3)</w:t>
      </w:r>
      <w:r>
        <w:rPr>
          <w:rFonts w:ascii="Times New Roman" w:hAnsi="Times New Roman"/>
          <w:b w:val="false"/>
          <w:i w:val="false"/>
          <w:color w:val="000000"/>
          <w:sz w:val="22"/>
        </w:rPr>
        <w:t> </w:t>
      </w:r>
      <w:r>
        <w:rPr>
          <w:rFonts w:ascii="Times New Roman" w:hAnsi="Times New Roman"/>
          <w:b w:val="false"/>
          <w:i/>
          <w:color w:val="000000"/>
          <w:sz w:val="22"/>
        </w:rPr>
        <w:t xml:space="preserve">Cutting samples. </w:t>
      </w:r>
      <w:r>
        <w:rPr>
          <w:rFonts w:ascii="Times New Roman" w:hAnsi="Times New Roman"/>
          <w:b w:val="false"/>
          <w:i w:val="false"/>
          <w:color w:val="000000"/>
          <w:sz w:val="22"/>
        </w:rPr>
        <w:t>Drill cutting samples shall be collected at intervals of five feet and at each pronounced change in geological formation. The IGS will provide drill cutting bags.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82.9(4)</w:t>
      </w:r>
      <w:r>
        <w:rPr>
          <w:rFonts w:ascii="Times New Roman" w:hAnsi="Times New Roman"/>
          <w:b w:val="false"/>
          <w:i w:val="false"/>
          <w:color w:val="000000"/>
          <w:sz w:val="22"/>
        </w:rPr>
        <w:t> </w:t>
      </w:r>
      <w:r>
        <w:rPr>
          <w:rFonts w:ascii="Times New Roman" w:hAnsi="Times New Roman"/>
          <w:b w:val="false"/>
          <w:i/>
          <w:color w:val="000000"/>
          <w:sz w:val="22"/>
        </w:rPr>
        <w:t xml:space="preserve">Test pumping. </w:t>
      </w:r>
      <w:r>
        <w:rPr>
          <w:rFonts w:ascii="Times New Roman" w:hAnsi="Times New Roman"/>
          <w:b w:val="false"/>
          <w:i w:val="false"/>
          <w:color w:val="000000"/>
          <w:sz w:val="22"/>
        </w:rPr>
        <w:t xml:space="preserve">Certified well contractors shall provide, as requested, test pumping data for water wells used as part of a public water supply and for water wells used as part of a regulated water use pursuant to </w:t>
      </w:r>
      <w:hyperlink r:id="rId27">
        <w:r>
          <w:rPr>
            <w:rStyle w:val="Hyperlink"/>
            <w:rFonts w:ascii="Times New Roman" w:hAnsi="Times New Roman"/>
            <w:b w:val="false"/>
            <w:i w:val="false"/>
            <w:color w:val="000000"/>
            <w:sz w:val="22"/>
          </w:rPr>
          <w:t>567—subrule 50.6(1)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567—82.10</w:t>
      </w:r>
      <w:r>
        <w:rPr>
          <w:rFonts w:ascii="Times New Roman" w:hAnsi="Times New Roman"/>
          <w:b/>
          <w:i w:val="false"/>
          <w:color w:val="000000"/>
          <w:sz w:val="22"/>
        </w:rPr>
        <w:t xml:space="preserve">(455B) </w:t>
      </w:r>
      <w:r>
        <w:rPr>
          <w:rFonts w:ascii="Times New Roman" w:hAnsi="Times New Roman"/>
          <w:b/>
          <w:i w:val="false"/>
          <w:color w:val="000000"/>
          <w:sz w:val="22"/>
        </w:rPr>
        <w:t xml:space="preserve">Disciplinary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82.10(1)</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disciplinary action. </w:t>
      </w:r>
      <w:r>
        <w:rPr>
          <w:rFonts w:ascii="Times New Roman" w:hAnsi="Times New Roman"/>
          <w:b w:val="false"/>
          <w:i w:val="false"/>
          <w:color w:val="000000"/>
          <w:sz w:val="22"/>
        </w:rPr>
        <w:t xml:space="preserve">Disciplinary action may be taken against a certified well contractor or well plugging contractor on any of the grounds specified in Iowa Code section </w:t>
      </w:r>
      <w:hyperlink r:id="rId28">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xml:space="preserve"> and the following more specific grounds: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obtain required CEUs.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submit, within the time required, drill cutting samples, records,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well contractor or well plugging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well construction, plugging or pump installation standards or other requirements in 567—Chapters </w:t>
      </w:r>
      <w:hyperlink r:id="rId29">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advise a person for whom well services are being provided that a hazardous or potentially hazardous condition, as defined in Iowa Code section </w:t>
      </w:r>
      <w:hyperlink r:id="rId33">
        <w:r>
          <w:rPr>
            <w:rStyle w:val="Hyperlink"/>
            <w:rFonts w:ascii="Times New Roman" w:hAnsi="Times New Roman"/>
            <w:b w:val="false"/>
            <w:i w:val="false"/>
            <w:color w:val="000000"/>
            <w:sz w:val="22"/>
          </w:rPr>
          <w:t>455B.381(2)</w:t>
        </w:r>
      </w:hyperlink>
      <w:r>
        <w:rPr>
          <w:rFonts w:ascii="Times New Roman" w:hAnsi="Times New Roman"/>
          <w:b w:val="false"/>
          <w:i w:val="false"/>
          <w:color w:val="000000"/>
          <w:sz w:val="22"/>
        </w:rPr>
        <w:t>, has been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causing or allowing a hazardous or potentially hazardous condition due to well construction to exist.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Drilling or reconstructing a well without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82.10(2)</w:t>
      </w:r>
      <w:r>
        <w:rPr>
          <w:rFonts w:ascii="Times New Roman" w:hAnsi="Times New Roman"/>
          <w:b w:val="false"/>
          <w:i w:val="false"/>
          <w:color w:val="000000"/>
          <w:sz w:val="22"/>
        </w:rPr>
        <w:t> </w:t>
      </w:r>
      <w:r>
        <w:rPr>
          <w:rFonts w:ascii="Times New Roman" w:hAnsi="Times New Roman"/>
          <w:b w:val="false"/>
          <w:i/>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revocation. </w:t>
      </w:r>
      <w:r>
        <w:rPr>
          <w:rFonts w:ascii="Times New Roman" w:hAnsi="Times New Roman"/>
          <w:b w:val="false"/>
          <w:i w:val="false"/>
          <w:color w:val="000000"/>
          <w:sz w:val="22"/>
        </w:rPr>
        <w:t>Revocation of a certificate may be permanent without chance of recertification or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Partial revocation or suspension. </w:t>
      </w:r>
      <w:r>
        <w:rPr>
          <w:rFonts w:ascii="Times New Roman" w:hAnsi="Times New Roman"/>
          <w:b w:val="false"/>
          <w:i w:val="false"/>
          <w:color w:val="000000"/>
          <w:sz w:val="22"/>
        </w:rPr>
        <w:t>Revocation or suspension of the practice of a particular aspect of the contractor’s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 Reexamination may include written and oral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department shall determine which fees in </w:t>
      </w:r>
      <w:hyperlink r:id="rId34">
        <w:r>
          <w:rPr>
            <w:rStyle w:val="Hyperlink"/>
            <w:rFonts w:ascii="Times New Roman" w:hAnsi="Times New Roman"/>
            <w:b w:val="false"/>
            <w:i w:val="false"/>
            <w:color w:val="000000"/>
            <w:sz w:val="22"/>
          </w:rPr>
          <w:t>567—82.5</w:t>
        </w:r>
      </w:hyperlink>
      <w:r>
        <w:rPr>
          <w:rFonts w:ascii="Times New Roman" w:hAnsi="Times New Roman"/>
          <w:b w:val="false"/>
          <w:i w:val="false"/>
          <w:color w:val="000000"/>
          <w:sz w:val="22"/>
        </w:rPr>
        <w:t>(455B)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Civil penalties may be assessed in accordance with Iowa Code section </w:t>
      </w:r>
      <w:hyperlink r:id="rId35">
        <w:r>
          <w:rPr>
            <w:rStyle w:val="Hyperlink"/>
            <w:rFonts w:ascii="Times New Roman" w:hAnsi="Times New Roman"/>
            <w:b w:val="false"/>
            <w:i w:val="false"/>
            <w:color w:val="000000"/>
            <w:sz w:val="22"/>
          </w:rPr>
          <w:t>455B.109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initiate disciplinary action. The director may investigate any alleged factual situation that may be grounds for disciplinary action under </w:t>
      </w:r>
      <w:hyperlink r:id="rId36">
        <w:r>
          <w:rPr>
            <w:rStyle w:val="Hyperlink"/>
            <w:rFonts w:ascii="Times New Roman" w:hAnsi="Times New Roman"/>
            <w:b w:val="false"/>
            <w:i w:val="false"/>
            <w:color w:val="000000"/>
            <w:sz w:val="22"/>
          </w:rPr>
          <w:t>82.10(1)</w:t>
        </w:r>
      </w:hyperlink>
      <w:r>
        <w:rPr>
          <w:rFonts w:ascii="Times New Roman" w:hAnsi="Times New Roman"/>
          <w:b w:val="false"/>
          <w:i w:val="false"/>
          <w:color w:val="000000"/>
          <w:sz w:val="22"/>
        </w:rPr>
        <w:t xml:space="preserve"> and report the results of the investigation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issue an administrative order that may assess a penalty or refer a case to the attorney general for prosecution for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notice by certified mail shall be provided to a certified well or well plugging contractor against whom disciplinary action is being considered. The certified well or well plugging contractor will be given 20 days’ advance notice that an informal hearing has been scheduled before the commission. The notice will provide the specific date, time, and place, at which time the commission will hold the informal hearing to determine whether a formal hearing is warranted or whether informal resolution can be reached. The certified well or well plugging contractor may present any relevant facts and indicate their position in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well or well plugging contractor who receives notice of an informal hearing shall communicate orally or in writing with the director, and efforts shall be made to clarify the respective positions of the certified well or well plugging contractor and the director. Department staff may present a recommendation concerning disciplinary sanctions to the commission at the informal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attend the informal hearing or otherwise to communicate facts and position relevant to the matter by the scheduled date will be considered by the commission when determining whether a formal hearing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certified well or well plugging contractor and the commission concurs, a written stipulation and settlement between the department and the certified well or well plugging contractor shall be entered. The stipulation and settlement shall recite the basic facts and violations alleged, any facts presented by the certified well or well plugging contractor,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commission determines that no disciplinary action is warranted on the facts asserted, the certified well or well plugging contractor shall be notified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 determines that an opportunity for formal hearing is required to impose any disciplinary sanction specified in </w:t>
      </w:r>
      <w:hyperlink r:id="rId37">
        <w:r>
          <w:rPr>
            <w:rStyle w:val="Hyperlink"/>
            <w:rFonts w:ascii="Times New Roman" w:hAnsi="Times New Roman"/>
            <w:b w:val="false"/>
            <w:i w:val="false"/>
            <w:color w:val="000000"/>
            <w:sz w:val="22"/>
          </w:rPr>
          <w:t>82.10(2)</w:t>
        </w:r>
      </w:hyperlink>
      <w:r>
        <w:rPr>
          <w:rFonts w:ascii="Times New Roman" w:hAnsi="Times New Roman"/>
          <w:b w:val="false"/>
          <w:i w:val="false"/>
          <w:color w:val="000000"/>
          <w:sz w:val="22"/>
        </w:rPr>
        <w:t xml:space="preserve">, the director shall proceed in accordance with </w:t>
      </w:r>
      <w:hyperlink r:id="rId38">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567—82.11</w:t>
      </w:r>
      <w:r>
        <w:rPr>
          <w:rFonts w:ascii="Times New Roman" w:hAnsi="Times New Roman"/>
          <w:b/>
          <w:i w:val="false"/>
          <w:color w:val="000000"/>
          <w:sz w:val="22"/>
        </w:rPr>
        <w:t xml:space="preserve">(455B,272C) </w:t>
      </w:r>
      <w:r>
        <w:rPr>
          <w:rFonts w:ascii="Times New Roman" w:hAnsi="Times New Roman"/>
          <w:b/>
          <w:i w:val="false"/>
          <w:color w:val="000000"/>
          <w:sz w:val="22"/>
        </w:rPr>
        <w:t xml:space="preserve">Certificate revocation. </w:t>
      </w:r>
      <w:r>
        <w:rPr>
          <w:rFonts w:ascii="Times New Roman" w:hAnsi="Times New Roman"/>
          <w:b w:val="false"/>
          <w:i w:val="false"/>
          <w:color w:val="000000"/>
          <w:sz w:val="22"/>
        </w:rPr>
        <w:t xml:space="preserve">Upon certificate revocation in accordance with Iowa Code section </w:t>
      </w:r>
      <w:hyperlink r:id="rId39">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xml:space="preserve">, application for certification may be allowed after two years from the revocation date. Any such applicant shall pass an examination and be certified in the same manner as other applicants. The department shall determine which fees in </w:t>
      </w:r>
      <w:hyperlink r:id="rId40">
        <w:r>
          <w:rPr>
            <w:rStyle w:val="Hyperlink"/>
            <w:rFonts w:ascii="Times New Roman" w:hAnsi="Times New Roman"/>
            <w:b w:val="false"/>
            <w:i w:val="false"/>
            <w:color w:val="000000"/>
            <w:sz w:val="22"/>
          </w:rPr>
          <w:t>567—82.5</w:t>
        </w:r>
      </w:hyperlink>
      <w:r>
        <w:rPr>
          <w:rFonts w:ascii="Times New Roman" w:hAnsi="Times New Roman"/>
          <w:b w:val="false"/>
          <w:i w:val="false"/>
          <w:color w:val="000000"/>
          <w:sz w:val="22"/>
        </w:rPr>
        <w:t>(455B)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41">
        <w:r>
          <w:rPr>
            <w:rStyle w:val="Hyperlink"/>
            <w:rFonts w:ascii="Times New Roman" w:hAnsi="Times New Roman"/>
            <w:b w:val="false"/>
            <w:i w:val="false"/>
            <w:color w:val="000000"/>
            <w:sz w:val="22"/>
          </w:rPr>
          <w:t>455B.187</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11/20/92, Notice 9/16/92—published 12/9/92, effective 1/13/93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3/26/93—published 4/14/93, effective 3/26/93]</w:t>
      </w:r>
    </w:p>
    <w:p>
      <w:pPr>
        <w:spacing w:before="0" w:after="0"/>
        <w:ind w:left="120"/>
        <w:jc w:val="center"/>
      </w:pPr>
      <w:r>
        <w:rPr>
          <w:rFonts w:ascii="Times New Roman" w:hAnsi="Times New Roman"/>
          <w:b w:val="false"/>
          <w:i w:val="false"/>
          <w:color w:val="000000"/>
          <w:sz w:val="21"/>
        </w:rPr>
        <w:t>[Filed 10/25/02, Notice 5/15/02—published 11/13/02, effective 12/18/02]</w:t>
      </w:r>
    </w:p>
    <w:p>
      <w:pPr>
        <w:spacing w:before="0" w:after="0"/>
        <w:ind w:left="120"/>
        <w:jc w:val="center"/>
      </w:pPr>
      <w:r>
        <w:rPr>
          <w:rFonts w:ascii="Times New Roman" w:hAnsi="Times New Roman"/>
          <w:b w:val="false"/>
          <w:i w:val="false"/>
          <w:color w:val="000000"/>
          <w:sz w:val="21"/>
        </w:rPr>
        <w:t>[Filed 7/1/04, Notice 3/17/04—published 7/21/04, effective 8/25/04]</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9213C</w:t>
      </w:r>
      <w:r>
        <w:rPr>
          <w:rFonts w:ascii="Times New Roman" w:hAnsi="Times New Roman"/>
          <w:b w:val="false"/>
          <w:i w:val="false"/>
          <w:color w:val="000000"/>
          <w:sz w:val="21"/>
        </w:rPr>
        <w:t xml:space="preserve"> (Notice ARC 8599C,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Effective date of 567—82.1(455B), 82.2(2), 82.3(455B), and 82.6(455B) (published 12/9/92 IAB) delayed until adjournment of the 1993 General Assembly by the Administrative Rules Review Committee at its meeting held January 5, 1993.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39.pdf" Type="http://schemas.openxmlformats.org/officeDocument/2006/relationships/hyperlink" Id="rId5"/>
    <Relationship TargetMode="External" Target="https://www.legis.iowa.gov/docs/iac/chapter/567.40.pdf" Type="http://schemas.openxmlformats.org/officeDocument/2006/relationships/hyperlink" Id="rId6"/>
    <Relationship TargetMode="External" Target="https://www.legis.iowa.gov/docs/iac/chapter/567.49.pdf" Type="http://schemas.openxmlformats.org/officeDocument/2006/relationships/hyperlink" Id="rId7"/>
    <Relationship TargetMode="External" Target="https://www.legis.iowa.gov/docs/ico/chapter/455B.171.pdf" Type="http://schemas.openxmlformats.org/officeDocument/2006/relationships/hyperlink" Id="rId8"/>
    <Relationship TargetMode="External" Target="https://www.legis.iowa.gov/docs/ico/chapter/455B.190.pdf" Type="http://schemas.openxmlformats.org/officeDocument/2006/relationships/hyperlink" Id="rId9"/>
    <Relationship TargetMode="External" Target="https://www.legis.iowa.gov/docs/ico/chapter/455B.190A.pdf" Type="http://schemas.openxmlformats.org/officeDocument/2006/relationships/hyperlink" Id="rId10"/>
    <Relationship TargetMode="External" Target="https://www.legis.iowa.gov/docs/ico/chapter/455B.190A.pdf" Type="http://schemas.openxmlformats.org/officeDocument/2006/relationships/hyperlink" Id="rId11"/>
    <Relationship TargetMode="External" Target="https://www.legis.iowa.gov/docs/ico/chapter/455B.190A.pdf" Type="http://schemas.openxmlformats.org/officeDocument/2006/relationships/hyperlink" Id="rId12"/>
    <Relationship TargetMode="External" Target="https://www.legis.iowa.gov/docs/ico/chapter/455B.213.pdf" Type="http://schemas.openxmlformats.org/officeDocument/2006/relationships/hyperlink" Id="rId13"/>
    <Relationship TargetMode="External" Target="https://www.legis.iowa.gov/docs/ico/chapter/455B.171.pdf" Type="http://schemas.openxmlformats.org/officeDocument/2006/relationships/hyperlink" Id="rId14"/>
    <Relationship TargetMode="External" Target="https://www.legis.iowa.gov/docs/ico/chapter/455B.213.pdf" Type="http://schemas.openxmlformats.org/officeDocument/2006/relationships/hyperlink" Id="rId15"/>
    <Relationship TargetMode="External" Target="https://www.legis.iowa.gov/docs/ico/chapter/455B.171.pdf" Type="http://schemas.openxmlformats.org/officeDocument/2006/relationships/hyperlink" Id="rId16"/>
    <Relationship TargetMode="External" Target="https://www.legis.iowa.gov/docs/ico/chapter/455B.190A.pdf" Type="http://schemas.openxmlformats.org/officeDocument/2006/relationships/hyperlink" Id="rId17"/>
    <Relationship TargetMode="External" Target="http://www.iowadnr.gov" Type="http://schemas.openxmlformats.org/officeDocument/2006/relationships/hyperlink" Id="rId18"/>
    <Relationship TargetMode="External" Target="https://www.legis.iowa.gov/docs/iac/chapter/567.7.pdf" Type="http://schemas.openxmlformats.org/officeDocument/2006/relationships/hyperlink" Id="rId19"/>
    <Relationship TargetMode="External" Target="https://www.legis.iowa.gov/docs/iac/rule/567.82.8.pdf" Type="http://schemas.openxmlformats.org/officeDocument/2006/relationships/hyperlink" Id="rId20"/>
    <Relationship TargetMode="External" Target="http://www.iowadnr.gov" Type="http://schemas.openxmlformats.org/officeDocument/2006/relationships/hyperlink" Id="rId21"/>
    <Relationship TargetMode="External" Target="http://www.iowadnr.gov" Type="http://schemas.openxmlformats.org/officeDocument/2006/relationships/hyperlink" Id="rId22"/>
    <Relationship TargetMode="External" Target="https://www.legis.iowa.gov/docs/iac/rule/567.82.9.pdf" Type="http://schemas.openxmlformats.org/officeDocument/2006/relationships/hyperlink" Id="rId23"/>
    <Relationship TargetMode="External" Target="https://www.legis.iowa.gov/docs/iac/rule/567.50.1.pdf" Type="http://schemas.openxmlformats.org/officeDocument/2006/relationships/hyperlink" Id="rId24"/>
    <Relationship TargetMode="External" Target="https://www.legis.iowa.gov/docs/iac/rule/567.82.9.pdf" Type="http://schemas.openxmlformats.org/officeDocument/2006/relationships/hyperlink" Id="rId25"/>
    <Relationship TargetMode="External" Target="http://www.iowadnr.gov" Type="http://schemas.openxmlformats.org/officeDocument/2006/relationships/hyperlink" Id="rId26"/>
    <Relationship TargetMode="External" Target="https://www.legis.iowa.gov/docs/iac/rule/567.50.6.pdf" Type="http://schemas.openxmlformats.org/officeDocument/2006/relationships/hyperlink" Id="rId27"/>
    <Relationship TargetMode="External" Target="https://www.legis.iowa.gov/docs/ico/chapter/455B.190A.pdf" Type="http://schemas.openxmlformats.org/officeDocument/2006/relationships/hyperlink" Id="rId28"/>
    <Relationship TargetMode="External" Target="https://www.legis.iowa.gov/docs/iac/chapter/567.39.pdf" Type="http://schemas.openxmlformats.org/officeDocument/2006/relationships/hyperlink" Id="rId29"/>
    <Relationship TargetMode="External" Target="https://www.legis.iowa.gov/docs/iac/chapter/567.43.pdf" Type="http://schemas.openxmlformats.org/officeDocument/2006/relationships/hyperlink" Id="rId30"/>
    <Relationship TargetMode="External" Target="https://www.legis.iowa.gov/docs/iac/chapter/567.49.pdf" Type="http://schemas.openxmlformats.org/officeDocument/2006/relationships/hyperlink" Id="rId31"/>
    <Relationship TargetMode="External" Target="https://www.legis.iowa.gov/docs/iac/chapter/567.110.pdf" Type="http://schemas.openxmlformats.org/officeDocument/2006/relationships/hyperlink" Id="rId32"/>
    <Relationship TargetMode="External" Target="https://www.legis.iowa.gov/docs/ico/chapter/455B.381.pdf" Type="http://schemas.openxmlformats.org/officeDocument/2006/relationships/hyperlink" Id="rId33"/>
    <Relationship TargetMode="External" Target="https://www.legis.iowa.gov/docs/iac/rule/567.82.5.pdf" Type="http://schemas.openxmlformats.org/officeDocument/2006/relationships/hyperlink" Id="rId34"/>
    <Relationship TargetMode="External" Target="https://www.legis.iowa.gov/docs/ico/chapter/455B.109.pdf" Type="http://schemas.openxmlformats.org/officeDocument/2006/relationships/hyperlink" Id="rId35"/>
    <Relationship TargetMode="External" Target="https://www.legis.iowa.gov/docs/iac/rule/567.82.10.pdf" Type="http://schemas.openxmlformats.org/officeDocument/2006/relationships/hyperlink" Id="rId36"/>
    <Relationship TargetMode="External" Target="https://www.legis.iowa.gov/docs/iac/rule/567.82.10.pdf" Type="http://schemas.openxmlformats.org/officeDocument/2006/relationships/hyperlink" Id="rId37"/>
    <Relationship TargetMode="External" Target="https://www.legis.iowa.gov/docs/iac/chapter/567.7.pdf" Type="http://schemas.openxmlformats.org/officeDocument/2006/relationships/hyperlink" Id="rId38"/>
    <Relationship TargetMode="External" Target="https://www.legis.iowa.gov/docs/ico/chapter/455B.190A.pdf" Type="http://schemas.openxmlformats.org/officeDocument/2006/relationships/hyperlink" Id="rId39"/>
    <Relationship TargetMode="External" Target="https://www.legis.iowa.gov/docs/iac/rule/567.82.5.pdf" Type="http://schemas.openxmlformats.org/officeDocument/2006/relationships/hyperlink" Id="rId40"/>
    <Relationship TargetMode="External" Target="https://www.legis.iowa.gov/docs/ico/chapter/455B.187.pdf" Type="http://schemas.openxmlformats.org/officeDocument/2006/relationships/hyperlink" Id="rId41"/>
    <Relationship TargetMode="External" Target="https://www.legis.iowa.gov/docs/ico/chapter/455B.190A.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