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PRIVATE SEWAGE DISPOSAL SYSTEMS</w:t>
      </w:r>
    </w:p>
    <w:p>
      <w:pPr>
        <w:spacing w:before="0" w:after="0"/>
        <w:ind w:left="120"/>
        <w:jc w:val="center"/>
      </w:pPr>
      <w:r>
        <w:rPr>
          <w:rFonts w:ascii="Times New Roman" w:hAnsi="Times New Roman"/>
          <w:b w:val="false"/>
          <w:i w:val="false"/>
          <w:color w:val="000000"/>
          <w:sz w:val="20"/>
        </w:rPr>
        <w:t>[Prior to 7/l/83, Health Dept. Ch 12]</w:t>
      </w:r>
    </w:p>
    <w:p>
      <w:pPr>
        <w:spacing w:before="0" w:after="0"/>
        <w:ind w:left="120"/>
        <w:jc w:val="center"/>
      </w:pPr>
      <w:r>
        <w:rPr>
          <w:rFonts w:ascii="Times New Roman" w:hAnsi="Times New Roman"/>
          <w:b w:val="false"/>
          <w:i w:val="false"/>
          <w:color w:val="000000"/>
          <w:sz w:val="20"/>
        </w:rPr>
        <w:t>[Prior to 11/19/86, Water, Air and Waste Management[900]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7/12/31</w:t>
      </w:r>
    </w:p>
    <w:p>
      <w:pPr>
        <w:spacing w:before="0" w:after="0"/>
        <w:ind w:left="120"/>
        <w:jc w:val="both"/>
      </w:pPr>
      <w:r>
        <w:rPr>
          <w:rFonts w:ascii="Times New Roman" w:hAnsi="Times New Roman"/>
          <w:b/>
          <w:i w:val="false"/>
          <w:color w:val="000000"/>
          <w:sz w:val="22"/>
        </w:rPr>
        <w:t>567—69.1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are applicable only to private sewage disposal systems (PSDSs).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references, and abbreviations in </w:t>
      </w:r>
      <w:hyperlink r:id="rId5">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the local county board of health as authorized by Iowa Code section </w:t>
      </w:r>
      <w:hyperlink r:id="rId6">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accepted or acceptable under an applicable specification stated or cited in these rules or accepted by the administrative authority as suitable for the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collect surface or storm water from an open area of a building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“At-grade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soil absorption system constructed at or near a primary treatment unit or a secondary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drain”</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lowest horizontal piping of a drainage system that receives the discharge from soil, waste, and other drainage pipes inside the walls of any building and conveys the same to the building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sewer”</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horizontal piping from the building wall to its connection with the main sewer or the primary treatment portion of a PSDS conveying the drainage of a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“Chamber system”</w:t>
      </w:r>
      <w:r>
        <w:rPr>
          <w:rFonts w:ascii="Times New Roman" w:hAnsi="Times New Roman"/>
          <w:b w:val="false"/>
          <w:i w:val="false"/>
          <w:color w:val="000000"/>
          <w:sz w:val="22"/>
        </w:rPr>
        <w:t> </w:t>
      </w:r>
      <w:r>
        <w:rPr>
          <w:rFonts w:ascii="Times New Roman" w:hAnsi="Times New Roman"/>
          <w:b w:val="false"/>
          <w:i w:val="false"/>
          <w:color w:val="000000"/>
          <w:sz w:val="22"/>
        </w:rPr>
        <w:t>means a buried structure, typically with a domed or arched top, providing at least a six-inch height of sidewall soil exposure creating a covered open space above a buried soil infiltrative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“Confining layer,”</w:t>
      </w:r>
      <w:r>
        <w:rPr>
          <w:rFonts w:ascii="Times New Roman" w:hAnsi="Times New Roman"/>
          <w:b w:val="false"/>
          <w:i w:val="false"/>
          <w:color w:val="000000"/>
          <w:sz w:val="22"/>
        </w:rPr>
        <w:t> </w:t>
      </w:r>
      <w:r>
        <w:rPr>
          <w:rFonts w:ascii="Times New Roman" w:hAnsi="Times New Roman"/>
          <w:b w:val="false"/>
          <w:i w:val="false"/>
          <w:color w:val="000000"/>
          <w:sz w:val="22"/>
        </w:rPr>
        <w:t>also known as “limiting condition,” means solid or fractured bedrock, seasonally high groundwater level, any layer of soil with a stabilized percolation rate exceeding 60 minutes for the water to fall one inch, or any other factor (natural or manmade) that does not provide the 36-inch depth separation required for soil absorption.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“Conventional,”</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sewage treatment, means a soil absorption system involving a series of two- to three-foot-wide trenches filled with gravel, containing a four-inch diameter rigid pipe or other alternative trench technologies to convey the sewage effluent. Gravel aggregate, chamber, and EPS aggregate systems are considered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box”</w:t>
      </w:r>
      <w:r>
        <w:rPr>
          <w:rFonts w:ascii="Times New Roman" w:hAnsi="Times New Roman"/>
          <w:b w:val="false"/>
          <w:i w:val="false"/>
          <w:color w:val="000000"/>
          <w:sz w:val="22"/>
        </w:rPr>
        <w:t> </w:t>
      </w:r>
      <w:r>
        <w:rPr>
          <w:rFonts w:ascii="Times New Roman" w:hAnsi="Times New Roman"/>
          <w:b w:val="false"/>
          <w:i w:val="false"/>
          <w:color w:val="000000"/>
          <w:sz w:val="22"/>
        </w:rPr>
        <w:t>means a device designed to accomplish the equal distribution of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“Dosing siphon”</w:t>
      </w:r>
      <w:r>
        <w:rPr>
          <w:rFonts w:ascii="Times New Roman" w:hAnsi="Times New Roman"/>
          <w:b w:val="false"/>
          <w:i w:val="false"/>
          <w:color w:val="000000"/>
          <w:sz w:val="22"/>
        </w:rPr>
        <w:t> </w:t>
      </w:r>
      <w:r>
        <w:rPr>
          <w:rFonts w:ascii="Times New Roman" w:hAnsi="Times New Roman"/>
          <w:b w:val="false"/>
          <w:i w:val="false"/>
          <w:color w:val="000000"/>
          <w:sz w:val="22"/>
        </w:rPr>
        <w:t>means a manufactured device that provides a measured amount of effluent determined by the manufacturer’s specifications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 box”</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to divert wastewater flow into a soil absorption trench. When the trench is filled to a set level, the drop box then allows any additional wastewater not absorbed by that trench to flow to the next drop box or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w:t>
      </w:r>
      <w:r>
        <w:rPr>
          <w:rFonts w:ascii="Times New Roman" w:hAnsi="Times New Roman"/>
          <w:b w:val="false"/>
          <w:i w:val="false"/>
          <w:color w:val="000000"/>
          <w:sz w:val="22"/>
        </w:rPr>
        <w:t> </w:t>
      </w:r>
      <w:r>
        <w:rPr>
          <w:rFonts w:ascii="Times New Roman" w:hAnsi="Times New Roman"/>
          <w:b w:val="false"/>
          <w:i w:val="false"/>
          <w:color w:val="000000"/>
          <w:sz w:val="22"/>
        </w:rPr>
        <w:t>means any house or place used or intended to be used by humans as a permanent or temporary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“Expanded polystyrene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“EPS aggregate systems”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cylinders comprised of expanded polystyrene (EPS) synthetic aggregate contained in high-strength polyethylene netting. The cylinders are a minimum 12 inches in diameter and are produced both with and without a distribution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soil”</w:t>
      </w:r>
      <w:r>
        <w:rPr>
          <w:rFonts w:ascii="Times New Roman" w:hAnsi="Times New Roman"/>
          <w:b w:val="false"/>
          <w:i w:val="false"/>
          <w:color w:val="000000"/>
          <w:sz w:val="22"/>
        </w:rPr>
        <w:t> </w:t>
      </w:r>
      <w:r>
        <w:rPr>
          <w:rFonts w:ascii="Times New Roman" w:hAnsi="Times New Roman"/>
          <w:b w:val="false"/>
          <w:i w:val="false"/>
          <w:color w:val="000000"/>
          <w:sz w:val="22"/>
        </w:rPr>
        <w:t>means clean soil, free of debris or large organic material, which has been mechanically moved onto a site and has been in place for less than one year, and is characterized by a lack of distinct horizons or color patterns as found in naturally developed, undisturbed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“Filtered pump vault”</w:t>
      </w:r>
      <w:r>
        <w:rPr>
          <w:rFonts w:ascii="Times New Roman" w:hAnsi="Times New Roman"/>
          <w:b w:val="false"/>
          <w:i w:val="false"/>
          <w:color w:val="000000"/>
          <w:sz w:val="22"/>
        </w:rPr>
        <w:t> </w:t>
      </w:r>
      <w:r>
        <w:rPr>
          <w:rFonts w:ascii="Times New Roman" w:hAnsi="Times New Roman"/>
          <w:b w:val="false"/>
          <w:i w:val="false"/>
          <w:color w:val="000000"/>
          <w:sz w:val="22"/>
        </w:rPr>
        <w:t>means a device installed in a septic or pump tank that houses a pump and screens effluent with ⅛-inch or smaller diameter openings before it enters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“Foundation drain”</w:t>
      </w:r>
      <w:r>
        <w:rPr>
          <w:rFonts w:ascii="Times New Roman" w:hAnsi="Times New Roman"/>
          <w:b w:val="false"/>
          <w:i w:val="false"/>
          <w:color w:val="000000"/>
          <w:sz w:val="22"/>
        </w:rPr>
        <w:t> </w:t>
      </w:r>
      <w:r>
        <w:rPr>
          <w:rFonts w:ascii="Times New Roman" w:hAnsi="Times New Roman"/>
          <w:b w:val="false"/>
          <w:i w:val="false"/>
          <w:color w:val="000000"/>
          <w:sz w:val="22"/>
        </w:rPr>
        <w:t>means the portion of a building drainage system that is provided to drain groundwater, not including any wastewater, from the outside of the foundation or over or under the basement floor and that is not connected to the building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w:t>
      </w:r>
      <w:r>
        <w:rPr>
          <w:rFonts w:ascii="Times New Roman" w:hAnsi="Times New Roman"/>
          <w:b w:val="false"/>
          <w:i w:val="false"/>
          <w:color w:val="000000"/>
          <w:sz w:val="22"/>
        </w:rPr>
        <w:t> </w:t>
      </w:r>
      <w:r>
        <w:rPr>
          <w:rFonts w:ascii="Times New Roman" w:hAnsi="Times New Roman"/>
          <w:b w:val="false"/>
          <w:i w:val="false"/>
          <w:color w:val="000000"/>
          <w:sz w:val="22"/>
        </w:rPr>
        <w:t>means stone screened from river sand or quarried and washed free of clay and clay coatings. Concrete aggregate designated as Class II by the Iowa DOT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“Gravel aggregate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utilizing gravel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“Grease interceptor”</w:t>
      </w:r>
      <w:r>
        <w:rPr>
          <w:rFonts w:ascii="Times New Roman" w:hAnsi="Times New Roman"/>
          <w:b w:val="false"/>
          <w:i w:val="false"/>
          <w:color w:val="000000"/>
          <w:sz w:val="22"/>
        </w:rPr>
        <w:t> </w:t>
      </w:r>
      <w:r>
        <w:rPr>
          <w:rFonts w:ascii="Times New Roman" w:hAnsi="Times New Roman"/>
          <w:b w:val="false"/>
          <w:i w:val="false"/>
          <w:color w:val="000000"/>
          <w:sz w:val="22"/>
        </w:rPr>
        <w:t>means a watertight device designed to intercept and retain or remove grease and fatty substances. The device may be located inside (grease separator) or outside (grease tank or grease trap)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“Holding tank for waste”</w:t>
      </w:r>
      <w:r>
        <w:rPr>
          <w:rFonts w:ascii="Times New Roman" w:hAnsi="Times New Roman"/>
          <w:b w:val="false"/>
          <w:i w:val="false"/>
          <w:color w:val="000000"/>
          <w:sz w:val="22"/>
        </w:rPr>
        <w:t> </w:t>
      </w:r>
      <w:r>
        <w:rPr>
          <w:rFonts w:ascii="Times New Roman" w:hAnsi="Times New Roman"/>
          <w:b w:val="false"/>
          <w:i w:val="false"/>
          <w:color w:val="000000"/>
          <w:sz w:val="22"/>
        </w:rPr>
        <w:t>means a structure used for the retention or storage of domestic sewage pending removal for further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subsurface sand filter”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“ISSF”</w:t>
      </w:r>
      <w:r>
        <w:rPr>
          <w:rFonts w:ascii="Times New Roman" w:hAnsi="Times New Roman"/>
          <w:b w:val="false"/>
          <w:i w:val="false"/>
          <w:color w:val="000000"/>
          <w:sz w:val="22"/>
        </w:rPr>
        <w:t> </w:t>
      </w:r>
      <w:r>
        <w:rPr>
          <w:rFonts w:ascii="Times New Roman" w:hAnsi="Times New Roman"/>
          <w:b w:val="false"/>
          <w:i w:val="false"/>
          <w:color w:val="000000"/>
          <w:sz w:val="22"/>
        </w:rPr>
        <w:t>means a bed of granular materials underlain by gravel and collecting tile and provided with a natural topsoil cover over the crown of the distribution system. Primary treated effluent is applied intermittently to the surface of the bed through a distribution system, and the bed is underdrained to collect and discharge the secondary treated effluent. Uniform distribution is best obtained by dosing so as to utilize the entire surface of the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“Mound system”</w:t>
      </w:r>
      <w:r>
        <w:rPr>
          <w:rFonts w:ascii="Times New Roman" w:hAnsi="Times New Roman"/>
          <w:b w:val="false"/>
          <w:i w:val="false"/>
          <w:color w:val="000000"/>
          <w:sz w:val="22"/>
        </w:rPr>
        <w:t> </w:t>
      </w:r>
      <w:r>
        <w:rPr>
          <w:rFonts w:ascii="Times New Roman" w:hAnsi="Times New Roman"/>
          <w:b w:val="false"/>
          <w:i w:val="false"/>
          <w:color w:val="000000"/>
          <w:sz w:val="22"/>
        </w:rPr>
        <w:t>means a pressurized aboveground soil absorption system used to disperse effluent from septic tanks in cases where a seasonally high water table, high bedrock conditions, slowly permeable soils, or limited land areas prevent conventional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pressure distribution device”</w:t>
      </w:r>
      <w:r>
        <w:rPr>
          <w:rFonts w:ascii="Times New Roman" w:hAnsi="Times New Roman"/>
          <w:b w:val="false"/>
          <w:i w:val="false"/>
          <w:color w:val="000000"/>
          <w:sz w:val="22"/>
        </w:rPr>
        <w:t> </w:t>
      </w:r>
      <w:r>
        <w:rPr>
          <w:rFonts w:ascii="Times New Roman" w:hAnsi="Times New Roman"/>
          <w:b w:val="false"/>
          <w:i w:val="false"/>
          <w:color w:val="000000"/>
          <w:sz w:val="22"/>
        </w:rPr>
        <w:t>means any device used to evenly distribute effluent other than a manufactured siphon device intended to be used for effluent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“Percolation test”</w:t>
      </w:r>
      <w:r>
        <w:rPr>
          <w:rFonts w:ascii="Times New Roman" w:hAnsi="Times New Roman"/>
          <w:b w:val="false"/>
          <w:i w:val="false"/>
          <w:color w:val="000000"/>
          <w:sz w:val="22"/>
        </w:rPr>
        <w:t> </w:t>
      </w:r>
      <w:r>
        <w:rPr>
          <w:rFonts w:ascii="Times New Roman" w:hAnsi="Times New Roman"/>
          <w:b w:val="false"/>
          <w:i w:val="false"/>
          <w:color w:val="000000"/>
          <w:sz w:val="22"/>
        </w:rPr>
        <w:t>means a falling water level procedure used to determine the ability of soils to absorb effluent or pretreated effluent. See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“Pressure distribution system”</w:t>
      </w:r>
      <w:r>
        <w:rPr>
          <w:rFonts w:ascii="Times New Roman" w:hAnsi="Times New Roman"/>
          <w:b w:val="false"/>
          <w:i w:val="false"/>
          <w:color w:val="000000"/>
          <w:sz w:val="22"/>
        </w:rPr>
        <w:t> </w:t>
      </w:r>
      <w:r>
        <w:rPr>
          <w:rFonts w:ascii="Times New Roman" w:hAnsi="Times New Roman"/>
          <w:b w:val="false"/>
          <w:i w:val="false"/>
          <w:color w:val="000000"/>
          <w:sz w:val="22"/>
        </w:rPr>
        <w:t>means a network of distribution pipes in which effluent is forced through orifices under pressure. Pressure distribution may be accomplished by use of a pump, siphon device, or other manufactured pressure distribution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“Pretreated effluent”</w:t>
      </w:r>
      <w:r>
        <w:rPr>
          <w:rFonts w:ascii="Times New Roman" w:hAnsi="Times New Roman"/>
          <w:b w:val="false"/>
          <w:i w:val="false"/>
          <w:color w:val="000000"/>
          <w:sz w:val="22"/>
        </w:rPr>
        <w:t> </w:t>
      </w:r>
      <w:r>
        <w:rPr>
          <w:rFonts w:ascii="Times New Roman" w:hAnsi="Times New Roman"/>
          <w:b w:val="false"/>
          <w:i w:val="false"/>
          <w:color w:val="000000"/>
          <w:sz w:val="22"/>
        </w:rPr>
        <w:t>means effluent treated through aeration or other methods that, upon laboratory analysis, meets or exceeds a monthly average for CBOD</w:t>
      </w:r>
      <w:r>
        <w:rPr>
          <w:rFonts w:ascii="Times New Roman" w:hAnsi="Times New Roman"/>
          <w:b w:val="false"/>
          <w:i w:val="false"/>
          <w:color w:val="000000"/>
          <w:sz w:val="11"/>
          <w:vertAlign w:val="subscript"/>
        </w:rPr>
        <w:t>5</w:t>
      </w:r>
      <w:r>
        <w:rPr>
          <w:rFonts w:ascii="Times New Roman" w:hAnsi="Times New Roman"/>
          <w:b w:val="false"/>
          <w:i w:val="false"/>
          <w:color w:val="000000"/>
          <w:sz w:val="22"/>
        </w:rPr>
        <w:t xml:space="preserve"> of 25 mg/L and TSS of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treatment unit”</w:t>
      </w:r>
      <w:r>
        <w:rPr>
          <w:rFonts w:ascii="Times New Roman" w:hAnsi="Times New Roman"/>
          <w:b w:val="false"/>
          <w:i w:val="false"/>
          <w:color w:val="000000"/>
          <w:sz w:val="22"/>
        </w:rPr>
        <w:t> </w:t>
      </w:r>
      <w:r>
        <w:rPr>
          <w:rFonts w:ascii="Times New Roman" w:hAnsi="Times New Roman"/>
          <w:b w:val="false"/>
          <w:i w:val="false"/>
          <w:color w:val="000000"/>
          <w:sz w:val="22"/>
        </w:rPr>
        <w:t>means a unit or system used to separate the floating and settleable solids from the wastewater before the partially treated effluent is discharged for secondary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sewage disposal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“PSDS”</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For the purposes of this chapter, the term includes the treatment systems presented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soil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alternative to the percolation test that depends upon a knowledgeable person evaluating the soil characteristics, such as color, texture, and structure, in order to determine an equivalent percolation or loading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“Proprietary treatment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device or product that is certified by a third-party certifier accredited by the American National Standards Institute (ANSI) to meet the National Sanitation Foundation (NSF)/ANSI Standard 40-2023, October 1, 2023, available on the NSF website at: </w:t>
      </w:r>
      <w:hyperlink r:id="rId9">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equivalent testing as determined by the department. Examples may include but are not limited to peat moss biofilters, coconut fiber filters, synthetic foam filters, polystyrene bead media filters, textile filters, modular fixed film soil systems, or aerobic treatment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“PVC”</w:t>
      </w:r>
      <w:r>
        <w:rPr>
          <w:rFonts w:ascii="Times New Roman" w:hAnsi="Times New Roman"/>
          <w:b w:val="false"/>
          <w:i w:val="false"/>
          <w:color w:val="000000"/>
          <w:sz w:val="22"/>
        </w:rPr>
        <w:t> </w:t>
      </w:r>
      <w:r>
        <w:rPr>
          <w:rFonts w:ascii="Times New Roman" w:hAnsi="Times New Roman"/>
          <w:b w:val="false"/>
          <w:i w:val="false"/>
          <w:color w:val="000000"/>
          <w:sz w:val="22"/>
        </w:rPr>
        <w:t>means polyvinyl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sampler,”</w:t>
      </w:r>
      <w:r>
        <w:rPr>
          <w:rFonts w:ascii="Times New Roman" w:hAnsi="Times New Roman"/>
          <w:b w:val="false"/>
          <w:i w:val="false"/>
          <w:color w:val="000000"/>
          <w:sz w:val="22"/>
        </w:rPr>
        <w:t> </w:t>
      </w:r>
      <w:r>
        <w:rPr>
          <w:rFonts w:ascii="Times New Roman" w:hAnsi="Times New Roman"/>
          <w:b w:val="false"/>
          <w:i w:val="false"/>
          <w:color w:val="000000"/>
          <w:sz w:val="22"/>
        </w:rPr>
        <w:t>for the purposes of collecting compliance effluent samples required under NPDES General Permit No. 4, means one of the following persons: a city or county environmental health staff person; an Iowa-certified wastewater treatment operator; or an individual who has received department-approved training to conduct effluent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“Roof drain”</w:t>
      </w:r>
      <w:r>
        <w:rPr>
          <w:rFonts w:ascii="Times New Roman" w:hAnsi="Times New Roman"/>
          <w:b w:val="false"/>
          <w:i w:val="false"/>
          <w:color w:val="000000"/>
          <w:sz w:val="22"/>
        </w:rPr>
        <w:t> </w:t>
      </w:r>
      <w:r>
        <w:rPr>
          <w:rFonts w:ascii="Times New Roman" w:hAnsi="Times New Roman"/>
          <w:b w:val="false"/>
          <w:i w:val="false"/>
          <w:color w:val="000000"/>
          <w:sz w:val="22"/>
        </w:rPr>
        <w:t>means a drain installed to receive water collecting on the surface of a roof and discharging into an area or storm drain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w:t>
      </w:r>
      <w:r>
        <w:rPr>
          <w:rFonts w:ascii="Times New Roman" w:hAnsi="Times New Roman"/>
          <w:b w:val="false"/>
          <w:i w:val="false"/>
          <w:color w:val="000000"/>
          <w:sz w:val="22"/>
        </w:rPr>
        <w:t> </w:t>
      </w:r>
      <w:r>
        <w:rPr>
          <w:rFonts w:ascii="Times New Roman" w:hAnsi="Times New Roman"/>
          <w:b w:val="false"/>
          <w:i w:val="false"/>
          <w:color w:val="000000"/>
          <w:sz w:val="22"/>
        </w:rPr>
        <w:t>means schedule, as in Schedule 40 pipe. It describes the wall thickness of a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“SDR”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standard dimension ratio, which is the ratio of pipe diameter to wall thickness. It is a method of rating a pipe’s durability against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treatment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biological treatment of effluent from septic tanks or other primary treatment units. Examples include but are not limited to soil absorption systems, ISSFs, PTSs, or other systems providing equivalent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“Septic tank”</w:t>
      </w:r>
      <w:r>
        <w:rPr>
          <w:rFonts w:ascii="Times New Roman" w:hAnsi="Times New Roman"/>
          <w:b w:val="false"/>
          <w:i w:val="false"/>
          <w:color w:val="000000"/>
          <w:sz w:val="22"/>
        </w:rPr>
        <w:t> </w:t>
      </w:r>
      <w:r>
        <w:rPr>
          <w:rFonts w:ascii="Times New Roman" w:hAnsi="Times New Roman"/>
          <w:b w:val="false"/>
          <w:i w:val="false"/>
          <w:color w:val="000000"/>
          <w:sz w:val="22"/>
        </w:rPr>
        <w:t>means a watertight structure into which wastewater is discharged for solids separation and digestion (referred to as part of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bed system”</w:t>
      </w:r>
      <w:r>
        <w:rPr>
          <w:rFonts w:ascii="Times New Roman" w:hAnsi="Times New Roman"/>
          <w:b w:val="false"/>
          <w:i w:val="false"/>
          <w:color w:val="000000"/>
          <w:sz w:val="22"/>
        </w:rPr>
        <w:t> </w:t>
      </w:r>
      <w:r>
        <w:rPr>
          <w:rFonts w:ascii="Times New Roman" w:hAnsi="Times New Roman"/>
          <w:b w:val="false"/>
          <w:i w:val="false"/>
          <w:color w:val="000000"/>
          <w:sz w:val="22"/>
        </w:rPr>
        <w:t>means a soil absorption system that is a shallow excavation lined with aggregate or other suitable materials, including a leaching chamber or EPS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absorption system”</w:t>
      </w:r>
      <w:r>
        <w:rPr>
          <w:rFonts w:ascii="Times New Roman" w:hAnsi="Times New Roman"/>
          <w:b w:val="false"/>
          <w:i w:val="false"/>
          <w:color w:val="000000"/>
          <w:sz w:val="22"/>
        </w:rPr>
        <w:t> </w:t>
      </w:r>
      <w:r>
        <w:rPr>
          <w:rFonts w:ascii="Times New Roman" w:hAnsi="Times New Roman"/>
          <w:b w:val="false"/>
          <w:i w:val="false"/>
          <w:color w:val="000000"/>
          <w:sz w:val="22"/>
        </w:rPr>
        <w:t>means a conventional, at-grade, mound, or soil absorption bed system that uses a system of perforated conduits connected to a distribution system, forming a series of subsurface, water-carrying channels into which the septic tank effluent or pretreated effluent is discharged for direct absorption into the soil (referred to as part of the open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with training and experience in soil morphology, including but not limited to experience in testing the absorption qualities of soil by the physical examination of the soil’s color, mottling, texture, structure, topography, and hillslope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watercourse listed as a “designated use segment” in </w:t>
      </w:r>
      <w:hyperlink r:id="rId10">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color w:val="000000"/>
          <w:sz w:val="22"/>
        </w:rPr>
        <w:t xml:space="preserve">General PSDS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Connections to approved sewer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PSDS shall be installed, repaired, or rehabilitated where a publicly owned treatment works (POTW) is available or where a local ordinance requires connection to a POTW. A POTW may be considered unavailable when the POTW, or any building or any exterior drainage facility connected thereto, is located more than 200 feet from any proposed building or exterior drainage facility on any lot or premises that abuts and is served by a POTW. Final determination of availability shall be made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POTW becomes available within 200 feet, any building then served by a PSDS shall be connected to said POTW within a time frame and under conditions set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POTW is not available, every building wherein persons generate domestic sewage shall be provided with an approved PSDS. A holding tank for waste may be used only if all other PSDS options are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building is to be connected to an existing PSDS, that existing system shall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or alteration. </w:t>
      </w:r>
      <w:r>
        <w:rPr>
          <w:rFonts w:ascii="Times New Roman" w:hAnsi="Times New Roman"/>
          <w:b w:val="false"/>
          <w:i w:val="false"/>
          <w:color w:val="000000"/>
          <w:sz w:val="22"/>
        </w:rPr>
        <w:t xml:space="preserve">All constructed or altered PSDSs shall comply with this chapter. Alteration includes any changes that affect the treatment or disposal of the waste. Repair of existing components of a PSDS that do not change the treatment or disposal of the waste are not considered alterations. However, the discharge restrictions in </w:t>
      </w:r>
      <w:hyperlink r:id="rId11">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PSDSs shall be abandoned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Concrete tanks shall be pumped, the tank lid crushed into the tank, and the tank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Plastic, fiberglass, or metal tanks shall be pumped and removed and the cavity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r>
        <w:rPr>
          <w:rFonts w:ascii="Times New Roman" w:hAnsi="Times New Roman"/>
          <w:b w:val="false"/>
          <w:i w:val="false"/>
          <w:color w:val="000000"/>
          <w:sz w:val="22"/>
        </w:rPr>
        <w:t xml:space="preserve">No PSDS shall be installed or altered as described in </w:t>
      </w:r>
      <w:hyperlink r:id="rId12">
        <w:r>
          <w:rPr>
            <w:rStyle w:val="Hyperlink"/>
            <w:rFonts w:ascii="Times New Roman" w:hAnsi="Times New Roman"/>
            <w:b w:val="false"/>
            <w:i w:val="false"/>
            <w:color w:val="000000"/>
            <w:sz w:val="22"/>
          </w:rPr>
          <w:t>69.1(3)</w:t>
        </w:r>
      </w:hyperlink>
      <w:r>
        <w:rPr>
          <w:rFonts w:ascii="Times New Roman" w:hAnsi="Times New Roman"/>
          <w:b w:val="false"/>
          <w:i/>
          <w:color w:val="000000"/>
          <w:sz w:val="22"/>
        </w:rPr>
        <w:t>“b”</w:t>
      </w:r>
      <w:r>
        <w:rPr>
          <w:rFonts w:ascii="Times New Roman" w:hAnsi="Times New Roman"/>
          <w:b w:val="false"/>
          <w:i w:val="false"/>
          <w:color w:val="000000"/>
          <w:sz w:val="22"/>
        </w:rPr>
        <w:t xml:space="preserve"> unless a construction permit issued by the administrative authority is obtained prior to construction. PSDS installation shall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color w:val="000000"/>
          <w:sz w:val="22"/>
        </w:rPr>
        <w:t xml:space="preserve">Permit by rule. </w:t>
      </w:r>
      <w:r>
        <w:rPr>
          <w:rFonts w:ascii="Times New Roman" w:hAnsi="Times New Roman"/>
          <w:b w:val="false"/>
          <w:i w:val="false"/>
          <w:color w:val="000000"/>
          <w:sz w:val="22"/>
        </w:rPr>
        <w:t xml:space="preserve">This chapter is intended to act as a permit by rule for PSDSs. Activities in compliance with this chapter are permitted by the director for purposes of compliance with Iowa Code sections </w:t>
      </w:r>
      <w:hyperlink r:id="rId13">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455B.186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color w:val="000000"/>
          <w:sz w:val="22"/>
        </w:rPr>
        <w:t xml:space="preserve">Site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 evaluation. </w:t>
      </w:r>
      <w:r>
        <w:rPr>
          <w:rFonts w:ascii="Times New Roman" w:hAnsi="Times New Roman"/>
          <w:b w:val="false"/>
          <w:i w:val="false"/>
          <w:color w:val="000000"/>
          <w:sz w:val="22"/>
        </w:rPr>
        <w:t xml:space="preserve">The administrative authority shall conduct a site evaluation prior to the issuance of a construction permit. Consideration shall be given but not be limited to the impact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Topography, including but not limited to drainage ways, terraces, floodplains, and percent of land slope;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property lines, easements, buried utilities, existing and proposed tile lines, and existing, proposed, and abandoned water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available area for installation of the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unstable ground;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Alteration (cutting, filling, compacting) of existing soil profiles.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characteristics and permeability. </w:t>
      </w:r>
      <w:r>
        <w:rPr>
          <w:rFonts w:ascii="Times New Roman" w:hAnsi="Times New Roman"/>
          <w:b w:val="false"/>
          <w:i w:val="false"/>
          <w:color w:val="000000"/>
          <w:sz w:val="22"/>
        </w:rPr>
        <w:t xml:space="preserve">The soil characteristics and permeability of a specific site shall be determined by performing a percolation test or a soil analysis. The administrative authority shall determine who is a trained and qualified soil professional and who may conduct percolation tests. All percolation tests shall be conducted in accordance with Appendix B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inspections. </w:t>
      </w:r>
      <w:r>
        <w:rPr>
          <w:rFonts w:ascii="Times New Roman" w:hAnsi="Times New Roman"/>
          <w:b w:val="false"/>
          <w:i w:val="false"/>
          <w:color w:val="000000"/>
          <w:sz w:val="22"/>
        </w:rPr>
        <w:t>The administrative authority shall conduct an at-location inspection of all newly constructed PSDSs before the system is backfilled. A final as-built drawing shall be made as part of the final inspection and kept on file with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tracking system. </w:t>
      </w:r>
      <w:r>
        <w:rPr>
          <w:rFonts w:ascii="Times New Roman" w:hAnsi="Times New Roman"/>
          <w:b w:val="false"/>
          <w:i w:val="false"/>
          <w:color w:val="000000"/>
          <w:sz w:val="22"/>
        </w:rPr>
        <w:t>All pertinent information, including but not limited to the site address, owner, type, date of installation, percolation test or soil analysis, and as-built drawing of the PSDS shall be entered into the department’s onsite wastewater tracking system, available on the department’s website at www.iowadnr.gov, after a final inspection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distances (SDs). </w:t>
      </w:r>
      <w:r>
        <w:rPr>
          <w:rFonts w:ascii="Times New Roman" w:hAnsi="Times New Roman"/>
          <w:b w:val="false"/>
          <w:i w:val="false"/>
          <w:color w:val="000000"/>
          <w:sz w:val="22"/>
        </w:rPr>
        <w:t xml:space="preserve">All PSDSs shall be located in accordance with the minimum SDs in Table I in </w:t>
      </w:r>
      <w:hyperlink r:id="rId1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w:t>
      </w:r>
      <w:r>
        <w:rPr>
          <w:rFonts w:ascii="Times New Roman" w:hAnsi="Times New Roman"/>
          <w:b w:val="false"/>
          <w:i w:val="false"/>
          <w:color w:val="000000"/>
          <w:sz w:val="22"/>
        </w:rPr>
        <w:t> </w:t>
      </w:r>
      <w:r>
        <w:rPr>
          <w:rFonts w:ascii="Times New Roman" w:hAnsi="Times New Roman"/>
          <w:b w:val="false"/>
          <w:i/>
          <w:color w:val="000000"/>
          <w:sz w:val="22"/>
        </w:rPr>
        <w:t xml:space="preserve">Discharge restrictions. </w:t>
      </w:r>
      <w:r>
        <w:rPr>
          <w:rFonts w:ascii="Times New Roman" w:hAnsi="Times New Roman"/>
          <w:b w:val="false"/>
          <w:i w:val="false"/>
          <w:color w:val="000000"/>
          <w:sz w:val="22"/>
        </w:rPr>
        <w:t>It is prohibited to discharge any wastewater from PSDSs (except as permitted in this chapter) to any ditch, stream, pond, lake, natural or artificial waterway, county drain tile, surface water drain tile, or land drain tile, to the groundwater, or to the surface of the ground. Under no conditions shall effluent from PSDSs be discharged to any abandoned well, agricultural drainage well, or sinkhole. Existing discharges to any of the above-listed locations or structures shall be eliminated by the construction of a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surface water. </w:t>
      </w:r>
      <w:r>
        <w:rPr>
          <w:rFonts w:ascii="Times New Roman" w:hAnsi="Times New Roman"/>
          <w:b w:val="false"/>
          <w:i w:val="false"/>
          <w:color w:val="000000"/>
          <w:sz w:val="22"/>
        </w:rPr>
        <w:t xml:space="preserve">All discharges from PSDSs that are discharged into any designated waters of the state or subsurface drainage tile shall conform with the requirements of NPDES General Permit No. 4 (GP 4) issued by the department, as referenced in </w:t>
      </w:r>
      <w:hyperlink r:id="rId16">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Prior to the use of any system discharging to designated waters of the state or a subsurface drainage tile, a Notice of Intent to be covered by GP 4 shall be submitted to the department. Systems covered by GP 4 must meet all applicable permit requirements, including effluent sampling and monitoring. No PSDS shall discharge to a state-owned natural or artificial lake, an outstanding Iowa water, or an outstanding national water as defined in </w:t>
      </w:r>
      <w:hyperlink r:id="rId17">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above the ground surface. </w:t>
      </w:r>
      <w:r>
        <w:rPr>
          <w:rFonts w:ascii="Times New Roman" w:hAnsi="Times New Roman"/>
          <w:b w:val="false"/>
          <w:i w:val="false"/>
          <w:color w:val="000000"/>
          <w:sz w:val="22"/>
        </w:rPr>
        <w:t>All discharges from PSDSs that are discharged to the surface of the ground and require a maintenance contract shall be installed, operated, and maintained by a manufacturer-certified technician in accordance with the manufacturer’s instructions and the requirements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when effluent is discharged into the soil. </w:t>
      </w:r>
      <w:r>
        <w:rPr>
          <w:rFonts w:ascii="Times New Roman" w:hAnsi="Times New Roman"/>
          <w:b w:val="false"/>
          <w:i w:val="false"/>
          <w:color w:val="000000"/>
          <w:sz w:val="22"/>
        </w:rPr>
        <w:t>No septage or wastewater shall be discharged into the soil except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w:t>
      </w:r>
      <w:r>
        <w:rPr>
          <w:rFonts w:ascii="Times New Roman" w:hAnsi="Times New Roman"/>
          <w:b w:val="false"/>
          <w:i w:val="false"/>
          <w:color w:val="000000"/>
          <w:sz w:val="22"/>
        </w:rPr>
        <w:t> </w:t>
      </w:r>
      <w:r>
        <w:rPr>
          <w:rFonts w:ascii="Times New Roman" w:hAnsi="Times New Roman"/>
          <w:b w:val="false"/>
          <w:i/>
          <w:color w:val="000000"/>
          <w:sz w:val="22"/>
        </w:rPr>
        <w:t xml:space="preserve">Maximum flow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Residential wastewater design flow rates are based on 150 gallons per bedroom per day. Wastewater design flow rates for nonresidential domestic waste applications serving the equivalent of fewer than 16 individuals on a continuing basis are detailed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Wastewater design flow rates for a nonresidential use that are not listed in Appendix A may be determined by a professional engineer licensed in the state of Iowa prior to issuance of a construction permit by an administrative authority. The administrative authority may require a system to be designed using the nonresidential flows listed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69.1(10)</w:t>
      </w:r>
      <w:r>
        <w:rPr>
          <w:rFonts w:ascii="Times New Roman" w:hAnsi="Times New Roman"/>
          <w:b w:val="false"/>
          <w:i w:val="false"/>
          <w:color w:val="000000"/>
          <w:sz w:val="22"/>
        </w:rPr>
        <w:t> </w:t>
      </w:r>
      <w:r>
        <w:rPr>
          <w:rFonts w:ascii="Times New Roman" w:hAnsi="Times New Roman"/>
          <w:b w:val="false"/>
          <w:i/>
          <w:color w:val="000000"/>
          <w:sz w:val="22"/>
        </w:rPr>
        <w:t xml:space="preserve">Flow equalization. </w:t>
      </w:r>
      <w:r>
        <w:rPr>
          <w:rFonts w:ascii="Times New Roman" w:hAnsi="Times New Roman"/>
          <w:b w:val="false"/>
          <w:i w:val="false"/>
          <w:color w:val="000000"/>
          <w:sz w:val="22"/>
        </w:rPr>
        <w:t xml:space="preserve">Flow equalization may be used at the discretion of a professional engineer licensed in the state of Iowa. The determination to use flow equalization shall be made prior to issuance of a construction permit by an administrative authority. If used, flow equalization shall meet all of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flow of the secondary treatment unit receiving the equalized flow cannot exceed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Equalized flow to the secondary treatment unit shall be mechanically time dosed.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design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and construction. </w:t>
      </w:r>
      <w:r>
        <w:rPr>
          <w:rFonts w:ascii="Times New Roman" w:hAnsi="Times New Roman"/>
          <w:b w:val="false"/>
          <w:i w:val="false"/>
          <w:color w:val="000000"/>
          <w:sz w:val="22"/>
        </w:rPr>
        <w:t xml:space="preserve">Building sewers shall be constructed in accordance with the SDs in Table I in </w:t>
      </w:r>
      <w:hyperlink r:id="rId18">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distances shall be considered minimum distances and shall be increased where possible to provide better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Building sewers used to conduct wastewater from a building to the primary treatment unit of a PSDS shall be constructed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 40 PVC pipe (SDR 26 or stronger) with solvent-weld or bell-and-gasket-type joints approved for use for below grade applications or for the wastewater industry;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Cast iron with integral bell-and-gasket-type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Building sewers shall not be less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Building sewers shall be laid to the following minimum grades:</w:t>
      </w:r>
    </w:p>
    <w:p>
      <w:pPr>
        <w:spacing w:before="0" w:after="0"/>
        <w:ind w:left="120"/>
        <w:jc w:val="both"/>
      </w:pPr>
      <w:r>
        <w:rPr>
          <w:rFonts w:ascii="Times New Roman" w:hAnsi="Times New Roman"/>
          <w:b w:val="false"/>
          <w:i w:val="false"/>
          <w:color w:val="000000"/>
          <w:sz w:val="22"/>
        </w:rPr>
        <w:t>4-inch sewer</w:t>
      </w:r>
      <w:r>
        <w:rPr>
          <w:rFonts w:ascii="Times New Roman" w:hAnsi="Times New Roman"/>
          <w:b w:val="false"/>
          <w:i w:val="false"/>
          <w:color w:val="000000"/>
          <w:sz w:val="22"/>
        </w:rPr>
        <w:t>12 inches per 100 feet</w:t>
      </w:r>
    </w:p>
    <w:p>
      <w:pPr>
        <w:spacing w:before="0" w:after="0"/>
        <w:ind w:left="120"/>
        <w:jc w:val="both"/>
      </w:pPr>
      <w:r>
        <w:rPr>
          <w:rFonts w:ascii="Times New Roman" w:hAnsi="Times New Roman"/>
          <w:b w:val="false"/>
          <w:i w:val="false"/>
          <w:color w:val="000000"/>
          <w:sz w:val="22"/>
        </w:rPr>
        <w:t>6-inch sewer</w:t>
      </w:r>
      <w:r>
        <w:rPr>
          <w:rFonts w:ascii="Times New Roman" w:hAnsi="Times New Roman"/>
          <w:b w:val="false"/>
          <w:i w:val="false"/>
          <w:color w:val="000000"/>
          <w:sz w:val="22"/>
        </w:rPr>
        <w:t>8 inches per 100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Cleanouts.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A cleanout shall be provided where the building sewer leaves the structure and at least every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direction or grade. </w:t>
      </w:r>
      <w:r>
        <w:rPr>
          <w:rFonts w:ascii="Times New Roman" w:hAnsi="Times New Roman"/>
          <w:b w:val="false"/>
          <w:i w:val="false"/>
          <w:color w:val="000000"/>
          <w:sz w:val="22"/>
        </w:rPr>
        <w:t>An accessible cleanout shall be provided at each change of direction or grade if the change exceeds 45 degrees prior to primary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Grease interceptors.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Grease interceptors shall be provided for kitchen flows at restaurants, nursing homes, schools, hospitals, and any other facilities from which grease can be expected to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Grease interceptors shall be installed on separate building sewers serving kitchen flows into which the grease will be discharged. A discharge from a grease interceptor must flow to either a properly designed septic tank or to a building sewer and then to the primary treatment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Impervious vault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Impervious vault toilets shall be located in accordance with the SDs in Table I in </w:t>
      </w:r>
      <w:hyperlink r:id="rId19">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closed portion of a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vault shall be constructed of reinforced, impervious concrete at least four inches thick. The superstructure, including floor slab, seat, seat cover, riser, and building, shall comply with good design and construction practices to provide permanent, safe, and sanitary facilities. The vault shall be provided with a cleanout opening fitted with a fly-tight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impervious vault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Portable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 xml:space="preserve">All portable toilets shall be designed to receive and retain the wastes deposited in them and shall be located and maintained in a manner that will prevent the creation of any nuisance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system. </w:t>
      </w:r>
      <w:r>
        <w:rPr>
          <w:rFonts w:ascii="Times New Roman" w:hAnsi="Times New Roman"/>
          <w:b w:val="false"/>
          <w:i w:val="false"/>
          <w:color w:val="000000"/>
          <w:sz w:val="22"/>
        </w:rPr>
        <w:t>Wastewater from portable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Holding tanks for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Holding tanks may only be used when site characteristics or restrictions do not allow for the installation of a system that consists of both primary and secondary treatment or when the use will be seasonal or sporadic.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The minimum liquid-holding capacity shall be 1,250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Pumping frequency. </w:t>
      </w:r>
      <w:r>
        <w:rPr>
          <w:rFonts w:ascii="Times New Roman" w:hAnsi="Times New Roman"/>
          <w:b w:val="false"/>
          <w:i w:val="false"/>
          <w:color w:val="000000"/>
          <w:sz w:val="22"/>
        </w:rPr>
        <w:t>Holding tanks shall be pumped as necessary to prevent overflows, leaks, or releases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Holding tank owners shall keep all pumping records for three years. Records shall be made available to the administrative authority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Holding tanks shall be constructed and installed using the materials and processes allowed for septic tanks in </w:t>
      </w:r>
      <w:hyperlink r:id="rId20">
        <w:r>
          <w:rPr>
            <w:rStyle w:val="Hyperlink"/>
            <w:rFonts w:ascii="Times New Roman" w:hAnsi="Times New Roman"/>
            <w:b w:val="false"/>
            <w:i w:val="false"/>
            <w:color w:val="000000"/>
            <w:sz w:val="22"/>
          </w:rPr>
          <w:t>69.3(6)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69.3(8)</w:t>
        </w:r>
      </w:hyperlink>
      <w:r>
        <w:rPr>
          <w:rFonts w:ascii="Times New Roman" w:hAnsi="Times New Roman"/>
          <w:b w:val="false"/>
          <w:i w:val="false"/>
          <w:color w:val="000000"/>
          <w:sz w:val="22"/>
        </w:rPr>
        <w:t>. All holding tanks shall be equipped with a high-water alarm.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holding tanks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No PSDS shall be located upon property under ownership different from the ownership of that property or lot upon which the wastewater originates unless easements to that effect are legally recorded and approved by the proper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treatment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Every PSDS shall have, as a primary treatment unit, a septic tank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wastewater from a facility shall discharge into a septic tank, and all septic tank effluent shall discharge into a secondary treatment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Septic tanks shall not be used for the disposal of chemical wastes or grease in quantities that might be detrimental to the bacterial action in the tank, or for the disposal of drainage from roof drains, foundation drains, or area drains.</w:t>
      </w:r>
    </w:p>
    <w:p>
      <w:pPr>
        <w:spacing w:before="0" w:after="0"/>
        <w:ind w:left="120"/>
        <w:jc w:val="both"/>
      </w:pP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capacity for septic tanks is specified in Table I (capacity may be obtained by using one or more tanks):</w:t>
      </w:r>
    </w:p>
    <w:p>
      <w:pPr>
        <w:spacing w:before="60" w:after="0"/>
        <w:ind w:left="120"/>
        <w:jc w:val="center"/>
      </w:pPr>
      <w:r>
        <w:rPr>
          <w:rFonts w:ascii="Times New Roman" w:hAnsi="Times New Roman"/>
          <w:b/>
          <w:i w:val="false"/>
          <w:color w:val="000000"/>
          <w:sz w:val="22"/>
        </w:rPr>
        <w:t>Table I - Septic Tank Holding Capacity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16"/>
        <w:gridCol w:w="4536"/>
      </w:tblGrid>
      <w:tr>
        <w:trPr>
          <w:trHeight w:val="36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Home Size</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Septic Tank Minimum Liquid Holding Capacity in gallons</w:t>
            </w:r>
          </w:p>
        </w:tc>
      </w:tr>
      <w:tr>
        <w:trPr>
          <w:trHeight w:val="195"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Up to and including 3-bedroom homes</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1,250 gal.</w:t>
            </w:r>
          </w:p>
        </w:tc>
      </w:tr>
      <w:tr>
        <w:trPr>
          <w:trHeight w:val="195"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4-bedroom homes</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1,500 gal.</w:t>
            </w:r>
          </w:p>
        </w:tc>
      </w:tr>
      <w:tr>
        <w:trPr>
          <w:trHeight w:val="195"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5-bedroom homes</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1,750 gal.</w:t>
            </w:r>
          </w:p>
        </w:tc>
      </w:tr>
      <w:tr>
        <w:trPr>
          <w:trHeight w:val="195"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6-bedroom homes</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 gal.</w:t>
            </w:r>
          </w:p>
        </w:tc>
      </w:tr>
      <w:tr>
        <w:trPr>
          <w:trHeight w:val="195"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Each additional bedroom</w:t>
            </w:r>
          </w:p>
        </w:tc>
        <w:tc>
          <w:tcPr>
            <w:tcW w:w="4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+ 250 gal.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septic tank capacity and design must be obtained from the administrative authority, if an installation serves a facility other than a dwelling and serves the equivalent of fewer than 16 individuals on a continuing basis. Minimum septic tank liquid-holding capacity shall either be 1,250 gallons or two times the daily sewage flow as estimated from Appendix A,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depth in any tank compartment shall be 40 inches. The maximum liquid-holding depth for calculating capacity of a tank shall not exceed 6½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interior length of a septic tank should not be less than five feet and shall be at least 1½ times the width (larger length-to-width ratios are preferred). No tank or compartment shall have an inside width of less than two feet. The minimum inside diameter of a vertical cylindrical septic tank shall be five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color w:val="000000"/>
          <w:sz w:val="22"/>
        </w:rPr>
        <w:t xml:space="preserve">Compartmentalization. </w:t>
      </w:r>
      <w:r>
        <w:rPr>
          <w:rFonts w:ascii="Times New Roman" w:hAnsi="Times New Roman"/>
          <w:b w:val="false"/>
          <w:i w:val="false"/>
          <w:color w:val="000000"/>
          <w:sz w:val="22"/>
        </w:rPr>
        <w:t>Every septic tank shall be divided into two compartments as follows. Compartmentalization may be obtained by using more than one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influent compartment capacity shall not be less than ½ or more than ⅔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effluent compartment capacity shall not be less than ⅓ or more than ½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invert of the inlet pipe shall be a minimum of two inches and a maximum of four inches higher than the invert of the outlet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color w:val="000000"/>
          <w:sz w:val="22"/>
        </w:rPr>
        <w:t xml:space="preserve">Baffles.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Four-inch diameter SCH 40 PVC pipe tees shall be used as inlet and outlet baffles.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Inlet tees shall extend at least six inches above and eight inches below the liquid level of the tank. The inlet tee shall extend below the liquid level for no more than 30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outlet tee shall extend above the liquid level a distance of at least six inches and below the liquid level a distance of at least 15 inches, but no more than 40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one-inch clearance between the top of the inlet and outlet tees and the bottom of the tank lid shall be provided. A horizontal separation of at least 36 inches shall be provided between the inlet baffle and the outlet baffle in each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 baffles shall be fitted with, or replaced by, an approved effluent screen. All effluent screens shall be certified by a third-party certifier accredited by ANSI to meet NSF/ANSI Standard 46-2022, September 5, 2022, available on the NSF website at: </w:t>
      </w:r>
      <w:hyperlink r:id="rId22">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other equivalent testing as determined by the department. Effluent screens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horizontal slot four inches by six inches, or two suitably spaced four- to five-inch diameter holes in the tank partition, may be used instead of a tee or baffle. The top of the slot or holes shall be located below the water level within the middle third of the liquid depth. A ventilation hole or slot, located at least eight inches above the liquid level, shall be provided in the partition.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w:t>
      </w:r>
      <w:r>
        <w:rPr>
          <w:rFonts w:ascii="Times New Roman" w:hAnsi="Times New Roman"/>
          <w:b w:val="false"/>
          <w:i w:val="false"/>
          <w:color w:val="000000"/>
          <w:sz w:val="22"/>
        </w:rPr>
        <w:t> </w:t>
      </w:r>
      <w:r>
        <w:rPr>
          <w:rFonts w:ascii="Times New Roman" w:hAnsi="Times New Roman"/>
          <w:b w:val="false"/>
          <w:i/>
          <w:color w:val="000000"/>
          <w:sz w:val="22"/>
        </w:rPr>
        <w:t xml:space="preserve">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necessary for adequate inspection, operation, and maintenance must be provided to all parts of septic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openings shall be provided for each chamber, including the inlet, outlet, and pump chamber (if applicable). Openings shall be at least 18 inches in the smallest dimension and of adequate size to allow for pumping, maintenance, and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Watertight risers with a minimum diameter of 18 inches shall be installed to bring the access openings to the ground surface. To deter tampering, risers shall be secured using either stainless steel fasteners of sufficient complexity, locking devices, concrete lids of sufficient weight, or another device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Concrete, fiberglass, or plastic tanks shall be bedded and installed according to the manufacturer’s specifications. Provisions should be made to prevent flotation of the tanks when they are empty.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septic tank placed in fill soil shall be placed upon a level base that is stabilized through compaction or other manufacturer allowed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69.3(7)</w:t>
      </w:r>
      <w:r>
        <w:rPr>
          <w:rFonts w:ascii="Times New Roman" w:hAnsi="Times New Roman"/>
          <w:b w:val="false"/>
          <w:i w:val="false"/>
          <w:color w:val="000000"/>
          <w:sz w:val="22"/>
        </w:rPr>
        <w:t> </w:t>
      </w:r>
      <w:r>
        <w:rPr>
          <w:rFonts w:ascii="Times New Roman" w:hAnsi="Times New Roman"/>
          <w:b w:val="false"/>
          <w:i/>
          <w:color w:val="000000"/>
          <w:sz w:val="22"/>
        </w:rPr>
        <w:t xml:space="preserve">Connecting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Pipes connecting septic tanks installed in series and prior to the distribution box or distribution network or device shall be a minimum of four-inch diameter SCH 40 PVC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inlet and outlet connections shall be made by self-sealing gaskets either cast into the concrete or formed into the plastic or fiberglass approved for below grade applications or for use in the wastewater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joints in connecting pipe shall be approved connections that match the rating of the pipe, such as solvent-welded or compression-type gaskets approved for below grade applications 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Pipes shall be used to extend across excavations or unstable ground to at least two feet beyond the point where the original ground has not been disturbed during septic tank installation. If the excavation spanned is more than two feet wide, it must be filled with sand or compacted fill to provide a firm bed for the pipe. The first 12 inches of backfill over the pipe shall be applied in thin layers, using material free from stones, boulders, large frozen chunks of earth, or any similar material that could damage or break the pipe.</w:t>
      </w:r>
    </w:p>
    <w:p>
      <w:pPr>
        <w:spacing w:before="0" w:after="0"/>
        <w:ind w:left="120"/>
        <w:jc w:val="both"/>
      </w:pPr>
      <w:r>
        <w:rPr>
          <w:rFonts w:ascii="Times New Roman" w:hAnsi="Times New Roman"/>
          <w:b/>
          <w:i w:val="false"/>
          <w:color w:val="000000"/>
          <w:sz w:val="22"/>
        </w:rPr>
        <w:t>69.3(8)</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Septic tanks shall be constructed of either watertight poured concrete, fiberglass, or plastic resistant to corrosion or decay and shall be designed so that the tanks, whether full or empty, will not collapse or rupture when subjected to anticipated earth and hydrostatic pressures. Metal tanks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Tanks shall be watertight. Before approving a tank, the administrative authority may ask for proof that a tank is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Tank divider walls and divider wall supports shall be constructed of either heavy, durable plastic, fiberglass, concrete, or other similar corrosion-resistant materials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Inlet and outlet ports of pipes shall be constructed of SCH 40 PVC sanitary tees or other similar approved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Concrete used in precast septic tank construction shall have a maximum water-to-cement ratio of 0.45. Cement content shall be at least 650 pounds per cubic yard. Minimum compressive strength (f</w:t>
      </w: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shall be 4,000 psi (28 megapascals) at 28 days of age. The use of Type II cement, as specified in ASTM C150/C150M-24, July 25, 2024, or the addition of either silica fume or Class F fly ash is recommended.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Minimum wall thickness for septic tanks shall conform to the current International Association of Plumbing and Mechanical Officials (IAPMO) standards, available on its website at: </w:t>
      </w:r>
      <w:hyperlink r:id="rId23">
        <w:r>
          <w:rPr>
            <w:rStyle w:val="Hyperlink"/>
            <w:rFonts w:ascii="Times New Roman" w:hAnsi="Times New Roman"/>
            <w:b w:val="false"/>
            <w:i w:val="false"/>
            <w:color w:val="000000"/>
            <w:sz w:val="22"/>
            <w:u w:val="single"/>
          </w:rPr>
          <w:t>www.iapmo.org/publications/read-uniform-codes-online</w:t>
        </w:r>
      </w:hyperlink>
      <w:r>
        <w:rPr>
          <w:rFonts w:ascii="Times New Roman" w:hAnsi="Times New Roman"/>
          <w:b w:val="false"/>
          <w:i w:val="false"/>
          <w:color w:val="000000"/>
          <w:sz w:val="22"/>
        </w:rPr>
        <w:t xml:space="preserve">, or to the following specifications: </w:t>
      </w:r>
    </w:p>
    <w:tbl>
      <w:tblPr>
        <w:tblW w:w="0" w:type="auto"/>
        <w:tblCellSpacing w:w="0" w:type="auto"/>
        <w:tblBorders>
          <w:top w:val="none"/>
          <w:left w:val="none"/>
          <w:bottom w:val="none"/>
          <w:right w:val="none"/>
          <w:insideH w:val="none"/>
          <w:insideV w:val="none"/>
        </w:tblBorders>
        <w:tblLayout w:type="fixed"/>
      </w:tblPr>
      <w:tblGrid>
        <w:gridCol w:w="5916"/>
        <w:gridCol w:w="3036"/>
      </w:tblGrid>
      <w:tr>
        <w:trPr>
          <w:trHeight w:val="180" w:hRule="atLeast"/>
        </w:trPr>
        <w:tc>
          <w:tcPr>
            <w:tcW w:w="5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Poured concrete</w:t>
            </w:r>
          </w:p>
        </w:tc>
        <w:tc>
          <w:tcPr>
            <w:tcW w:w="3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inches thick</w:t>
            </w:r>
          </w:p>
        </w:tc>
      </w:tr>
      <w:tr>
        <w:trPr>
          <w:trHeight w:val="180" w:hRule="atLeast"/>
        </w:trPr>
        <w:tc>
          <w:tcPr>
            <w:tcW w:w="5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Poured concrete, reinforced</w:t>
            </w:r>
          </w:p>
        </w:tc>
        <w:tc>
          <w:tcPr>
            <w:tcW w:w="3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inches thick</w:t>
            </w:r>
          </w:p>
        </w:tc>
      </w:tr>
      <w:tr>
        <w:trPr>
          <w:trHeight w:val="180" w:hRule="atLeast"/>
        </w:trPr>
        <w:tc>
          <w:tcPr>
            <w:tcW w:w="5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Special concrete mix, vibrated and reinforced</w:t>
            </w:r>
          </w:p>
        </w:tc>
        <w:tc>
          <w:tcPr>
            <w:tcW w:w="3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inches thick</w:t>
            </w:r>
          </w:p>
        </w:tc>
      </w:tr>
      <w:tr>
        <w:trPr>
          <w:trHeight w:val="180" w:hRule="atLeast"/>
        </w:trPr>
        <w:tc>
          <w:tcPr>
            <w:tcW w:w="59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Fiberglass or plastic</w:t>
            </w:r>
          </w:p>
        </w:tc>
        <w:tc>
          <w:tcPr>
            <w:tcW w:w="3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IAPMO standard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Septic tank bottoms shall conform to the specifications in </w:t>
      </w:r>
      <w:hyperlink r:id="rId24">
        <w:r>
          <w:rPr>
            <w:rStyle w:val="Hyperlink"/>
            <w:rFonts w:ascii="Times New Roman" w:hAnsi="Times New Roman"/>
            <w:b w:val="false"/>
            <w:i w:val="false"/>
            <w:color w:val="000000"/>
            <w:sz w:val="22"/>
          </w:rPr>
          <w:t>69.3(8)</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septic tank walls, except that special mix concrete shall be at least three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Concrete or masonry septic tank tops shall be a minimum of four inches in thickness and reinforced with ⅜-inch reinforcing rods in a six-inch grid or equivalent. Fiberglass or plastic tank tops shall meet the IAPMO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concrete cover for reinforcing bars, mats, or fabric shall not be less than one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567—69.4</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color w:val="000000"/>
          <w:sz w:val="22"/>
        </w:rPr>
        <w:t xml:space="preserve">Pump systems. </w:t>
      </w:r>
      <w:r>
        <w:rPr>
          <w:rFonts w:ascii="Times New Roman" w:hAnsi="Times New Roman"/>
          <w:b w:val="false"/>
          <w:i w:val="false"/>
          <w:color w:val="000000"/>
          <w:sz w:val="22"/>
        </w:rPr>
        <w:t>Dosing through mechanical pumping is the recommended method of effluent distribution and is preferred to improve distribution, improve treatment, and extend system life. In the event that effluent from a septic tank outlet cannot be discharged by gravity while maintaining the proper lateral depths, the effluent may be discharged into a watertight pump pit or tank with an inside diameter of not less than 24 inches, equipped with a tight-fitting cover at grade level. Pumps shall be of a submersible type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Pump inlets shall be elevated at least four inches above the bottom of the pump pit or tank to prevent the pump from drawing excessive settled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installations shall comply with all applicable state and local codes and ordinances. Electrical connections shall be located in an exterior weatherproof box. On-site electrical connections shall not be located in the pump pit or tank, unless a manufactured connection or an electrical connection rated for use inside a pump pit or tank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 setting. </w:t>
      </w:r>
      <w:r>
        <w:rPr>
          <w:rFonts w:ascii="Times New Roman" w:hAnsi="Times New Roman"/>
          <w:b w:val="false"/>
          <w:i w:val="false"/>
          <w:color w:val="000000"/>
          <w:sz w:val="22"/>
        </w:rPr>
        <w:t>Pumps shall be installed in the pump pit or tank in a manner that ensures ease of service and protection from frost and settled sludge. Pumps shall be set to provide a dosing frequency of approximately four times a day based on the maximum design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Distribution pipe used in pressure-dosed systems shall be rated for pressure use and be a minimum SCH 40 PVC pipe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Pressure line size. </w:t>
      </w:r>
      <w:r>
        <w:rPr>
          <w:rFonts w:ascii="Times New Roman" w:hAnsi="Times New Roman"/>
          <w:b w:val="false"/>
          <w:i w:val="false"/>
          <w:color w:val="000000"/>
          <w:sz w:val="22"/>
        </w:rPr>
        <w:t>The diameter of the pressure line from the pump to the point of discharge shall not be smaller than the outlet of the pump it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Drainage. </w:t>
      </w:r>
      <w:r>
        <w:rPr>
          <w:rFonts w:ascii="Times New Roman" w:hAnsi="Times New Roman"/>
          <w:b w:val="false"/>
          <w:i w:val="false"/>
          <w:color w:val="000000"/>
          <w:sz w:val="22"/>
        </w:rPr>
        <w:t>Pressure lines shall either be installed to provide total drainage between dosing to prevent freezing or shall be buried below frost level up to the distribution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High water alarm. </w:t>
      </w:r>
      <w:r>
        <w:rPr>
          <w:rFonts w:ascii="Times New Roman" w:hAnsi="Times New Roman"/>
          <w:b w:val="false"/>
          <w:i w:val="false"/>
          <w:color w:val="000000"/>
          <w:sz w:val="22"/>
        </w:rPr>
        <w:t>Pump pits or tanks shall be equipped with a sensor set to detect if the water level rises above the design high water level if the pump fails. This sensor shall activate an auditory or visual alarm to alert the building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Discharge point. </w:t>
      </w:r>
      <w:r>
        <w:rPr>
          <w:rFonts w:ascii="Times New Roman" w:hAnsi="Times New Roman"/>
          <w:b w:val="false"/>
          <w:i w:val="false"/>
          <w:color w:val="000000"/>
          <w:sz w:val="22"/>
        </w:rPr>
        <w:t>The effluent may either be discharged under pressure into a distribution box or distributed by small-diameter pipes throughout the entire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Filtered pump vaults. </w:t>
      </w:r>
      <w:r>
        <w:rPr>
          <w:rFonts w:ascii="Times New Roman" w:hAnsi="Times New Roman"/>
          <w:b w:val="false"/>
          <w:i w:val="false"/>
          <w:color w:val="000000"/>
          <w:sz w:val="22"/>
        </w:rPr>
        <w:t>Filtered pump vaults, when used,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color w:val="000000"/>
          <w:sz w:val="22"/>
        </w:rPr>
        <w:t xml:space="preserve">Gravity distribution. </w:t>
      </w:r>
      <w:r>
        <w:rPr>
          <w:rFonts w:ascii="Times New Roman" w:hAnsi="Times New Roman"/>
          <w:b w:val="false"/>
          <w:i w:val="false"/>
          <w:color w:val="000000"/>
          <w:sz w:val="22"/>
        </w:rPr>
        <w:t>Septic tank effluent may be serially loaded to soil absorption trenches by drop boxes or overflow piping (rigid sewer pipe). Otherwise, effluent shall be distributed evenly to all trenches by use of either a distribution box or a commercial distribution regulator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Gravity distribution boxes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installed with separate watertight headers leading from the distribution box to each lateral.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of corrosion-resistant rigid plastic materials. Header pipes shall be rigid SCH 40 PVC pipe (SDR 26 or stronger) meeting ASTM 2729-21, November 30, 2021,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Equal length. </w:t>
      </w:r>
      <w:r>
        <w:rPr>
          <w:rFonts w:ascii="Times New Roman" w:hAnsi="Times New Roman"/>
          <w:b w:val="false"/>
          <w:i w:val="false"/>
          <w:color w:val="000000"/>
          <w:sz w:val="22"/>
        </w:rPr>
        <w:t>Soil absorptions trenches served by a gravity distribution box shall be of equal length. Soil absorptions trenches served by drop boxes may vary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Baffles. </w:t>
      </w:r>
      <w:r>
        <w:rPr>
          <w:rFonts w:ascii="Times New Roman" w:hAnsi="Times New Roman"/>
          <w:b w:val="false"/>
          <w:i w:val="false"/>
          <w:color w:val="000000"/>
          <w:sz w:val="22"/>
        </w:rPr>
        <w:t>There shall be a pipe tee at the inlet to break the 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distribution box shall have outlets at the same level, at least four inches above the bottom of the box, to provide a minimum of four inches of water retention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distribution box outlets shall be made level. A four-inch cap with an offset hole approximately 2½ inches in diameter shall be installed on each outlet pipe. The caps shall be rotated until all outlets discharge at the same elevation. Equivalent leveling devices may be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unused outlet holes in the box shall be securely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color w:val="000000"/>
          <w:sz w:val="22"/>
        </w:rPr>
        <w:t xml:space="preserve">Other distribution devices. </w:t>
      </w:r>
      <w:r>
        <w:rPr>
          <w:rFonts w:ascii="Times New Roman" w:hAnsi="Times New Roman"/>
          <w:b w:val="false"/>
          <w:i w:val="false"/>
          <w:color w:val="000000"/>
          <w:sz w:val="22"/>
        </w:rPr>
        <w:t xml:space="preserve">For all other effluent distribution devices, the manufacturer’s specifications shall be adhered to for installation, cleaning, and maintenance.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567—69.5</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treatment—soil absorption systems. </w:t>
      </w:r>
      <w:r>
        <w:rPr>
          <w:rFonts w:ascii="Times New Roman" w:hAnsi="Times New Roman"/>
          <w:b w:val="false"/>
          <w:i w:val="false"/>
          <w:color w:val="000000"/>
          <w:sz w:val="22"/>
        </w:rPr>
        <w:t xml:space="preserve">When a PSDS uses secondary treatment prior to the discharge, land application, or other disposal of effluent, it shall comply with all applicable provisions of this rule or </w:t>
      </w:r>
      <w:hyperlink r:id="rId25">
        <w:r>
          <w:rPr>
            <w:rStyle w:val="Hyperlink"/>
            <w:rFonts w:ascii="Times New Roman" w:hAnsi="Times New Roman"/>
            <w:b w:val="false"/>
            <w:i w:val="false"/>
            <w:color w:val="000000"/>
            <w:sz w:val="22"/>
          </w:rPr>
          <w:t>567—69.6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color w:val="000000"/>
          <w:sz w:val="22"/>
        </w:rPr>
        <w:t xml:space="preserve">Provisions. </w:t>
      </w:r>
      <w:r>
        <w:rPr>
          <w:rFonts w:ascii="Times New Roman" w:hAnsi="Times New Roman"/>
          <w:b w:val="false"/>
          <w:i w:val="false"/>
          <w:color w:val="000000"/>
          <w:sz w:val="22"/>
        </w:rPr>
        <w:t>The following provisions apply to all soil absorption systems. Soil absorption systems are the best available treatment technology and shall always be used where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drainage.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shall enter a soil absorption system that does not first pass through a septic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foundation, area, and storm drains shall not discharge into or upon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of any kind, including driveways, covering the septic tank, distribution box, or absorption field of a soil absorption system. Vehicle access should be infrequent, primarily limited to vegetation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evaluation. </w:t>
      </w:r>
      <w:r>
        <w:rPr>
          <w:rFonts w:ascii="Times New Roman" w:hAnsi="Times New Roman"/>
          <w:b w:val="false"/>
          <w:i w:val="false"/>
          <w:color w:val="000000"/>
          <w:sz w:val="22"/>
        </w:rPr>
        <w:t>Either a percolation test or a professional soil analysis, including a confining layer determination, is required before any soil absorption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Percolation test. If a percolation test is performed, it shall comply with the procedure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soil analysis. If a professional soil analysis is performed, soil characteristics including but not limited to soil content, color, texture, and structure shall be used to determine the confining layer and the soil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Acceptable percolation rate. An area is deemed suitable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conventional systems, soil absorption bed systems, and at-grade systems, the average percolation rate is less than 60 minutes per inch and greater than one minute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mound systems, an average percolation rate of less than 120 minutes per inch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Confining layer determination. At least one additional test hole six feet in depth, or to water or rock, whichever occurs first, shall be provided in the center of the proposed absorption area to determine the location of any confining layer. This six-foot test hole shall be drilled prior to determining the percolation test hole depths and may be augered the same size as the percolation test holes or may be made with a soil probe.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If the seasonal high groundwater level is present within three feet of the trench bottom final grade and cannot be successfully lowered by subsurface tile drainage, the area shall be classified as unsuitable for a soil absorption system. The administrative authority shall be consulted to determine an acceptable alternative method of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absorption systems shall be located in accordance with the SDs in Table I in </w:t>
      </w:r>
      <w:hyperlink r:id="rId26">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soil absorption systems shall be located to maximize the vertical SD from the bottom of the absorption trench to the confining layer, but under no circumstances shall this vertical separation be less than three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situations where specific location or site characteristics would appear to prohibit installation of a conventional soil absorption system, design modifications to overcome such limitations may be approved by the administrative authority. Such design modifications could include but are not limited to the installation of subsurface drainage; the use of shallow or at-grade systems or mound systems; or the use of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Driveway crossings. </w:t>
      </w:r>
      <w:r>
        <w:rPr>
          <w:rFonts w:ascii="Times New Roman" w:hAnsi="Times New Roman"/>
          <w:b w:val="false"/>
          <w:i w:val="false"/>
          <w:color w:val="000000"/>
          <w:sz w:val="22"/>
        </w:rPr>
        <w:t>Connecting lines under driveways shall be constructed of SCH 40 PVC pipe (SDR 26 or stronger) or equivalent and shall be protected from freezing.</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Loading rates and trench size. </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Percolation and soil loading tables. All soil absorption systems installed under this subrule shall comply with the following tables. Table IIa provides a correlation between percolation rates and soil loading rates. Table IIb provides soil loading rates based upon soil texture and structure. Table IIa and Table IIb shall be used to determine the appropriate soil loading rate. Table IIc specifies linear feet of lateral trenches required based upon the soil loading rate, wastewater flow rate, and trench width. </w:t>
      </w:r>
    </w:p>
    <w:p>
      <w:pPr>
        <w:spacing w:before="60" w:after="0"/>
        <w:ind w:left="120"/>
        <w:jc w:val="center"/>
      </w:pPr>
      <w:r>
        <w:rPr>
          <w:rFonts w:ascii="Times New Roman" w:hAnsi="Times New Roman"/>
          <w:b/>
          <w:i w:val="false"/>
          <w:color w:val="000000"/>
          <w:sz w:val="22"/>
        </w:rPr>
        <w:t>Table IIa</w:t>
      </w:r>
    </w:p>
    <w:p>
      <w:pPr>
        <w:spacing w:before="60" w:after="0"/>
        <w:ind w:left="120"/>
        <w:jc w:val="center"/>
      </w:pPr>
      <w:r>
        <w:rPr>
          <w:rFonts w:ascii="Times New Roman" w:hAnsi="Times New Roman"/>
          <w:b/>
          <w:i w:val="false"/>
          <w:color w:val="000000"/>
          <w:sz w:val="22"/>
        </w:rPr>
        <w:t>Maximum Soil Application Rates Based Upon Percolation</w:t>
      </w:r>
      <w:r>
        <w:br/>
      </w:r>
      <w:r>
        <w:rPr>
          <w:rFonts w:ascii="Times New Roman" w:hAnsi="Times New Roman"/>
          <w:b/>
          <w:i w:val="false"/>
          <w:color w:val="000000"/>
          <w:sz w:val="22"/>
        </w:rPr>
        <w:t>Rates - Monthly Averages in gal/ft</w:t>
      </w:r>
      <w:r>
        <w:rPr>
          <w:rFonts w:ascii="Times New Roman" w:hAnsi="Times New Roman"/>
          <w:b w:val="false"/>
          <w:i w:val="false"/>
          <w:color w:val="000000"/>
          <w:sz w:val="11"/>
          <w:vertAlign w:val="superscript"/>
        </w:rPr>
        <w:t>2</w:t>
      </w:r>
      <w:r>
        <w:rPr>
          <w:rFonts w:ascii="Times New Roman" w:hAnsi="Times New Roman"/>
          <w:b/>
          <w:i w:val="false"/>
          <w:color w:val="000000"/>
          <w:sz w:val="22"/>
        </w:rPr>
        <w:t>/day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91"/>
        <w:gridCol w:w="4923"/>
        <w:gridCol w:w="2238"/>
      </w:tblGrid>
      <w:tr>
        <w:trPr>
          <w:trHeight w:val="64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 xml:space="preserve"> Percolation Rate (minutes per inch)</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Septic Tank Effluent</w:t>
            </w:r>
            <w:r>
              <w:rPr>
                <w:rFonts w:ascii="Times New Roman" w:hAnsi="Times New Roman"/>
                <w:b w:val="false"/>
                <w:i w:val="false"/>
                <w:color w:val="000000"/>
                <w:sz w:val="14"/>
                <w:vertAlign w:val="superscript"/>
              </w:rPr>
              <w:t>1,2</w:t>
            </w:r>
            <w:r>
              <w:br/>
            </w:r>
            <w:r>
              <w:rPr>
                <w:rFonts w:ascii="Times New Roman" w:hAnsi="Times New Roman"/>
                <w:b/>
                <w:i w:val="false"/>
                <w:color w:val="000000"/>
                <w:sz w:val="14"/>
              </w:rPr>
              <w:t>CBOD</w:t>
            </w:r>
            <w:r>
              <w:rPr>
                <w:rFonts w:ascii="Times New Roman" w:hAnsi="Times New Roman"/>
                <w:b w:val="false"/>
                <w:i w:val="false"/>
                <w:color w:val="000000"/>
                <w:sz w:val="14"/>
                <w:vertAlign w:val="subscript"/>
              </w:rPr>
              <w:t>5</w:t>
            </w:r>
            <w:r>
              <w:rPr>
                <w:rFonts w:ascii="Times New Roman" w:hAnsi="Times New Roman"/>
                <w:b/>
                <w:i w:val="false"/>
                <w:color w:val="000000"/>
                <w:sz w:val="14"/>
              </w:rPr>
              <w:t xml:space="preserve"> 25 mg/L - 215 mg/L;</w:t>
            </w:r>
            <w:r>
              <w:br/>
            </w:r>
            <w:r>
              <w:rPr>
                <w:rFonts w:ascii="Times New Roman" w:hAnsi="Times New Roman"/>
                <w:b/>
                <w:i w:val="false"/>
                <w:color w:val="000000"/>
                <w:sz w:val="14"/>
              </w:rPr>
              <w:t>TSS 30 mg/L - 150 mg/L</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Pretreated Effluent</w:t>
            </w:r>
            <w:r>
              <w:br/>
            </w:r>
            <w:r>
              <w:rPr>
                <w:rFonts w:ascii="Times New Roman" w:hAnsi="Times New Roman"/>
                <w:b/>
                <w:i w:val="false"/>
                <w:color w:val="000000"/>
                <w:sz w:val="14"/>
              </w:rPr>
              <w:t>CBOD</w:t>
            </w:r>
            <w:r>
              <w:rPr>
                <w:rFonts w:ascii="Times New Roman" w:hAnsi="Times New Roman"/>
                <w:b w:val="false"/>
                <w:i w:val="false"/>
                <w:color w:val="000000"/>
                <w:sz w:val="14"/>
                <w:vertAlign w:val="subscript"/>
              </w:rPr>
              <w:t>5</w:t>
            </w:r>
            <w:r>
              <w:rPr>
                <w:rFonts w:ascii="Times New Roman" w:hAnsi="Times New Roman"/>
                <w:b/>
                <w:i w:val="false"/>
                <w:color w:val="000000"/>
                <w:sz w:val="14"/>
              </w:rPr>
              <w:t xml:space="preserve"> ≤ 25 mg/L;</w:t>
            </w:r>
            <w:r>
              <w:br/>
            </w:r>
            <w:r>
              <w:rPr>
                <w:rFonts w:ascii="Times New Roman" w:hAnsi="Times New Roman"/>
                <w:b/>
                <w:i w:val="false"/>
                <w:color w:val="000000"/>
                <w:sz w:val="14"/>
              </w:rPr>
              <w:t>TSS ≤ 30 mg/L</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to 5</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Fine sands</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0.9</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to 10</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0.8 – 0.6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to 29</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 – 0.5</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0.9</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 to 45</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 – 0.4</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46 to 60</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 – 0.2</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61 to 120</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p>
        </w:tc>
      </w:tr>
      <w:tr>
        <w:trPr>
          <w:trHeight w:val="195" w:hRule="atLeast"/>
        </w:trPr>
        <w:tc>
          <w:tcPr>
            <w:tcW w:w="179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120</w:t>
            </w:r>
          </w:p>
        </w:tc>
        <w:tc>
          <w:tcPr>
            <w:tcW w:w="49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w:t>
            </w:r>
          </w:p>
        </w:tc>
      </w:tr>
    </w:tbl>
    <w:p>
      <w:pPr>
        <w:spacing w:before="0" w:after="0"/>
        <w:ind w:left="120"/>
        <w:jc w:val="both"/>
      </w:pPr>
      <w:r>
        <w:rPr>
          <w:rFonts w:ascii="Times New Roman" w:hAnsi="Times New Roman"/>
          <w:b w:val="false"/>
          <w:i w:val="false"/>
          <w:color w:val="000000"/>
          <w:sz w:val="11"/>
          <w:vertAlign w:val="superscript"/>
        </w:rPr>
        <w:t>1</w:t>
      </w:r>
      <w:r>
        <w:rPr>
          <w:rFonts w:ascii="Times New Roman" w:hAnsi="Times New Roman"/>
          <w:b w:val="false"/>
          <w:i w:val="false"/>
          <w:color w:val="000000"/>
          <w:sz w:val="18"/>
        </w:rPr>
        <w:t xml:space="preserve">Typical waste strengths for domestic waste. Pretreatment should be considered for waste of higher strength. </w:t>
      </w:r>
    </w:p>
    <w:p>
      <w:pPr>
        <w:spacing w:before="0" w:after="0"/>
        <w:ind w:left="120"/>
        <w:jc w:val="both"/>
      </w:pPr>
      <w:r>
        <w:rPr>
          <w:rFonts w:ascii="Times New Roman" w:hAnsi="Times New Roman"/>
          <w:b w:val="false"/>
          <w:i w:val="false"/>
          <w:color w:val="000000"/>
          <w:sz w:val="11"/>
          <w:vertAlign w:val="superscript"/>
        </w:rPr>
        <w:t>2</w:t>
      </w:r>
      <w:r>
        <w:rPr>
          <w:rFonts w:ascii="Times New Roman" w:hAnsi="Times New Roman"/>
          <w:b w:val="false"/>
          <w:i w:val="false"/>
          <w:color w:val="000000"/>
          <w:sz w:val="18"/>
        </w:rPr>
        <w:t xml:space="preserve">Percolation rates and soil loading rates do not precisely correlate; therefore, a range is provided. </w:t>
      </w:r>
    </w:p>
    <w:p>
      <w:pPr>
        <w:spacing w:before="60" w:after="0"/>
        <w:ind w:left="120"/>
        <w:jc w:val="center"/>
      </w:pPr>
      <w:r>
        <w:rPr>
          <w:rFonts w:ascii="Times New Roman" w:hAnsi="Times New Roman"/>
          <w:b/>
          <w:i w:val="false"/>
          <w:color w:val="000000"/>
          <w:sz w:val="22"/>
        </w:rPr>
        <w:t>Table IIb</w:t>
      </w:r>
    </w:p>
    <w:p>
      <w:pPr>
        <w:spacing w:before="60" w:after="0"/>
        <w:ind w:left="120"/>
        <w:jc w:val="center"/>
      </w:pPr>
      <w:r>
        <w:rPr>
          <w:rFonts w:ascii="Times New Roman" w:hAnsi="Times New Roman"/>
          <w:b/>
          <w:i w:val="false"/>
          <w:color w:val="000000"/>
          <w:sz w:val="22"/>
        </w:rPr>
        <w:t xml:space="preserve">Maximum Soil Loading Rates Based Upon Soil Evaluations </w:t>
      </w:r>
      <w:r>
        <w:br/>
      </w:r>
      <w:r>
        <w:rPr>
          <w:rFonts w:ascii="Times New Roman" w:hAnsi="Times New Roman"/>
          <w:b/>
          <w:i w:val="false"/>
          <w:color w:val="000000"/>
          <w:sz w:val="22"/>
        </w:rPr>
        <w:t>in gal/ft</w:t>
      </w:r>
      <w:r>
        <w:rPr>
          <w:rFonts w:ascii="Times New Roman" w:hAnsi="Times New Roman"/>
          <w:b w:val="false"/>
          <w:i w:val="false"/>
          <w:color w:val="000000"/>
          <w:sz w:val="11"/>
          <w:vertAlign w:val="superscript"/>
        </w:rPr>
        <w:t>2</w:t>
      </w:r>
      <w:r>
        <w:rPr>
          <w:rFonts w:ascii="Times New Roman" w:hAnsi="Times New Roman"/>
          <w:b/>
          <w:i w:val="false"/>
          <w:color w:val="000000"/>
          <w:sz w:val="22"/>
        </w:rPr>
        <w:t>/day for Septic Tank Effluent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
        <w:gridCol w:w="1119"/>
        <w:gridCol w:w="1119"/>
        <w:gridCol w:w="1119"/>
        <w:gridCol w:w="1119"/>
        <w:gridCol w:w="1119"/>
        <w:gridCol w:w="1119"/>
        <w:gridCol w:w="1119"/>
      </w:tblGrid>
      <w:tr>
        <w:trPr>
          <w:trHeight w:val="360" w:hRule="atLeast"/>
        </w:trPr>
        <w:tc>
          <w:tcPr>
            <w:tcW w:w="1119" w:type="dxa"/>
            <w:tcBorders>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Soil Texture</w:t>
            </w:r>
          </w:p>
        </w:tc>
        <w:tc>
          <w:tcPr>
            <w:tcW w:w="1119"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Single Grain</w:t>
            </w:r>
          </w:p>
        </w:tc>
        <w:tc>
          <w:tcPr>
            <w:tcW w:w="1119"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Massive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160"/>
              <w:jc w:val="center"/>
            </w:pPr>
            <w:r>
              <w:rPr>
                <w:rFonts w:ascii="Times New Roman" w:hAnsi="Times New Roman"/>
                <w:b/>
                <w:i w:val="false"/>
                <w:color w:val="000000"/>
                <w:sz w:val="14"/>
              </w:rPr>
              <w:t>Structure -</w:t>
            </w:r>
          </w:p>
          <w:p>
            <w:pPr>
              <w:spacing w:before="0" w:after="0" w:line="264"/>
              <w:ind w:left="160"/>
              <w:jc w:val="center"/>
            </w:pPr>
            <w:r>
              <w:rPr>
                <w:rFonts w:ascii="Times New Roman" w:hAnsi="Times New Roman"/>
                <w:b/>
                <w:i w:val="false"/>
                <w:color w:val="000000"/>
                <w:sz w:val="14"/>
              </w:rPr>
              <w:t>Granular, Blocky, or Prismatic</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Platy</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Weak</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Moderate</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Strong</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Weak</w:t>
            </w:r>
          </w:p>
        </w:tc>
        <w:tc>
          <w:tcPr>
            <w:tcW w:w="111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Moderate to</w:t>
            </w:r>
            <w:r>
              <w:br/>
            </w:r>
            <w:r>
              <w:rPr>
                <w:rFonts w:ascii="Times New Roman" w:hAnsi="Times New Roman"/>
                <w:b w:val="false"/>
                <w:i w:val="false"/>
                <w:color w:val="000000"/>
                <w:sz w:val="14"/>
              </w:rPr>
              <w:t>Strong</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Coarse sand and gravel</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r>
              <w:br/>
            </w:r>
            <w:r>
              <w:rPr>
                <w:rFonts w:ascii="Times New Roman" w:hAnsi="Times New Roman"/>
                <w:b w:val="false"/>
                <w:i w:val="false"/>
                <w:color w:val="000000"/>
                <w:sz w:val="14"/>
              </w:rPr>
              <w:t>(1.6)</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r>
              <w:br/>
            </w:r>
            <w:r>
              <w:rPr>
                <w:rFonts w:ascii="Times New Roman" w:hAnsi="Times New Roman"/>
                <w:b w:val="false"/>
                <w:i w:val="false"/>
                <w:color w:val="000000"/>
                <w:sz w:val="14"/>
              </w:rPr>
              <w:t>(1.6)</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r>
              <w:br/>
            </w:r>
            <w:r>
              <w:rPr>
                <w:rFonts w:ascii="Times New Roman" w:hAnsi="Times New Roman"/>
                <w:b w:val="false"/>
                <w:i w:val="false"/>
                <w:color w:val="000000"/>
                <w:sz w:val="14"/>
              </w:rPr>
              <w:t>(1.6)</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Medium sands</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w:t>
            </w:r>
            <w:r>
              <w:br/>
            </w:r>
            <w:r>
              <w:rPr>
                <w:rFonts w:ascii="Times New Roman" w:hAnsi="Times New Roman"/>
                <w:b w:val="false"/>
                <w:i w:val="false"/>
                <w:color w:val="000000"/>
                <w:sz w:val="14"/>
              </w:rPr>
              <w:t>(1.4)</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w:t>
            </w:r>
            <w:r>
              <w:br/>
            </w:r>
            <w:r>
              <w:rPr>
                <w:rFonts w:ascii="Times New Roman" w:hAnsi="Times New Roman"/>
                <w:b w:val="false"/>
                <w:i w:val="false"/>
                <w:color w:val="000000"/>
                <w:sz w:val="14"/>
              </w:rPr>
              <w:t>(1.4)</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w:t>
            </w:r>
            <w:r>
              <w:br/>
            </w:r>
            <w:r>
              <w:rPr>
                <w:rFonts w:ascii="Times New Roman" w:hAnsi="Times New Roman"/>
                <w:b w:val="false"/>
                <w:i w:val="false"/>
                <w:color w:val="000000"/>
                <w:sz w:val="14"/>
              </w:rPr>
              <w:t>(1.4)</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Fine sands</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(0.9)</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(0.9)</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(0.9)</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r>
      <w:tr>
        <w:trPr>
          <w:trHeight w:val="42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Very fine sands</w:t>
            </w:r>
            <w:r>
              <w:rPr>
                <w:rFonts w:ascii="Times New Roman" w:hAnsi="Times New Roman"/>
                <w:b w:val="false"/>
                <w:i w:val="false"/>
                <w:color w:val="000000"/>
                <w:sz w:val="14"/>
                <w:vertAlign w:val="superscript"/>
              </w:rPr>
              <w:t>1</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Sandy loam</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w:t>
            </w:r>
            <w:r>
              <w:br/>
            </w:r>
            <w:r>
              <w:rPr>
                <w:rFonts w:ascii="Times New Roman" w:hAnsi="Times New Roman"/>
                <w:b w:val="false"/>
                <w:i w:val="false"/>
                <w:color w:val="000000"/>
                <w:sz w:val="14"/>
              </w:rPr>
              <w:t>(1.1)</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0.65</w:t>
            </w:r>
            <w:r>
              <w:br/>
            </w:r>
            <w:r>
              <w:rPr>
                <w:rFonts w:ascii="Times New Roman" w:hAnsi="Times New Roman"/>
                <w:b w:val="false"/>
                <w:i w:val="false"/>
                <w:color w:val="000000"/>
                <w:sz w:val="14"/>
              </w:rPr>
              <w:t>(1.2)</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w:t>
            </w:r>
            <w:r>
              <w:br/>
            </w:r>
            <w:r>
              <w:rPr>
                <w:rFonts w:ascii="Times New Roman" w:hAnsi="Times New Roman"/>
                <w:b w:val="false"/>
                <w:i w:val="false"/>
                <w:color w:val="000000"/>
                <w:sz w:val="14"/>
              </w:rPr>
              <w:t>(0.6)</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Loam</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w:t>
            </w:r>
            <w:r>
              <w:br/>
            </w:r>
            <w:r>
              <w:rPr>
                <w:rFonts w:ascii="Times New Roman" w:hAnsi="Times New Roman"/>
                <w:b w:val="false"/>
                <w:i w:val="false"/>
                <w:color w:val="000000"/>
                <w:sz w:val="14"/>
              </w:rPr>
              <w:t>(0.6)</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(0.8)</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0.55</w:t>
            </w:r>
            <w:r>
              <w:br/>
            </w:r>
            <w:r>
              <w:rPr>
                <w:rFonts w:ascii="Times New Roman" w:hAnsi="Times New Roman"/>
                <w:b w:val="false"/>
                <w:i w:val="false"/>
                <w:color w:val="000000"/>
                <w:sz w:val="14"/>
              </w:rPr>
              <w:t>(0.8)</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w:t>
            </w:r>
            <w:r>
              <w:br/>
            </w:r>
            <w:r>
              <w:rPr>
                <w:rFonts w:ascii="Times New Roman" w:hAnsi="Times New Roman"/>
                <w:b w:val="false"/>
                <w:i w:val="false"/>
                <w:color w:val="000000"/>
                <w:sz w:val="14"/>
              </w:rPr>
              <w:t>(0.6)</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Silty loam</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NS</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w:t>
            </w:r>
            <w:r>
              <w:br/>
            </w:r>
            <w:r>
              <w:rPr>
                <w:rFonts w:ascii="Times New Roman" w:hAnsi="Times New Roman"/>
                <w:b w:val="false"/>
                <w:i w:val="false"/>
                <w:color w:val="000000"/>
                <w:sz w:val="14"/>
              </w:rPr>
              <w:t>(0.6)</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(0.8)</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r>
              <w:br/>
            </w:r>
            <w:r>
              <w:rPr>
                <w:rFonts w:ascii="Times New Roman" w:hAnsi="Times New Roman"/>
                <w:b w:val="false"/>
                <w:i w:val="false"/>
                <w:color w:val="000000"/>
                <w:sz w:val="14"/>
              </w:rPr>
              <w:t>(0.8)</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r>
              <w:br/>
            </w:r>
            <w:r>
              <w:rPr>
                <w:rFonts w:ascii="Times New Roman" w:hAnsi="Times New Roman"/>
                <w:b w:val="false"/>
                <w:i w:val="false"/>
                <w:color w:val="000000"/>
                <w:sz w:val="14"/>
              </w:rPr>
              <w:t>(0.5)</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w:t>
            </w:r>
            <w:r>
              <w:br/>
            </w:r>
            <w:r>
              <w:rPr>
                <w:rFonts w:ascii="Times New Roman" w:hAnsi="Times New Roman"/>
                <w:b w:val="false"/>
                <w:i w:val="false"/>
                <w:color w:val="000000"/>
                <w:sz w:val="14"/>
              </w:rPr>
              <w:t>(0.3)</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Clay loam</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NS</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w:t>
            </w:r>
            <w:r>
              <w:br/>
            </w:r>
            <w:r>
              <w:rPr>
                <w:rFonts w:ascii="Times New Roman" w:hAnsi="Times New Roman"/>
                <w:b w:val="false"/>
                <w:i w:val="false"/>
                <w:color w:val="000000"/>
                <w:sz w:val="14"/>
              </w:rPr>
              <w:t>(0.3)</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w:t>
            </w:r>
            <w:r>
              <w:br/>
            </w:r>
            <w:r>
              <w:rPr>
                <w:rFonts w:ascii="Times New Roman" w:hAnsi="Times New Roman"/>
                <w:b w:val="false"/>
                <w:i w:val="false"/>
                <w:color w:val="000000"/>
                <w:sz w:val="14"/>
              </w:rPr>
              <w:t>(0.2)</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w:t>
            </w:r>
            <w:r>
              <w:br/>
            </w:r>
            <w:r>
              <w:rPr>
                <w:rFonts w:ascii="Times New Roman" w:hAnsi="Times New Roman"/>
                <w:b w:val="false"/>
                <w:i w:val="false"/>
                <w:color w:val="000000"/>
                <w:sz w:val="14"/>
              </w:rPr>
              <w:t>(0.2)</w:t>
            </w:r>
          </w:p>
        </w:tc>
      </w:tr>
      <w:tr>
        <w:trPr>
          <w:trHeight w:val="360" w:hRule="atLeast"/>
        </w:trPr>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Silty clay loam</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X</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NS</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w:t>
            </w:r>
            <w:r>
              <w:br/>
            </w:r>
            <w:r>
              <w:rPr>
                <w:rFonts w:ascii="Times New Roman" w:hAnsi="Times New Roman"/>
                <w:b w:val="false"/>
                <w:i w:val="false"/>
                <w:color w:val="000000"/>
                <w:sz w:val="14"/>
              </w:rPr>
              <w:t>(0.3)</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0.45</w:t>
            </w:r>
            <w:r>
              <w:br/>
            </w:r>
            <w:r>
              <w:rPr>
                <w:rFonts w:ascii="Times New Roman" w:hAnsi="Times New Roman"/>
                <w:b w:val="false"/>
                <w:i w:val="false"/>
                <w:color w:val="000000"/>
                <w:sz w:val="14"/>
              </w:rPr>
              <w:t>(0.7)</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NS</w:t>
            </w:r>
          </w:p>
        </w:tc>
        <w:tc>
          <w:tcPr>
            <w:tcW w:w="111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NS</w:t>
            </w:r>
          </w:p>
        </w:tc>
      </w:tr>
    </w:tbl>
    <w:p>
      <w:pPr>
        <w:spacing w:before="0" w:after="0"/>
        <w:ind w:left="120"/>
        <w:jc w:val="both"/>
      </w:pPr>
      <w:r>
        <w:rPr>
          <w:rFonts w:ascii="Times New Roman" w:hAnsi="Times New Roman"/>
          <w:b w:val="false"/>
          <w:i w:val="false"/>
          <w:color w:val="000000"/>
          <w:sz w:val="18"/>
        </w:rPr>
        <w:t>Notes: Values in ( ) are for pretreated effluent. “X” means not found in nature. “NS” means not suitable for soil absorption.</w:t>
      </w:r>
    </w:p>
    <w:p>
      <w:pPr>
        <w:spacing w:before="0" w:after="0"/>
        <w:ind w:left="120"/>
        <w:jc w:val="both"/>
      </w:pPr>
      <w:r>
        <w:rPr>
          <w:rFonts w:ascii="Times New Roman" w:hAnsi="Times New Roman"/>
          <w:b w:val="false"/>
          <w:i w:val="false"/>
          <w:color w:val="000000"/>
          <w:sz w:val="11"/>
          <w:vertAlign w:val="superscript"/>
        </w:rPr>
        <w:t>1</w:t>
      </w:r>
      <w:r>
        <w:rPr>
          <w:rFonts w:ascii="Times New Roman" w:hAnsi="Times New Roman"/>
          <w:b w:val="false"/>
          <w:i w:val="false"/>
          <w:color w:val="000000"/>
          <w:sz w:val="18"/>
        </w:rPr>
        <w:t xml:space="preserve">Flow rates are difficult to determine for some very fine sands; experience may provide better information and flow rates. </w:t>
      </w:r>
    </w:p>
    <w:p>
      <w:pPr>
        <w:spacing w:before="60" w:after="0"/>
        <w:ind w:left="120"/>
        <w:jc w:val="center"/>
      </w:pPr>
      <w:r>
        <w:rPr>
          <w:rFonts w:ascii="Times New Roman" w:hAnsi="Times New Roman"/>
          <w:b/>
          <w:i w:val="false"/>
          <w:color w:val="000000"/>
          <w:sz w:val="22"/>
        </w:rPr>
        <w:t>Table IIc</w:t>
      </w:r>
    </w:p>
    <w:p>
      <w:pPr>
        <w:spacing w:before="60" w:after="0"/>
        <w:ind w:left="120"/>
        <w:jc w:val="center"/>
      </w:pPr>
      <w:r>
        <w:rPr>
          <w:rFonts w:ascii="Times New Roman" w:hAnsi="Times New Roman"/>
          <w:b/>
          <w:i w:val="false"/>
          <w:color w:val="000000"/>
          <w:sz w:val="22"/>
        </w:rPr>
        <w:t xml:space="preserve">Minimum Length of Absorption Trenches in Lineal Feet </w:t>
      </w:r>
      <w:r>
        <w:br/>
      </w:r>
      <w:r>
        <w:rPr>
          <w:rFonts w:ascii="Times New Roman" w:hAnsi="Times New Roman"/>
          <w:b/>
          <w:i w:val="false"/>
          <w:color w:val="000000"/>
          <w:sz w:val="22"/>
        </w:rPr>
        <w:t>by Width of Trench and Soil Loading Rate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902"/>
        <w:gridCol w:w="902"/>
        <w:gridCol w:w="902"/>
        <w:gridCol w:w="902"/>
        <w:gridCol w:w="902"/>
        <w:gridCol w:w="902"/>
        <w:gridCol w:w="902"/>
        <w:gridCol w:w="902"/>
        <w:gridCol w:w="902"/>
        <w:gridCol w:w="902"/>
      </w:tblGrid>
      <w:tr>
        <w:trPr>
          <w:trHeight w:val="420" w:hRule="atLeast"/>
        </w:trPr>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loading rate gal/ft</w:t>
            </w:r>
            <w:r>
              <w:rPr>
                <w:rFonts w:ascii="Times New Roman" w:hAnsi="Times New Roman"/>
                <w:b w:val="false"/>
                <w:i w:val="false"/>
                <w:color w:val="000000"/>
                <w:sz w:val="14"/>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Two bedroom, 300 gpd</w:t>
            </w:r>
            <w:r>
              <w:rPr>
                <w:rFonts w:ascii="Times New Roman" w:hAnsi="Times New Roman"/>
                <w:b w:val="false"/>
                <w:i w:val="false"/>
                <w:color w:val="000000"/>
                <w:sz w:val="14"/>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Three bedroom, 450 gpd</w:t>
            </w:r>
            <w:r>
              <w:rPr>
                <w:rFonts w:ascii="Times New Roman" w:hAnsi="Times New Roman"/>
                <w:b w:val="false"/>
                <w:i w:val="false"/>
                <w:color w:val="000000"/>
                <w:sz w:val="14"/>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Four bedroom, 600 gpd</w:t>
            </w:r>
            <w:r>
              <w:rPr>
                <w:rFonts w:ascii="Times New Roman" w:hAnsi="Times New Roman"/>
                <w:b w:val="false"/>
                <w:i w:val="false"/>
                <w:color w:val="000000"/>
                <w:sz w:val="14"/>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Five bedroom, 750 gpd</w:t>
            </w:r>
            <w:r>
              <w:rPr>
                <w:rFonts w:ascii="Times New Roman" w:hAnsi="Times New Roman"/>
                <w:b w:val="false"/>
                <w:i w:val="false"/>
                <w:color w:val="000000"/>
                <w:sz w:val="14"/>
                <w:vertAlign w:val="superscript"/>
              </w:rPr>
              <w:t>1</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Six bedroom, 900 gpd</w:t>
            </w:r>
            <w:r>
              <w:rPr>
                <w:rFonts w:ascii="Times New Roman" w:hAnsi="Times New Roman"/>
                <w:b w:val="false"/>
                <w:i w:val="false"/>
                <w:color w:val="000000"/>
                <w:sz w:val="14"/>
                <w:vertAlign w:val="superscript"/>
              </w:rPr>
              <w:t>1</w:t>
            </w:r>
          </w:p>
        </w:tc>
      </w:tr>
      <w:tr>
        <w:trPr>
          <w:trHeight w:val="195" w:hRule="atLeast"/>
        </w:trPr>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Width of trench in feet</w:t>
            </w:r>
          </w:p>
        </w:tc>
      </w:tr>
      <w:tr>
        <w:trPr>
          <w:trHeight w:val="195" w:hRule="atLeast"/>
        </w:trPr>
        <w:tc>
          <w:tcPr>
            <w:tcW w:w="192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suitable for soil absorption trenches</w:t>
            </w:r>
          </w:p>
        </w:tc>
      </w:tr>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1125</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1875</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2250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1500</w:t>
            </w:r>
            <w:r>
              <w:rPr>
                <w:rFonts w:ascii="Times New Roman" w:hAnsi="Times New Roman"/>
                <w:b w:val="false"/>
                <w:i w:val="false"/>
                <w:color w:val="000000"/>
                <w:sz w:val="14"/>
                <w:vertAlign w:val="superscript"/>
              </w:rPr>
              <w:t>2</w:t>
            </w:r>
          </w:p>
        </w:tc>
      </w:tr>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833</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r>
              <w:rPr>
                <w:rFonts w:ascii="Times New Roman" w:hAnsi="Times New Roman"/>
                <w:b w:val="false"/>
                <w:i w:val="false"/>
                <w:color w:val="000000"/>
                <w:sz w:val="14"/>
                <w:vertAlign w:val="superscript"/>
              </w:rPr>
              <w:t>2</w:t>
            </w:r>
          </w:p>
        </w:tc>
      </w:tr>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938</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1125</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r>
      <w:tr>
        <w:trPr>
          <w:trHeight w:val="270"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900</w:t>
            </w:r>
            <w:r>
              <w:rPr>
                <w:rFonts w:ascii="Times New Roman" w:hAnsi="Times New Roman"/>
                <w:b w:val="false"/>
                <w:i w:val="false"/>
                <w:color w:val="000000"/>
                <w:sz w:val="14"/>
                <w:vertAlign w:val="superscript"/>
              </w:rPr>
              <w:t>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429</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469</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0.9</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136</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341</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409</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273</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167</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313</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208</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w:t>
            </w:r>
          </w:p>
        </w:tc>
        <w:tc>
          <w:tcPr>
            <w:tcW w:w="90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r>
    </w:tbl>
    <w:p>
      <w:pPr>
        <w:spacing w:before="0" w:after="0"/>
        <w:ind w:left="120"/>
        <w:jc w:val="both"/>
      </w:pPr>
      <w:r>
        <w:rPr>
          <w:rFonts w:ascii="Times New Roman" w:hAnsi="Times New Roman"/>
          <w:b w:val="false"/>
          <w:i w:val="false"/>
          <w:color w:val="000000"/>
          <w:sz w:val="11"/>
          <w:vertAlign w:val="superscript"/>
        </w:rPr>
        <w:t>1</w:t>
      </w:r>
      <w:r>
        <w:rPr>
          <w:rFonts w:ascii="Times New Roman" w:hAnsi="Times New Roman"/>
          <w:b w:val="false"/>
          <w:i w:val="false"/>
          <w:color w:val="000000"/>
          <w:sz w:val="18"/>
        </w:rPr>
        <w:t xml:space="preserve">gpd - gallons per day. Design flow rates are based on 150 gallons per bedroom per day. </w:t>
      </w:r>
    </w:p>
    <w:p>
      <w:pPr>
        <w:spacing w:before="0" w:after="0"/>
        <w:ind w:left="120"/>
        <w:jc w:val="both"/>
      </w:pPr>
      <w:r>
        <w:rPr>
          <w:rFonts w:ascii="Times New Roman" w:hAnsi="Times New Roman"/>
          <w:b w:val="false"/>
          <w:i w:val="false"/>
          <w:color w:val="000000"/>
          <w:sz w:val="11"/>
          <w:vertAlign w:val="superscript"/>
        </w:rPr>
        <w:t>2</w:t>
      </w:r>
      <w:r>
        <w:rPr>
          <w:rFonts w:ascii="Times New Roman" w:hAnsi="Times New Roman"/>
          <w:b w:val="false"/>
          <w:i w:val="false"/>
          <w:color w:val="000000"/>
          <w:sz w:val="18"/>
        </w:rPr>
        <w:t xml:space="preserve">Requires pressure distribution (pump).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Unsuitable absorption. Conventional soil absorption trenches and at-grade systems shall not be installed in soils that have a percolation rate less than 1 minute per inch or greater than 60 minutes per inch.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for all soil absorption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A trench bottom depth of 18 to 24 inches is recommended. Soil absorption trenches shall not exceed 36 inches in depth. Not less than six inches of porous soil shall be provided over the laterals. The minimum separation between the trench bottom and any confining layer shall be 36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Length. No soil absorption trench shall be greater than 100 feet long unless the administrative authority approves the use of a drop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Trench SD. At least six feet of undisturbed soil shall be left between each trench edge on level sites. Two feet of SD should be added for each five percent increase in slope from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Grade. The trench bottom should be constructed level from end to end. On sloping ground, the trench shall follow a uniform land contour to maintain a minimum soil cover of six inches and a level trench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Compaction. There shall be minimum use of, or traffic of heavy equipment on, the area proposed for soil absorption. In addition, heavy equipment shall not be used on the trench bottoms in the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Soils. Soil absorption systems shall not be installed in fill soil. Disturbed soils that have stabilized for at least one year shall require a recent percolation test or professional soil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Soil smearing.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Soils with significant clay content should not be worked when wet.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moisture causes trench bottom or sidewall smearing, the installation should be discontinued until conditions improve.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color w:val="000000"/>
          <w:sz w:val="22"/>
        </w:rPr>
        <w:t xml:space="preserve">Gravel aggregate systems. </w:t>
      </w:r>
      <w:r>
        <w:rPr>
          <w:rFonts w:ascii="Times New Roman" w:hAnsi="Times New Roman"/>
          <w:b w:val="false"/>
          <w:i w:val="false"/>
          <w:color w:val="000000"/>
          <w:sz w:val="22"/>
        </w:rPr>
        <w:t>The following provisions apply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six inches of clean, washed river gravel, free of clay and clay coatings, shall be laid below the distribution pipe, and enough gravel shall be used to cover the 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gravel shall be of such a size that 100 percent of the gravel will pass a 2½-inch screen and 100 percent will be retained on a ¾-inch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Limestone or crushed rock is not recommended for soil absorption systems; however, if used, 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wear, as determined in accordance with the American Association of State Highway and Transportation Officials (AAHSTO) T 96, Grading C, 2022, available on the AAHSTO website at </w:t>
      </w:r>
      <w:hyperlink r:id="rId27">
        <w:r>
          <w:rPr>
            <w:rStyle w:val="Hyperlink"/>
            <w:rFonts w:ascii="Times New Roman" w:hAnsi="Times New Roman"/>
            <w:b w:val="false"/>
            <w:i w:val="false"/>
            <w:color w:val="000000"/>
            <w:sz w:val="22"/>
            <w:u w:val="single"/>
          </w:rPr>
          <w:t>store.transportation.org</w:t>
        </w:r>
      </w:hyperlink>
      <w:r>
        <w:rPr>
          <w:rFonts w:ascii="Times New Roman" w:hAnsi="Times New Roman"/>
          <w:b w:val="false"/>
          <w:i w:val="false"/>
          <w:color w:val="000000"/>
          <w:sz w:val="22"/>
        </w:rPr>
        <w:t>, shall not exceed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gravel is subjected to the freezing and thawing test, Iowa DOT Materials Laboratory Test Method 211, Method A, April 15, 2025, available at </w:t>
      </w:r>
      <w:hyperlink r:id="rId28">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the percentage loss shall not exceed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 absorption, determined in accordance with Iowa DOT Materials Laboratory Test Method 202, April 15, 2025, available at </w:t>
      </w:r>
      <w:hyperlink r:id="rId29">
        <w:r>
          <w:rPr>
            <w:rStyle w:val="Hyperlink"/>
            <w:rFonts w:ascii="Times New Roman" w:hAnsi="Times New Roman"/>
            <w:b w:val="false"/>
            <w:i w:val="false"/>
            <w:color w:val="000000"/>
            <w:sz w:val="22"/>
            <w:u w:val="single"/>
          </w:rPr>
          <w:t>erl.iowadot.gov</w:t>
        </w:r>
      </w:hyperlink>
      <w:r>
        <w:rPr>
          <w:rFonts w:ascii="Times New Roman" w:hAnsi="Times New Roman"/>
          <w:b w:val="false"/>
          <w:i w:val="false"/>
          <w:color w:val="000000"/>
          <w:sz w:val="22"/>
        </w:rPr>
        <w:t>, shall not exceed three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Soil absorption trenches for gravel systems shall have a minimum width of 24 inches and a maximum width of 36 inches at the bottom of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distribution pipes shall be laid with a minimum grade of two inches per 100 feet of run and a maximum grade of six inches per 100 feet of run, with a preference given to the lesser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pipe used in gravity-based distribution type systems shall be PVC rigid plastic meeting ASTM 2729.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inside diameter shall be not less than four inches, with perforations at least ½ inch and no more than ¾ inch in diameter, spaced no more than 40 inches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Two rows of perforations shall be provided; located 120 degrees apart along the bottom half of the tubing and each 60 degrees up from the bottom centerline.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end of the pipe in each trench shall be sealed with a watertight cap unless, on a level site, a footer is installed connecting the trenches together.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Coiled perforated plastic pipe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Synthetic drainage fabric or other material approved by the manufacturer or administrative authority shall be laid so as to separate the gravel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color w:val="000000"/>
          <w:sz w:val="22"/>
        </w:rPr>
        <w:t xml:space="preserve">Chamber systems. </w:t>
      </w:r>
      <w:r>
        <w:rPr>
          <w:rFonts w:ascii="Times New Roman" w:hAnsi="Times New Roman"/>
          <w:b w:val="false"/>
          <w:i w:val="false"/>
          <w:color w:val="000000"/>
          <w:sz w:val="22"/>
        </w:rPr>
        <w:t>The following provisions apply to chamber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Chamber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for chambers 22 inches wide shall be the same as specified in Table IIc for a two-foot-wide conventional soil absorption trench. Chambers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Sidewall. </w:t>
      </w:r>
      <w:r>
        <w:rPr>
          <w:rFonts w:ascii="Times New Roman" w:hAnsi="Times New Roman"/>
          <w:b w:val="false"/>
          <w:i w:val="false"/>
          <w:color w:val="000000"/>
          <w:sz w:val="22"/>
        </w:rPr>
        <w:t xml:space="preserve">The chambers shall have at least six inches of sidewall effluent soil exposure height.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color w:val="000000"/>
          <w:sz w:val="22"/>
        </w:rPr>
        <w:t xml:space="preserve">EPS aggregate systems. </w:t>
      </w:r>
      <w:r>
        <w:rPr>
          <w:rFonts w:ascii="Times New Roman" w:hAnsi="Times New Roman"/>
          <w:b w:val="false"/>
          <w:i w:val="false"/>
          <w:color w:val="000000"/>
          <w:sz w:val="22"/>
        </w:rPr>
        <w:t>The following provisions apply to EPS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EPS aggregate systems may be used as an alternative to gravel aggregate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Trench length. </w:t>
      </w:r>
      <w:r>
        <w:rPr>
          <w:rFonts w:ascii="Times New Roman" w:hAnsi="Times New Roman"/>
          <w:b w:val="false"/>
          <w:i w:val="false"/>
          <w:color w:val="000000"/>
          <w:sz w:val="22"/>
        </w:rPr>
        <w:t>The total length of soil absorption trench using a 12-inch EPS aggregate bundle configuration less than 33 inches wide shall be the same as specified in Table IIc for a two-foot-wide conventional soil absorption trench. Twelve-inch EPS aggregate bundle configurations 33 inches wide or greater shall be sized as specified in Table IIc for a three-foot-wide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EPS bundles. </w:t>
      </w:r>
      <w:r>
        <w:rPr>
          <w:rFonts w:ascii="Times New Roman" w:hAnsi="Times New Roman"/>
          <w:b w:val="false"/>
          <w:i w:val="false"/>
          <w:color w:val="000000"/>
          <w:sz w:val="22"/>
        </w:rPr>
        <w:t>EPS bundles may be configured in a trench, bed, at-grade, or mound application to obtain the desired width, height, and length. EPS bundles containing a distribution pipe shall be connected end-to-end with an internal coupling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color w:val="000000"/>
          <w:sz w:val="22"/>
        </w:rPr>
        <w:t xml:space="preserve">Mound systems. </w:t>
      </w:r>
      <w:r>
        <w:rPr>
          <w:rFonts w:ascii="Times New Roman" w:hAnsi="Times New Roman"/>
          <w:b w:val="false"/>
          <w:i w:val="false"/>
          <w:color w:val="000000"/>
          <w:sz w:val="22"/>
        </w:rPr>
        <w:t>The following provisions apply to mound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Mound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0">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sand in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Soils where the high groundwater level, impermeable bedrock, or soil strata having a percolation rate exceeding 120 minutes per inch occurs within 12 inches of natural grade;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creviced bedrock occurs within 20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50 feet on the downgradient side of the mound when the mound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the effluent disposal area as long as the mound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mounds are minimal and may not be sufficient for all locations. Other design information beyond the scope of these rules may be necessary to properly design a mound system. Refer to Appendix C of this chapter for mound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color w:val="000000"/>
          <w:sz w:val="22"/>
        </w:rPr>
        <w:t xml:space="preserve">At-grade systems. </w:t>
      </w:r>
      <w:r>
        <w:rPr>
          <w:rFonts w:ascii="Times New Roman" w:hAnsi="Times New Roman"/>
          <w:b w:val="false"/>
          <w:i w:val="false"/>
          <w:color w:val="000000"/>
          <w:sz w:val="22"/>
        </w:rPr>
        <w:t>The following provisions apply to at-grade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At-grade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in Table I in </w:t>
      </w:r>
      <w:hyperlink r:id="rId31">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as measured from the outer edge of the distribution bed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subject to flooding with a ten-year or greater frequency,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Soils where a confining layer occurs or soil strata having a percolation rate exceeding 60 minutes per inch occur within 36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buildings, driveways, or other surface or subsurface obstructions shall be permitted within 25 feet on the downgradient side of an at-grade system when the system is constructed on a slope greater than five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future construction shall be permitted in this effluent disposal area as long as the at-grade system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provided in these rules for at-grade systems are minimal and may not be sufficient for all locations. Other design information beyond the scope of these rules may be necessary to properly design an at-grade system. Refer to Appendix D of this chapter for at-grade system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color w:val="000000"/>
          <w:sz w:val="22"/>
        </w:rPr>
        <w:t xml:space="preserve">Soil absorption bed systems. </w:t>
      </w:r>
      <w:r>
        <w:rPr>
          <w:rFonts w:ascii="Times New Roman" w:hAnsi="Times New Roman"/>
          <w:b w:val="false"/>
          <w:i w:val="false"/>
          <w:color w:val="000000"/>
          <w:sz w:val="22"/>
        </w:rPr>
        <w:t>The following provisions apply to soil absorption bed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r>
        <w:rPr>
          <w:rFonts w:ascii="Times New Roman" w:hAnsi="Times New Roman"/>
          <w:b w:val="false"/>
          <w:i w:val="false"/>
          <w:color w:val="000000"/>
          <w:sz w:val="22"/>
        </w:rPr>
        <w:t>Soil absorption bed systems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be permitted when a thorough site evaluation has been conducted,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constructed only upon undisturbed naturally occurring soils or where a soil analysis has determined the site is 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located in accordance with the SDs specified in Table I in </w:t>
      </w:r>
      <w:hyperlink r:id="rId32">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Refer to Appendix E of this chapter for soil absorption bed system construction design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Intermittent subsurface sand filters (ISSFs). </w:t>
      </w:r>
      <w:r>
        <w:rPr>
          <w:rFonts w:ascii="Times New Roman" w:hAnsi="Times New Roman"/>
          <w:b w:val="false"/>
          <w:i w:val="false"/>
          <w:color w:val="000000"/>
          <w:sz w:val="22"/>
        </w:rPr>
        <w:t>The following provisions apply to ISSFs.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design and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ISSFs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shall be located in accordance with the SDs in Table I in </w:t>
      </w:r>
      <w:hyperlink r:id="rId33">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ISSFs shall have a sample port or means of collecting a representative effluent sample.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no construction, such as buildings or concrete driveways, covering any part of an ISSF.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ISSFs may be constructed where the water table is below the bottom of the collector pipe. If the water table is verified to be higher than the bottom of the collector pipe, an ISSF may only be installed if either a liner is installed or subsurface drainage tile is used to lower the water table,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needed, a plastic liner shall use a minimum of 30-mil plastic or product of equivalent thickness as determined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water table is lowered by use of subsurface drainage tile, the minimum depth of the drainage tile shall be greater than or equal to the lowest portion of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design standards. </w:t>
      </w:r>
      <w:r>
        <w:rPr>
          <w:rFonts w:ascii="Times New Roman" w:hAnsi="Times New Roman"/>
          <w:b w:val="false"/>
          <w:i w:val="false"/>
          <w:color w:val="000000"/>
          <w:sz w:val="22"/>
        </w:rPr>
        <w:t>The specifications in these rules for ISSFs are minimal and may not be sufficient for all applications. Other design information beyond the scope of these rules may be necessary to properly design an ISSF. Refer to Appendix F of this chapter for ISSF construction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Proprietary treatment systems (PTSs). </w:t>
      </w:r>
      <w:r>
        <w:rPr>
          <w:rFonts w:ascii="Times New Roman" w:hAnsi="Times New Roman"/>
          <w:b w:val="false"/>
          <w:i w:val="false"/>
          <w:color w:val="000000"/>
          <w:sz w:val="22"/>
        </w:rPr>
        <w:t>The following provisions apply to all PTSs.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may be used when the administrative authority determines the site is unacceptable for a soil absorption system or an ISSF.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PTS manufacturers shall submit to the department, by February 1 of each year, their current installation and maintenance manual, including the applicable third-party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PTS that utilizes replaceable media, a media disposal plan shall be included in the installation and maintenance manual. Used media from a PTS is considered “septage,” and septage shall be disposed of in accordance with </w:t>
      </w:r>
      <w:hyperlink r:id="rId3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PTSs shall be located in accordance with the SDs in Table I in </w:t>
      </w:r>
      <w:hyperlink r:id="rId3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 installation, and operation. </w:t>
      </w:r>
      <w:r>
        <w:rPr>
          <w:rFonts w:ascii="Times New Roman" w:hAnsi="Times New Roman"/>
          <w:b w:val="false"/>
          <w:i w:val="false"/>
          <w:color w:val="000000"/>
          <w:sz w:val="22"/>
        </w:rPr>
        <w:t xml:space="preserve">A PTS shall be installed and operated in accordance with the manufacturer’s requirements. Additionally: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other than an aerobic treatment unit shall be preceded by a septic tank with a minimum capacity in accordance with </w:t>
      </w:r>
      <w:hyperlink r:id="rId36">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or shall have an incorporated component that is, or performs the same function as, a septic tank. A pretank or chamber that is part of the design, that is intended to serve the same function as a septic tank, and that was approved by third-party certification shall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aerobic treatment unit PTS that does not have an incorporated component that is, or performs the same function as, a septic tank as part of the approved design shall be preceded by a pretreatment tank with a minimum capacity of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PTS that utilizes a soil absorption system to disperse the treated effluent shall comply with </w:t>
      </w:r>
      <w:hyperlink r:id="rId37">
        <w:r>
          <w:rPr>
            <w:rStyle w:val="Hyperlink"/>
            <w:rFonts w:ascii="Times New Roman" w:hAnsi="Times New Roman"/>
            <w:b w:val="false"/>
            <w:i w:val="false"/>
            <w:color w:val="000000"/>
            <w:sz w:val="22"/>
          </w:rPr>
          <w:t>567—69.5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PTSs shall have a sample port or means of collecting a representative effluent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installation, a contract for PTS monitoring and maintenance shall be established between the system owner and a manufacturer-certified technician. A maintenance contract is required for the life of the system. A copy of the maintenance contract shall be made available to the administrative authority. A PTS shall be inspected, monitored, and maintained in accordance with the manufacturer’s specifications and third-party certification, or at least once annually, whichever is more 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PTS monitoring and maintenance shall be performed by a manufacturer-certified technician. PTS manufacturers shall ensure that an adequate number of certified technicians are available to service their PTSs at the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technicians shall report monitoring and maintenance results to the system owner and to the administrative authority. Certified technicians shall also report any discontinuance of PTS maintenance to the administrative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567—69.7</w:t>
      </w:r>
      <w:r>
        <w:rPr>
          <w:rFonts w:ascii="Times New Roman" w:hAnsi="Times New Roman"/>
          <w:b/>
          <w:i w:val="false"/>
          <w:color w:val="000000"/>
          <w:sz w:val="22"/>
        </w:rPr>
        <w:t xml:space="preserve">(455B) </w:t>
      </w:r>
      <w:r>
        <w:rPr>
          <w:rFonts w:ascii="Times New Roman" w:hAnsi="Times New Roman"/>
          <w:b/>
          <w:i w:val="false"/>
          <w:color w:val="000000"/>
          <w:sz w:val="22"/>
        </w:rPr>
        <w:t xml:space="preserve">Time of transfer (TOT)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Inspection criteria. </w:t>
      </w:r>
      <w:r>
        <w:rPr>
          <w:rFonts w:ascii="Times New Roman" w:hAnsi="Times New Roman"/>
          <w:b w:val="false"/>
          <w:i w:val="false"/>
          <w:color w:val="000000"/>
          <w:sz w:val="22"/>
        </w:rPr>
        <w:t xml:space="preserve">Pursuant to Iowa Code section </w:t>
      </w:r>
      <w:hyperlink r:id="rId38">
        <w:r>
          <w:rPr>
            <w:rStyle w:val="Hyperlink"/>
            <w:rFonts w:ascii="Times New Roman" w:hAnsi="Times New Roman"/>
            <w:b w:val="false"/>
            <w:i w:val="false"/>
            <w:color w:val="000000"/>
            <w:sz w:val="22"/>
          </w:rPr>
          <w:t>455B.172(11)</w:t>
        </w:r>
      </w:hyperlink>
      <w:r>
        <w:rPr>
          <w:rFonts w:ascii="Times New Roman" w:hAnsi="Times New Roman"/>
          <w:b w:val="false"/>
          <w:i w:val="false"/>
          <w:color w:val="000000"/>
          <w:sz w:val="22"/>
        </w:rPr>
        <w:t xml:space="preserve">, if a building where a person resides, congregates, or is employed is served by a PSDS, the PSDS shall be inspected prior to any transfer of ownership of the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Properly functioning system. </w:t>
      </w:r>
      <w:r>
        <w:rPr>
          <w:rFonts w:ascii="Times New Roman" w:hAnsi="Times New Roman"/>
          <w:b w:val="false"/>
          <w:i w:val="false"/>
          <w:color w:val="000000"/>
          <w:sz w:val="22"/>
        </w:rPr>
        <w:t xml:space="preserve">If a PSDS is properly treating wastewater and not creating an unsanitary condition in the environment at the time of inspection, the system is not required to meet the department’s current construction standards. However, the discharge restrictions in </w:t>
      </w:r>
      <w:hyperlink r:id="rId39">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demolition. </w:t>
      </w:r>
      <w:r>
        <w:rPr>
          <w:rFonts w:ascii="Times New Roman" w:hAnsi="Times New Roman"/>
          <w:b w:val="false"/>
          <w:i w:val="false"/>
          <w:color w:val="000000"/>
          <w:sz w:val="22"/>
        </w:rPr>
        <w:t xml:space="preserve">Pursuant to Iowa Code section </w:t>
      </w:r>
      <w:hyperlink r:id="rId40">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(7), a TOT inspection and upgrade of a PSDS serving a building is not required when the buyer of a building served by a PSDS intends to demolish or raze the building, as long as the building is not occupied and is removed by the date agreed upon in the waiver for building demolition form, available from the department. For purposes of this paragraph, a building includes inhabitable residences, other inhabitable structures, or commercial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inspection. </w:t>
      </w:r>
      <w:r>
        <w:rPr>
          <w:rFonts w:ascii="Times New Roman" w:hAnsi="Times New Roman"/>
          <w:b w:val="false"/>
          <w:i w:val="false"/>
          <w:color w:val="000000"/>
          <w:sz w:val="22"/>
        </w:rPr>
        <w:t>In the event that weather or other temporary physical conditions prevent an inspection from being conducted, the buyer shall execute a binding agreement for weather delayed inspection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or renovation. </w:t>
      </w:r>
      <w:r>
        <w:rPr>
          <w:rFonts w:ascii="Times New Roman" w:hAnsi="Times New Roman"/>
          <w:b w:val="false"/>
          <w:i w:val="false"/>
          <w:color w:val="000000"/>
          <w:sz w:val="22"/>
        </w:rPr>
        <w:t>In the following instances, a buyer may execute a binding agreement for future installation or renovation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inspection fails;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parties agree an existing PSDS will not pass inspection and a buyer wishes to forego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The forms for a waiver for building demolition, binding agreement for weather delayed inspection, and binding agreement for future installation are available on the department’s website at </w:t>
      </w:r>
      <w:hyperlink r:id="rId4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or improper function. </w:t>
      </w:r>
      <w:r>
        <w:rPr>
          <w:rFonts w:ascii="Times New Roman" w:hAnsi="Times New Roman"/>
          <w:b w:val="false"/>
          <w:i w:val="false"/>
          <w:color w:val="000000"/>
          <w:sz w:val="22"/>
        </w:rPr>
        <w:t>If a PSDS is failing to ensure effective wastewater treatment or is otherwise improperly functioning, the PSDS shall be renovated to meet the department’s current construction standards. A PSDS is failing to ensure effective wastewater treatment or is otherwise improperly functioning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system’s septic tank is constructed of metal; is not watertight; was not designed for use as a PSDS tank; or is damaged and cannot be repaired to the manufacturer’s standards using a manufacturer-approved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system’s primary treatment tank is less than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fixtures on the property served by the PSDS that produce or transport domestic waste do not enter the PSDS;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the system’s soil absorption area does not accept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the system is failing to effectively treat wastewater or is otherwise improperly functioning in a manner not detailed above;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system is a dry well structure or seepage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For purposes of this subrule, transfer does not include the situations listed in Iowa Code section </w:t>
      </w:r>
      <w:hyperlink r:id="rId42">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43">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inspectors. </w:t>
      </w:r>
      <w:r>
        <w:rPr>
          <w:rFonts w:ascii="Times New Roman" w:hAnsi="Times New Roman"/>
          <w:b w:val="false"/>
          <w:i w:val="false"/>
          <w:color w:val="000000"/>
          <w:sz w:val="22"/>
        </w:rPr>
        <w:t xml:space="preserve">Inspections shall be conducted by an inspector certified by the department, in accordance with Iowa Code section </w:t>
      </w:r>
      <w:hyperlink r:id="rId44">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this rule. In order to be a certified TOT inspector, an individual shall have met the experience requirements, have successfully completed the inspection course and examination, and have been issued a TOT certification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requirements. </w:t>
      </w:r>
      <w:r>
        <w:rPr>
          <w:rFonts w:ascii="Times New Roman" w:hAnsi="Times New Roman"/>
          <w:b w:val="false"/>
          <w:i w:val="false"/>
          <w:color w:val="000000"/>
          <w:sz w:val="22"/>
        </w:rPr>
        <w:t>In order to be certified by taking the inspection course and examination only, an individual must have at least two years’ experience in the operation, installation, inspection, design or maintenance of PSDSs. Individuals lacking this experience must complete additional coursework before attending the inspection course with examination. The additional courses shall include but not be limited to “Basics of Onsite” offered by the Onsite Wastewater Training Center of Iowa or equivalent courses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form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to take the certified TOT inspector examination shall be filed using a department form, available on the department’s website at </w:t>
      </w:r>
      <w:hyperlink r:id="rId45">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 applications shall be reviewed by the department and an application review decision will be sent to the applicant. The applicant shall have the right to dispute the application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examination application approval shall be valid for examination purposes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Applicants who successfully meet the requirements of this subrule will receive a TOT certification from the department. The department shall maintain a current listing of certified TOT inspectors on its website at </w:t>
      </w:r>
      <w:hyperlink r:id="rId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certificates shall expire on June 30 of even-numbered years and must be renewed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shall be submitted on a department form, available on the department’s website at </w:t>
      </w:r>
      <w:hyperlink r:id="rId4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and shall be submitted 60 days before the expiration date of the current certificate. Renewal certificates will only be granted to inspectors that meet the continuing education unit (CEU) requirements of </w:t>
      </w:r>
      <w:hyperlink r:id="rId48">
        <w:r>
          <w:rPr>
            <w:rStyle w:val="Hyperlink"/>
            <w:rFonts w:ascii="Times New Roman" w:hAnsi="Times New Roman"/>
            <w:b w:val="false"/>
            <w:i w:val="false"/>
            <w:color w:val="000000"/>
            <w:sz w:val="22"/>
          </w:rPr>
          <w:t>69.7(2)</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have paid the appropriate certification fee in </w:t>
      </w:r>
      <w:hyperlink r:id="rId49">
        <w:r>
          <w:rPr>
            <w:rStyle w:val="Hyperlink"/>
            <w:rFonts w:ascii="Times New Roman" w:hAnsi="Times New Roman"/>
            <w:b w:val="false"/>
            <w:i w:val="false"/>
            <w:color w:val="000000"/>
            <w:sz w:val="22"/>
          </w:rPr>
          <w:t>69.7(2)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that conduct inspections in accordance with </w:t>
      </w:r>
      <w:hyperlink r:id="rId50">
        <w:r>
          <w:rPr>
            <w:rStyle w:val="Hyperlink"/>
            <w:rFonts w:ascii="Times New Roman" w:hAnsi="Times New Roman"/>
            <w:b w:val="false"/>
            <w:i w:val="false"/>
            <w:color w:val="000000"/>
            <w:sz w:val="22"/>
          </w:rPr>
          <w:t>69.7(3)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Inspectors who have complied with the continuing education requirements may continue to request a renewal up to 45 days following expiration of their certificate. However, inspectors may not perform inspections until a renewal certificate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Inspectors whose certification has expired must retake the inspector class and test to become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units (CEUs). </w:t>
      </w:r>
      <w:r>
        <w:rPr>
          <w:rFonts w:ascii="Times New Roman" w:hAnsi="Times New Roman"/>
          <w:b w:val="false"/>
          <w:i w:val="false"/>
          <w:color w:val="000000"/>
          <w:sz w:val="22"/>
        </w:rPr>
        <w:t>The following CEU requirements apply to TOT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inspector must earn 1.2 CEUs or 12 contact hours during each two-year period. Newly certified inspectors (previously uncertified) who become certified after April 1 of a two-year period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CEUs must be earned during each two-year period from April 1 of the even-numbered year until March 31 of the next even-numbered year. CEUs earned between April 1 and the end of the 45-day grace period cannot be counted towards a certification that expires on June 30 of that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CEU credit will be granted must be approved by an accredited college, university, technical institute, or the department and shall be related to PSDSs. Any entity providing training eligible for CEU credit shall, upon request, provide the training at no cost to one department staff member for audit purposes and shall provide all course materials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personal responsibility of a certified inspector to maintain a record of and notify the department of the CEUs earned during the two-year period. The CEUs earned during the period shall be shown on the renewal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The following nonrefundable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 inspector certification fee is $300. This fee must be paid prior to the issuance of a certification. This fee shall be prorated to $75 for each one-half year of a two-year period from a certification issuance date to June 30 of the next even-numbered year. Certifications obtained within the first half year period of the certification period shall be subject to the full certification fee of $300. The department will inform the applicant of the prorated fee amount prior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$300. This fee must accompany a renewal application in order for a certificate to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Certified inspector obligations. </w:t>
      </w:r>
      <w:r>
        <w:rPr>
          <w:rFonts w:ascii="Times New Roman" w:hAnsi="Times New Roman"/>
          <w:b w:val="false"/>
          <w:i w:val="false"/>
          <w:color w:val="000000"/>
          <w:sz w:val="22"/>
        </w:rPr>
        <w:t>Certified inspectors shall conduct TOT inspections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procedures. </w:t>
      </w:r>
      <w:r>
        <w:rPr>
          <w:rFonts w:ascii="Times New Roman" w:hAnsi="Times New Roman"/>
          <w:b w:val="false"/>
          <w:i w:val="false"/>
          <w:color w:val="000000"/>
          <w:sz w:val="22"/>
        </w:rPr>
        <w:t>TOT inspections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TOT inspection shall be conducted using a department form, available on the department’s website at </w:t>
      </w:r>
      <w:hyperlink r:id="rId5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Upon completion of an inspection, all information, inspection data, and all attachments shall be provided as follows: to the department for review; to the county environmental health department for review and enforcement of any follow-up mandatory improvements to the system; and to the person ordering the inspection within ten business days from the inspection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a complete inspection form and all attachments in the online TOT database, available on the department’s website at </w:t>
      </w:r>
      <w:hyperlink r:id="rId5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shall be deemed compliant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an inspection, a certified inspector shall contact the administrative authority to obtain any permits, as-built drawings, or other available information concerning the system being inspected. Information may also be obtained from service providers or the homeowner.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an existing as-built drawing,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as-built drawing is available, develop an as-built drawing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Septic tanks, vault toilets, and holding tanks. </w:t>
      </w:r>
      <w:r>
        <w:rPr>
          <w:rFonts w:ascii="Times New Roman" w:hAnsi="Times New Roman"/>
          <w:b w:val="false"/>
          <w:i w:val="false"/>
          <w:color w:val="000000"/>
          <w:sz w:val="22"/>
        </w:rPr>
        <w:t>At the time of inspection, any existing tank(s) shall be opened and have the contents properly disposed of, and the condition of the tank and its components shall be documented and included in the final inspection report. Alternatively, the owner may provide evidence of proper tank pumping by a licensed commercial septic tank cleaner within three years prior to the inspection, so long as such evidence includes documentation of the size and condition of the tank and its components at the time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Pumps and pump chambers. </w:t>
      </w:r>
      <w:r>
        <w:rPr>
          <w:rFonts w:ascii="Times New Roman" w:hAnsi="Times New Roman"/>
          <w:b w:val="false"/>
          <w:i w:val="false"/>
          <w:color w:val="000000"/>
          <w:sz w:val="22"/>
        </w:rPr>
        <w:t>Pump chambers or vaults shall be opened for inspection. The pump and all alarms and controls shall be tested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w:t>
      </w:r>
      <w:r>
        <w:rPr>
          <w:rFonts w:ascii="Times New Roman" w:hAnsi="Times New Roman"/>
          <w:b w:val="false"/>
          <w:i w:val="false"/>
          <w:color w:val="000000"/>
          <w:sz w:val="22"/>
        </w:rPr>
        <w:t>Proof that a secondary treatment system (if any) is in place shall be provided. This proof includes but is not limited to performing and documenting the following actions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and inspecting all distribution box(es) or drop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Locating and uncovering the header pipe of a soil absorption system, if the pipe location and status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Locating the vents and discharge pipe of a sand filter and probing the treatment area. A gravity sand filter with a distribution box shall have the box opened and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Locating, opening the lids, and inspecting the components of any PTS according to the manufacturer’s recommendations, and documenting the product model and serial numbers of the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Probing any soil-based treatment systems to determine their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hydraulic loading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Discharging systems. </w:t>
      </w:r>
      <w:r>
        <w:rPr>
          <w:rFonts w:ascii="Times New Roman" w:hAnsi="Times New Roman"/>
          <w:b w:val="false"/>
          <w:i w:val="false"/>
          <w:color w:val="000000"/>
          <w:sz w:val="22"/>
        </w:rPr>
        <w:t>During an inspection, a representative sample of effluent shall be collected for CBOD</w:t>
      </w:r>
      <w:r>
        <w:rPr>
          <w:rFonts w:ascii="Times New Roman" w:hAnsi="Times New Roman"/>
          <w:b w:val="false"/>
          <w:i w:val="false"/>
          <w:color w:val="000000"/>
          <w:sz w:val="11"/>
          <w:vertAlign w:val="subscript"/>
        </w:rPr>
        <w:t>5</w:t>
      </w:r>
      <w:r>
        <w:rPr>
          <w:rFonts w:ascii="Times New Roman" w:hAnsi="Times New Roman"/>
          <w:b w:val="false"/>
          <w:i w:val="false"/>
          <w:color w:val="000000"/>
          <w:sz w:val="22"/>
        </w:rPr>
        <w:t xml:space="preserve"> and TSS from all PSDSs, with the exception of soil absorption systems, and the test results shall be included in the inspection report. The effluent quality shall meet the requirements of NPDES General Permit No. 4 for CBOD</w:t>
      </w:r>
      <w:r>
        <w:rPr>
          <w:rFonts w:ascii="Times New Roman" w:hAnsi="Times New Roman"/>
          <w:b w:val="false"/>
          <w:i w:val="false"/>
          <w:color w:val="000000"/>
          <w:sz w:val="11"/>
          <w:vertAlign w:val="subscript"/>
        </w:rPr>
        <w:t>5</w:t>
      </w:r>
      <w:r>
        <w:rPr>
          <w:rFonts w:ascii="Times New Roman" w:hAnsi="Times New Roman"/>
          <w:b w:val="false"/>
          <w:i w:val="false"/>
          <w:color w:val="000000"/>
          <w:sz w:val="22"/>
        </w:rPr>
        <w:t xml:space="preserve"> and TSS. A certified inspector shall report the discharge location(s) for all discharging PSDSs.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 systems and system components. </w:t>
      </w:r>
      <w:r>
        <w:rPr>
          <w:rFonts w:ascii="Times New Roman" w:hAnsi="Times New Roman"/>
          <w:b w:val="false"/>
          <w:i w:val="false"/>
          <w:color w:val="000000"/>
          <w:sz w:val="22"/>
        </w:rPr>
        <w:t>Any PSDS or component not mentioned above shall be inspected for compliance with these rules and for proper function. Examples of components include but are not limited to effluent screens, tertiary treatment systems, disinfection devices, alarms, control boxes, and timers.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TOT inspector on any of the grounds specified in Iowa Code section </w:t>
      </w:r>
      <w:hyperlink r:id="rId53">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or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inspection records or other reports required under applicable permits or department rules,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Disciplinary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revocation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or suspension of the practice of a particular aspect of a PSDS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education, training, or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not to exceed $1,000 may be assessed for causes identified in </w:t>
      </w:r>
      <w:hyperlink r:id="rId54">
        <w:r>
          <w:rPr>
            <w:rStyle w:val="Hyperlink"/>
            <w:rFonts w:ascii="Times New Roman" w:hAnsi="Times New Roman"/>
            <w:b w:val="false"/>
            <w:i w:val="false"/>
            <w:color w:val="000000"/>
            <w:sz w:val="22"/>
          </w:rPr>
          <w:t>69.7(4)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the issuance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initiate a disciplinary action by conducting a lawful investigation to establish a legal and factual basis for action. The department shall provide written notice to a certified inspector when considering disciplinary actions. The notice shall provide the certified inspector 20 days to state their position and present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if any, can be reached between the department and the certified inspector, a written stipulation and settlement shall be entered into. The stipulation and settlement shall recite the basic facts and violations alleged, any facts established by the certified inspector, and the reasons for the particular sanction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cannot be reached, the department may initiate formal disciplinary procedures in a letter, sent by certified mail, that imposes disciplinary sanctions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inspector may appeal any disciplinary sanction imposed by the department by filing a notice of appeal with the director within 30 days of receipt of a disciplinary sanction letter. If an appeal is filed, the department shall initiate contested case proceedings in accordance with </w:t>
      </w:r>
      <w:hyperlink r:id="rId5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and 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certificate revocation, application for certification may be allowed two years from the revocation date unless otherwise specified in accordance with </w:t>
      </w:r>
      <w:hyperlink r:id="rId57">
        <w:r>
          <w:rPr>
            <w:rStyle w:val="Hyperlink"/>
            <w:rFonts w:ascii="Times New Roman" w:hAnsi="Times New Roman"/>
            <w:b w:val="false"/>
            <w:i w:val="false"/>
            <w:color w:val="000000"/>
            <w:sz w:val="22"/>
          </w:rPr>
          <w:t>69.7(4)</w:t>
        </w:r>
        <w:r>
          <w:rPr>
            <w:rFonts w:ascii="Times New Roman" w:hAnsi="Times New Roman"/>
            <w:b w:val="false"/>
            <w:i/>
            <w:color w:val="000000"/>
            <w:sz w:val="22"/>
          </w:rPr>
          <w:t>“b.”</w:t>
        </w:r>
      </w:hyperlink>
      <w:r>
        <w:rPr>
          <w:rFonts w:ascii="Times New Roman" w:hAnsi="Times New Roman"/>
          <w:b w:val="false"/>
          <w:i w:val="false"/>
          <w:color w:val="000000"/>
          <w:sz w:val="22"/>
        </w:rPr>
        <w:t xml:space="preserve"> Any such applicant must meet all eligibility requirements in </w:t>
      </w:r>
      <w:hyperlink r:id="rId58">
        <w:r>
          <w:rPr>
            <w:rStyle w:val="Hyperlink"/>
            <w:rFonts w:ascii="Times New Roman" w:hAnsi="Times New Roman"/>
            <w:b w:val="false"/>
            <w:i w:val="false"/>
            <w:color w:val="000000"/>
            <w:sz w:val="22"/>
          </w:rPr>
          <w:t>69.7(2)</w:t>
        </w:r>
      </w:hyperlink>
      <w:r>
        <w:rPr>
          <w:rFonts w:ascii="Times New Roman" w:hAnsi="Times New Roman"/>
          <w:b w:val="false"/>
          <w:i w:val="false"/>
          <w:color w:val="000000"/>
          <w:sz w:val="22"/>
        </w:rPr>
        <w: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59">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inspector certification or renewal, or to suspend a certification in accordance with Iowa Code section </w:t>
      </w:r>
      <w:hyperlink r:id="rId60">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certified mail a notice of its intent to deny or suspend inspector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61">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62">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6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567—69.8</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Waivers to these rules may be granted by the department or the administrative authority provided sufficient information is submitted, prior to construction, to substantiate the need for and propriety of such action. Applications for waivers and justification shall be in writing and filed with the department in accordance with </w:t>
      </w:r>
      <w:hyperlink r:id="rId64">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65">
        <w:r>
          <w:rPr>
            <w:rStyle w:val="Hyperlink"/>
            <w:rFonts w:ascii="Times New Roman" w:hAnsi="Times New Roman"/>
            <w:b w:val="false"/>
            <w:i w:val="false"/>
            <w:color w:val="000000"/>
            <w:sz w:val="22"/>
          </w:rPr>
          <w:t>455B, subchapter III</w:t>
        </w:r>
      </w:hyperlink>
      <w:r>
        <w:rPr>
          <w:rFonts w:ascii="Times New Roman" w:hAnsi="Times New Roman"/>
          <w:b w:val="false"/>
          <w:i w:val="false"/>
          <w:color w:val="000000"/>
          <w:sz w:val="22"/>
        </w:rPr>
        <w:t xml:space="preserve">, part 1, and Iowa Code chapter </w:t>
      </w:r>
      <w:hyperlink r:id="rId6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p>
    <w:p>
      <w:pPr>
        <w:spacing w:before="60" w:after="0"/>
        <w:ind w:left="120"/>
        <w:jc w:val="center"/>
      </w:pPr>
      <w:r>
        <w:br w:type="page"/>
      </w:r>
      <w:r>
        <w:rPr>
          <w:rFonts w:ascii="Times New Roman" w:hAnsi="Times New Roman"/>
          <w:b/>
          <w:i w:val="false"/>
          <w:color w:val="000000"/>
          <w:sz w:val="22"/>
        </w:rPr>
        <w:t>Appendix A - Estimates of Nonresidential Domestic Sewage Design Flow Rates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81"/>
        <w:gridCol w:w="3581"/>
        <w:gridCol w:w="1790"/>
      </w:tblGrid>
      <w:tr>
        <w:trPr>
          <w:trHeight w:val="36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Source of use for sewage unit</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Units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Gallons per day per unit</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Dwelling Units</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Hotels or luxury motels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guest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Discount motels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guest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0.46</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Rooming house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resident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nonresident meal</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Commercial/Industrial</w:t>
            </w:r>
          </w:p>
        </w:tc>
      </w:tr>
      <w:tr>
        <w:trPr>
          <w:trHeight w:val="270"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Retail stores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of sales area</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0.13</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customer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w:t>
            </w:r>
          </w:p>
        </w:tc>
      </w:tr>
      <w:tr>
        <w:trPr>
          <w:trHeight w:val="195" w:hRule="atLeast"/>
        </w:trPr>
        <w:tc>
          <w:tcPr>
            <w:tcW w:w="358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Plus each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toilet room</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Offices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Medical offices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Industrial buildings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Construction camp</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Visitor center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visitor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Laundromat</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machine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load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Barber shops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chair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68</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Beauty shops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station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285</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Car washes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inside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Shopping Center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11.5</w:t>
            </w:r>
          </w:p>
        </w:tc>
      </w:tr>
      <w:tr>
        <w:trPr>
          <w:trHeight w:val="270"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parking space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Flea Market</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vendor space, without food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vendor space, with food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Eating and Drinking Establishments</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Restaurant, not including bar or lounge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meal, without alcoholic drinks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meal, with alcoholic drinks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seat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27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Restaurant (carry out, including caterers)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Dining hall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meal</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Coffee shop</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customer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Cafeteria</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customer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Drive-in</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car stall</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Bar or lounge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customer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r>
      <w:tr>
        <w:trPr>
          <w:trHeight w:val="195" w:hRule="atLeast"/>
        </w:trPr>
        <w:tc>
          <w:tcPr>
            <w:tcW w:w="358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seat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Entertainment Establishments</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Country clubs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 no meals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w:t>
            </w:r>
          </w:p>
        </w:tc>
      </w:tr>
      <w:tr>
        <w:trPr>
          <w:trHeight w:val="195" w:hRule="atLeast"/>
        </w:trPr>
        <w:tc>
          <w:tcPr>
            <w:tcW w:w="358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 meals and showers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118</w:t>
            </w:r>
          </w:p>
        </w:tc>
      </w:tr>
      <w:tr>
        <w:trPr>
          <w:trHeight w:val="195" w:hRule="atLeast"/>
        </w:trPr>
        <w:tc>
          <w:tcPr>
            <w:tcW w:w="358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 in residence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Lodge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Parks/swimming pools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guest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Picnic parks with toilet only</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guest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Movie theaters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24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Drive-in theaters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space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Skating rink/dance hall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Bowling lanes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lane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Stadium</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seat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Health club gym</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Fairgrounds and similar gatherings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visitor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Resort retail store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Wedding or other event center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Transportation</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Airport, bus or rail depot</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passenger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270"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public restroom</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630</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Auto service station</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vehicle served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270"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inside ft</w:t>
            </w:r>
            <w:r>
              <w:rPr>
                <w:rFonts w:ascii="Times New Roman" w:hAnsi="Times New Roman"/>
                <w:b w:val="false"/>
                <w:i w:val="false"/>
                <w:color w:val="000000"/>
                <w:sz w:val="14"/>
                <w:vertAlign w:val="superscript"/>
              </w:rPr>
              <w:t>2</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0.6</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public restroom</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Gas station convenience store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customer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Institutional</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Hospitals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medical bed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Mental institution</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bed</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147</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Prison or jail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inmate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140</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Nursing home</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resident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Add per employee</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School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student, no gym, cafeteria or showers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student, cafeteria only</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student, cafeteria, gym and showers</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Boarding school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student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w:t>
            </w:r>
          </w:p>
        </w:tc>
      </w:tr>
      <w:tr>
        <w:trPr>
          <w:trHeight w:val="195"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Churches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member, with kitchen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Assembly hall</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seat</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Outdoor recreational and related lodging facilities</w:t>
            </w:r>
          </w:p>
        </w:tc>
      </w:tr>
      <w:tr>
        <w:trPr>
          <w:trHeight w:val="195" w:hRule="atLeast"/>
        </w:trPr>
        <w:tc>
          <w:tcPr>
            <w:tcW w:w="3581"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Campground</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campsite with sewer hookup</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360" w:hRule="atLeast"/>
        </w:trPr>
        <w:tc>
          <w:tcPr>
            <w:tcW w:w="3581"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campsite; without sewer hookup, with central toilet or shower facility</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510"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campsite; without sewer hookup, with central toilet or shower facility served by central dump station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 camp, no meals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 camp, with meals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Overnight camp, with meals</w:t>
            </w:r>
          </w:p>
        </w:tc>
        <w:tc>
          <w:tcPr>
            <w:tcW w:w="358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person</w:t>
            </w:r>
          </w:p>
        </w:tc>
        <w:tc>
          <w:tcPr>
            <w:tcW w:w="17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r>
    </w:tbl>
    <w:p>
      <w:pPr>
        <w:spacing w:before="0" w:after="0"/>
        <w:ind w:left="120"/>
        <w:jc w:val="center"/>
      </w:pPr>
      <w:r>
        <w:br w:type="page"/>
      </w:r>
      <w:r>
        <w:rPr>
          <w:rFonts w:ascii="Times New Roman" w:hAnsi="Times New Roman"/>
          <w:b/>
          <w:i w:val="false"/>
          <w:color w:val="000000"/>
          <w:sz w:val="22"/>
        </w:rPr>
        <w:t>Appendix B - Percolation Test Procedure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Prior to performing a percolation test, the confining layer shall be determined in accordance with </w:t>
      </w:r>
      <w:hyperlink r:id="rId67">
        <w:r>
          <w:rPr>
            <w:rStyle w:val="Hyperlink"/>
            <w:rFonts w:ascii="Times New Roman" w:hAnsi="Times New Roman"/>
            <w:b w:val="false"/>
            <w:i w:val="false"/>
            <w:color w:val="000000"/>
            <w:sz w:val="22"/>
          </w:rPr>
          <w:t>69.5(1)</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At least three percolation test holes distributed evenly over the proposed lateral field are required.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Percolation test holes shall be 4 to 12 inches in diameter and to the same depth as the proposed absorption trenches (not to exceed 36 inches in depth).</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Sides and bottoms of the test holes shall be scratched or roughened to provide a natural surface. All loose material shall be removed from each hole.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bottoms of the test holes shall be covered with approximately two inches of rock to protect the bottom from scouring action when the water is added.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hole shall be filled with at least 12 inches of clean water, and this depth shall be maintained for at least four hours; preferably overnight if clay soils are present. It is important that the soil be allowed to soak for long enough to swell if accurate results are to be obtained. Failure to perform the presoak when required will invalidate the percolation test results.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In sandy soils with little or no clay, soaking is not necessary. If, after the hole has been filled twice with 12 inches of water, the water seeps completely away in less than ten minutes, the test can proceed immediately.</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Except for sandy soils, percolation rate measurements should be made at least 4 hours, but no more than 24 hours, after the soaking period began. Any soil that sloughed into the hole during the soaking period shall be removed, and the water level shall be adjusted to six inches above the gravel (or eight inches above the bottom of the hole). At no time during the test is the water level allowed to rise more than six inches above the gravel.</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Immediately after adjustment, the water level shall be measured from a fixed reference point to the nearest ⅛ inch at 30-minute intervals. The test is continued until two successive water level drops do not vary by more than ⅛ inch. At least three measurements shall be made.</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After each measurement, the water level shall be readjusted to the six-inch level. Use the last water level drop to calculate the percolation rate. </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In sandy soils, or soils in which the first six inches of water added after the soaking period seep away in less than 30 minutes, water level measurements shall be made at ten minute intervals for a one hour period. Use the last water level drop to calculate the percolation rate.</w:t>
      </w:r>
    </w:p>
    <w:p>
      <w:pPr>
        <w:spacing w:before="0" w:after="0"/>
        <w:ind w:left="120"/>
        <w:jc w:val="both"/>
      </w:pPr>
      <w:r>
        <w:rPr>
          <w:rFonts w:ascii="Times New Roman" w:hAnsi="Times New Roman"/>
          <w:b w:val="false"/>
          <w:i/>
          <w:color w:val="000000"/>
          <w:sz w:val="22"/>
        </w:rPr>
        <w:t>l.</w:t>
      </w:r>
      <w:r>
        <w:rPr>
          <w:rFonts w:ascii="Times New Roman" w:hAnsi="Times New Roman"/>
          <w:b w:val="false"/>
          <w:i w:val="false"/>
          <w:color w:val="000000"/>
          <w:sz w:val="22"/>
        </w:rPr>
        <w:t xml:space="preserve"> The percolation rate shall be calculated for each test hole by dividing the time interval between measurements by the magnitude of the last water level drop. This calculation results in a percolation rate in terms of minutes per inch.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determine the percolation rate for the area, average the rates obtained from each hole.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tests in the area vary by more than 20 minutes per inch, variations in soil type are indicated. Under these circumstances, percolation rates should not be averaged.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Example: If the last measured drop in water level after 30 minutes is ⅝ inch, the percolation rate = (30 minutes)/(⅝ inch) = 48 minutes/inch.</w:t>
      </w:r>
    </w:p>
    <w:p>
      <w:pPr>
        <w:spacing w:before="0" w:after="0"/>
        <w:ind w:left="120"/>
        <w:jc w:val="center"/>
      </w:pPr>
      <w:r>
        <w:br w:type="page"/>
      </w:r>
      <w:r>
        <w:rPr>
          <w:rFonts w:ascii="Times New Roman" w:hAnsi="Times New Roman"/>
          <w:b/>
          <w:i w:val="false"/>
          <w:color w:val="000000"/>
          <w:sz w:val="22"/>
        </w:rPr>
        <w:t>Appendix C - Mound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fill material.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mound shall be constructed using clean, medium-textured sand (a.k.a. concrete sand). The sand size shall be such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25 percent by weight shall have a diameter between 2.0 and 0.25 millimeter (mm);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Less than 35 percent by weight, a diameter between 0.25 and 0.05 mm;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5 percent by weight, a diameter between 0.05 and 0.002 mm.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Rock fragments larger than 1⁄16 inch (2.0 mm) shall not exceed 15 percent by weight of the material used for mound fill.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Mound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fill material and undisturbed naturally occurring soils between the bottom of the washed gravel and the highest elevation of the confining layer in accordance with </w:t>
      </w:r>
      <w:hyperlink r:id="rId68">
        <w:r>
          <w:rPr>
            <w:rStyle w:val="Hyperlink"/>
            <w:rFonts w:ascii="Times New Roman" w:hAnsi="Times New Roman"/>
            <w:b w:val="false"/>
            <w:i w:val="false"/>
            <w:color w:val="000000"/>
            <w:sz w:val="22"/>
          </w:rPr>
          <w:t>69.5(6)</w:t>
        </w:r>
      </w:hyperlink>
      <w:r>
        <w:rPr>
          <w:rFonts w:ascii="Times New Roman" w:hAnsi="Times New Roman"/>
          <w:b w:val="false"/>
          <w:i/>
          <w:color w:val="000000"/>
          <w:sz w:val="22"/>
        </w:rPr>
        <w:t>“a”</w:t>
      </w:r>
      <w:r>
        <w:rPr>
          <w:rFonts w:ascii="Times New Roman" w:hAnsi="Times New Roman"/>
          <w:b w:val="false"/>
          <w:i w:val="false"/>
          <w:color w:val="000000"/>
          <w:sz w:val="22"/>
        </w:rPr>
        <w:t xml:space="preserve">(3)“2.”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Gravel shall meet the requirements specified in </w:t>
      </w:r>
      <w:hyperlink r:id="rId69">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From one to two feet of medium-textured sand (depending upon the underlying soil depth, see </w:t>
      </w:r>
      <w:r>
        <w:rPr>
          <w:rFonts w:ascii="Times New Roman" w:hAnsi="Times New Roman"/>
          <w:b w:val="false"/>
          <w:i/>
          <w:color w:val="000000"/>
          <w:sz w:val="22"/>
        </w:rPr>
        <w:t>“a”</w:t>
      </w:r>
      <w:r>
        <w:rPr>
          <w:rFonts w:ascii="Times New Roman" w:hAnsi="Times New Roman"/>
          <w:b w:val="false"/>
          <w:i w:val="false"/>
          <w:color w:val="000000"/>
          <w:sz w:val="22"/>
        </w:rPr>
        <w:t xml:space="preserve"> above) must be placed between the bottom of the gravel and the top of the plowed surface of the naturally occurring soil.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Mound system absorption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mound.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 under or up to 50 feet downgradient of the mound may be removed or disturbed except as specified herein.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 to ¼-inch diameter wire 1½ inches long or more,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depth of eight inches, parallel to the land contour, with the plow throwing the soil up slope to provide a proper interface between the fill and the natural soil. Tree stumps should be cut flush with the surface of the ground, and roots should not be pulled.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base absorption area of the mound shall be calculated using the flow rate and the results of the percolation rate test or soil analysis as indicated in Table IIa or IIb of </w:t>
      </w:r>
      <w:hyperlink r:id="rId70">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The area of the sand fill material shall be sufficient to extend at least three feet beyond the edge of the gravel area before the sides are shaped to at least a 3:1 slope.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 for a mound system shall: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be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placed in the clean, washed gravel with holes downward. The gravel shall be a minimum of six inches in depth below the pipe and two inches in depth above the pipe.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Construction should be initiated immediately after preparation of the soil interface by placing all of the sand fill material needed for the mound (to the top of the trench) to a minimum depth of 21 inches above the plowed surface. This depth will permit excavation of the trenches to accommodate the six inches of washed gravel or crushed stone necessary for the distribution piping.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absorption trench or trenches shall be hand-excavated into the sand. Trench bottoms shall be level.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Six inches of gravel shall be placed in the trench and leveled. After the distribution pipe is placed, the pipe shall be covered with a minimum of two inches of gravel.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entire sand and gravel area shall be covered with synthetic drainage fabric or other material approved by the administrative authority.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entire mound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six inches of topsoil on the side slopes, with a minimum of 12 inches of topsoil over the center of the mound;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area surrounding the mound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mound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br w:type="page"/>
      </w:r>
      <w:r>
        <w:rPr>
          <w:rFonts w:ascii="Times New Roman" w:hAnsi="Times New Roman"/>
          <w:b/>
          <w:i w:val="false"/>
          <w:color w:val="000000"/>
          <w:sz w:val="22"/>
        </w:rPr>
        <w:t>Appendix D - At-Grade System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At-grade system construction details.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There shall be a minimum of three feet of undisturbed naturally occurring soils between the bottom of the gravel, chamber, or EPS aggregate in the at-grade system and the highest elevation of any confining layers.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An at-grade system may be installed up to 12 inches deep.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Gravel shall meet the requirements of </w:t>
      </w:r>
      <w:hyperlink r:id="rId71">
        <w:r>
          <w:rPr>
            <w:rStyle w:val="Hyperlink"/>
            <w:rFonts w:ascii="Times New Roman" w:hAnsi="Times New Roman"/>
            <w:b w:val="false"/>
            <w:i w:val="false"/>
            <w:color w:val="000000"/>
            <w:sz w:val="22"/>
          </w:rPr>
          <w:t>69.5(2)</w:t>
        </w:r>
      </w:hyperlink>
      <w:r>
        <w:rPr>
          <w:rFonts w:ascii="Times New Roman" w:hAnsi="Times New Roman"/>
          <w:b w:val="false"/>
          <w:i/>
          <w:color w:val="000000"/>
          <w:sz w:val="22"/>
        </w:rPr>
        <w:t>“a.”</w:t>
      </w:r>
      <w:r>
        <w:rPr>
          <w:rFonts w:ascii="Times New Roman" w:hAnsi="Times New Roman"/>
          <w:b w:val="false"/>
          <w:i w:val="false"/>
          <w:color w:val="000000"/>
          <w:sz w:val="22"/>
        </w:rPr>
        <w:t xml:space="preserve"> EPS aggregate or chambers are acceptable alternatives to gravel if the manufacturer’s specifications and installation procedures are followed and pressure pipe is used to adequately dose the entire bed.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At-grade system beds shall be installed with the long dimension parallel to the land contour. Systems on steep slopes with slowly permeable soils should be narrow to reduce the possibility of toe seepage.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Minimum spacing between distribution pipes shall be four feet, and a minimum of three feet shall be maintained between any trench and the sidewall of the at-grade.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No soils under or within 15 feet of any at-grade system may be disturbed. On sloping sites, no soils shall be disturbed within 10 feet uphill of the system and within 15 feet downhill of the system, plus an additional five feet for every 5 percent slope downhill.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Construction equipment that would cause undesirable compaction of the soil shall be kept off the base area. Construction or plowing shall not be initiated when the soil moisture content is high. If a sample of soil from approximately nine inches below the surface can be easily rolled into a ⅛-inch diameter wire 1½ inches long, the soil moisture content is too high for construction purposes.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Aboveground vegetation shall be closely cut and removed from the ground surface throughout the area to be utilized for the placement of the fill material. </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The area shall be plowed to a minimum depth of six to eight inches, parallel to the land contour, with the plow throwing the soil up slope to provide a proper interface between the fill and the natural soil. Chisel teeth on a backhoe bucket shall be at least as long as the depth of plowing. Tree stumps should be cut flush with the surface of the ground, and roots should not be pulled. All work shall be done from the uphill side of the at-grade system. </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absorption bed area of the at-grade system shall be calculated using the flow rate and the results of the percolation rate test or soil analysis, as indicated in Table IIa or IIb of </w:t>
      </w:r>
      <w:hyperlink r:id="rId72">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k.</w:t>
      </w:r>
      <w:r>
        <w:rPr>
          <w:rFonts w:ascii="Times New Roman" w:hAnsi="Times New Roman"/>
          <w:b w:val="false"/>
          <w:i w:val="false"/>
          <w:color w:val="000000"/>
          <w:sz w:val="22"/>
        </w:rPr>
        <w:t xml:space="preserve"> One foot of loamy cover material shall be installed over the bed. Cover shall extend at least five feet from the ends of the bed and be sloped to divert surface water. Side slopes shall not be steeper than 4:1. The upper six inches of the loamy soil cover must be topsoil borrow. Topsoil borrow must be of a quality that provides a good vegetative cover on the at-grade system.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Distribution system.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distribution pipe(s)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SCH 40 or 80 PVC pipe (SDR 26 or stronger), with a one-inch nominal diameter,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Provided with either a single row of ¼-inch perforations in a straight line 30 inches on center along the length of the pipe or an equivalent design that ensures uniform distribution. No perforations shall be permitted within three inches of the outer ends of any distribution pipe. All joints and connections shall be solvent-cemented.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 placed in the clean, washed gravel (or crushed limestone as described in </w:t>
      </w:r>
      <w:hyperlink r:id="rId73">
        <w:r>
          <w:rPr>
            <w:rStyle w:val="Hyperlink"/>
            <w:rFonts w:ascii="Times New Roman" w:hAnsi="Times New Roman"/>
            <w:b w:val="false"/>
            <w:i w:val="false"/>
            <w:color w:val="000000"/>
            <w:sz w:val="22"/>
          </w:rPr>
          <w:t>69.5(3)</w:t>
        </w:r>
      </w:hyperlink>
      <w:r>
        <w:rPr>
          <w:rFonts w:ascii="Times New Roman" w:hAnsi="Times New Roman"/>
          <w:b w:val="false"/>
          <w:i/>
          <w:color w:val="000000"/>
          <w:sz w:val="22"/>
        </w:rPr>
        <w:t>“a”</w:t>
      </w:r>
      <w:r>
        <w:rPr>
          <w:rFonts w:ascii="Times New Roman" w:hAnsi="Times New Roman"/>
          <w:b w:val="false"/>
          <w:i w:val="false"/>
          <w:color w:val="000000"/>
          <w:sz w:val="22"/>
        </w:rPr>
        <w:t>(3)), with holes downward. The gravel shall be a minimum of six inches in depth below the pipe and two inches in depth above the pipe.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Installed in the center of the gravel bed on slopes less than one percent and on the upslope edge at the gravel bed absorption width on slopes one percent or greater.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outer ends of all pressure distribution lines shall be turned up, with either a long 90-degree elbow or two 45-degree elbows, to allow for cleaning. The outer ends shall have a screw-on cap and cover that shall be accessible from the ground surface without excavation.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central pressure manifold should consist of 1½- or 2-inch solid plastic pipe and should use either a tee for connecting the distribution lines or an equivalent design that ensures uniform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top of the gravel, chambers, or EPS aggregate shall be covered with synthetic drainage fabric or other material approved by the manufacturer or administrative authority.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After installation of the distribution system, the system shall be pressure-tested before it is covered with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entire at-grade system shall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Covered with topsoil native to the site or of similar characteristics to support vegetation found in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Crowned by providing a minimum of 6 inches of topsoil on the side slopes, with a minimum of 12 inches of topsoil over the center of the at-grade system;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Seeded, sodded, or otherwise provided with a grass cover to ensure stability of the installation.</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The area surrounding the at-grade system shall be graded to provide for diversion of surface runoff water.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Dosing.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Pump dosing shall be required for at-grade systems.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dosing volume shall be three to ten times the distribution piping network volume, but not more than 25 percent of the design flow shall be applied to the soil in one dose.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The dosing pump shall be capable of maintaining a squirt height of three feet above the pipe at the outer ends of the distribution lines. All lines shall have an equal squirt height above the pipe to maintain equal distribution. </w:t>
      </w:r>
    </w:p>
    <w:p>
      <w:pPr>
        <w:spacing w:before="0" w:after="0"/>
        <w:ind w:left="120"/>
        <w:jc w:val="center"/>
      </w:pPr>
      <w:r>
        <w:br w:type="page"/>
      </w:r>
      <w:r>
        <w:rPr>
          <w:rFonts w:ascii="Times New Roman" w:hAnsi="Times New Roman"/>
          <w:b/>
          <w:i w:val="false"/>
          <w:color w:val="000000"/>
          <w:sz w:val="22"/>
        </w:rPr>
        <w:t xml:space="preserve">Appendix E - Soil Absorption Bed System Construction Design Standards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 absorption bed system construction details.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soil absorption bed system may only be used when site restrictions limit the use of a conventional system.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Soil absorption bed system placement shall be limited to areas having natural slopes of less than six percent. Absorption areas for seepage beds and trenches shall not be placed in soils with a percolation rate exceeding 30 minutes per inch or a loading rate of less than 0.40 gpd/ft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Soil absorption bed systems shall not be wider than 12 feet if gravity distribution is used and 25 feet if pressure distribution is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Natural, undisturbed soil must exist between multiple soil absorption beds. Multiple soil absorption beds shall be spaced at one-half the bed width.</w:t>
      </w:r>
    </w:p>
    <w:p>
      <w:pPr>
        <w:spacing w:before="0" w:after="0"/>
        <w:ind w:left="120"/>
        <w:jc w:val="both"/>
      </w:pPr>
      <w:r>
        <w:rPr>
          <w:rFonts w:ascii="Times New Roman" w:hAnsi="Times New Roman"/>
          <w:b/>
          <w:i w:val="false"/>
          <w:color w:val="000000"/>
          <w:sz w:val="22"/>
        </w:rPr>
        <w:t>Distribution.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gravity distribution is used in a soil absorption bed system, the bed absorption area shall be calculated by dividing the design flow by the soil loading rate in </w:t>
      </w:r>
      <w:hyperlink r:id="rId74">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 multiplied by 1.5.</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Distribution piping for gravity distribution in a soil absorption bed system shall be uniformly spaced no more than five feet apart and not more than 30 inches from the side walls of the seepage bed.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pressure distribution is used in seepage beds, the seepage bed absorption area shall be determined by dividing the design flow by the soil loading rate in </w:t>
      </w:r>
      <w:hyperlink r:id="rId75">
        <w:r>
          <w:rPr>
            <w:rStyle w:val="Hyperlink"/>
            <w:rFonts w:ascii="Times New Roman" w:hAnsi="Times New Roman"/>
            <w:b w:val="false"/>
            <w:i w:val="false"/>
            <w:color w:val="000000"/>
            <w:sz w:val="22"/>
          </w:rPr>
          <w:t>69.5(1)</w:t>
        </w:r>
      </w:hyperlink>
      <w:r>
        <w:rPr>
          <w:rFonts w:ascii="Times New Roman" w:hAnsi="Times New Roman"/>
          <w:b w:val="false"/>
          <w:i/>
          <w:color w:val="000000"/>
          <w:sz w:val="22"/>
        </w:rPr>
        <w:t>“g”</w:t>
      </w:r>
      <w:r>
        <w:rPr>
          <w:rFonts w:ascii="Times New Roman" w:hAnsi="Times New Roman"/>
          <w:b w:val="false"/>
          <w:i w:val="false"/>
          <w:color w:val="000000"/>
          <w:sz w:val="22"/>
        </w:rPr>
        <w:t>(1) Tables IIa and IIb.</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Pressure distribution shall be used in soil absorption bed systems when the distribution media is in contact with any soil textures classified as sand or loamy sand or when the system is placed in soils with a percolation rate of 0.1 to 5 minutes per inch.</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Pressure distribution piping in soil absorption bed systems must be spaced no further than 36 inches apart and no further than 24 inches from the outside edge of the bed.</w:t>
      </w:r>
    </w:p>
    <w:p>
      <w:pPr>
        <w:spacing w:before="0" w:after="0"/>
        <w:ind w:left="120"/>
        <w:jc w:val="center"/>
      </w:pPr>
      <w:r>
        <w:br w:type="page"/>
      </w:r>
      <w:r>
        <w:rPr>
          <w:rFonts w:ascii="Times New Roman" w:hAnsi="Times New Roman"/>
          <w:b/>
          <w:i w:val="false"/>
          <w:color w:val="000000"/>
          <w:sz w:val="22"/>
        </w:rPr>
        <w:t>Appendix F - Intermittent Subsurface Sand Filter (ISSF) Construction Design Standards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ISSF filter sizing. </w:t>
      </w:r>
    </w:p>
    <w:p>
      <w:pPr>
        <w:spacing w:before="0" w:after="0"/>
        <w:ind w:left="120"/>
        <w:jc w:val="both"/>
      </w:pPr>
      <w:r>
        <w:rPr>
          <w:rFonts w:ascii="Times New Roman" w:hAnsi="Times New Roman"/>
          <w:b w:val="false"/>
          <w:i/>
          <w:color w:val="000000"/>
          <w:sz w:val="22"/>
        </w:rPr>
        <w:t>a. Residential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Gravity flow. Residential ISSFs shall be sized at a rate of 240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Siphon- or non-pressure dosed. Residential ISSFs dosed by a dosing siphon or other non-pressure dosed system shall be sized at a rate of 180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Pressure-dosed. Residential ISSFs dosed by a pump shall be sized at a rate of 150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surface area per bedroom.</w:t>
      </w:r>
    </w:p>
    <w:p>
      <w:pPr>
        <w:spacing w:before="0" w:after="0"/>
        <w:ind w:left="120"/>
        <w:jc w:val="both"/>
      </w:pPr>
      <w:r>
        <w:rPr>
          <w:rFonts w:ascii="Times New Roman" w:hAnsi="Times New Roman"/>
          <w:b w:val="false"/>
          <w:i/>
          <w:color w:val="000000"/>
          <w:sz w:val="22"/>
        </w:rPr>
        <w:t>b. Non-residential.</w:t>
      </w:r>
      <w:r>
        <w:rPr>
          <w:rFonts w:ascii="Times New Roman" w:hAnsi="Times New Roman"/>
          <w:b w:val="false"/>
          <w:i w:val="false"/>
          <w:color w:val="000000"/>
          <w:sz w:val="22"/>
        </w:rPr>
        <w:t xml:space="preserve"> Effluent application rates for commercial ISSFs treating domestic waste shall not exceed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 gal/ft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surface area for any non-residential ISSF shall not be less than 200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c. Dosing.</w:t>
      </w:r>
      <w:r>
        <w:rPr>
          <w:rFonts w:ascii="Times New Roman" w:hAnsi="Times New Roman"/>
          <w:b w:val="false"/>
          <w:i w:val="false"/>
          <w:color w:val="000000"/>
          <w:sz w:val="22"/>
        </w:rPr>
        <w:t xml:space="preserve"> The dosing system shall be designed to cover the entire filter bed during the dosing cycle. A dosing frequency of greater than twice per day is recommended.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Collection pipelines.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Each ISSF shall contain a horizontal set of collector lines. </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collector lines shall be either equivalent to SDR 35 PVC pipe (or stronger), 10-inch diameter gravelless drainage technology, EPS aggregate, chamber, or other suitable materials approved by the administrative authority.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One collector line shall be provided for each six feet of width or fraction thereof. A minimum of two collector lines shall be provided.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Collector lines shall be laid to a grade of one inch in ten feet (or 0.5 percent to 1.0 percent).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Each collector line shall be vented or connected to a common vent. Vents shall either extend at least 12 inches above the ground surface with the outlet either screened, provided with a 180-degree elbow, or provided with a perforated cap.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Gravelless drainage technology with a synthetic mesh wrap may be used for the collector lines. If a synthetic mesh wrap is used, no gravel or pea gravel is required to cover the collector lines and the pipe shall be bedded in filter sand.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EPS aggregate may be used for the collection system as an alternative to gravel and rigid PVC pipe. If used, EPS aggregate shall meet requirements equivalent to </w:t>
      </w:r>
      <w:hyperlink r:id="rId76">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xml:space="preserve">, follow the manufacturer’s specifications and installation procedures, and cover the bottom of the sand filter. A six-foot separation between collection pipes shall be maintained. Fabric filter meeting the requirements of </w:t>
      </w:r>
      <w:r>
        <w:rPr>
          <w:rFonts w:ascii="Times New Roman" w:hAnsi="Times New Roman"/>
          <w:b w:val="false"/>
          <w:i/>
          <w:color w:val="000000"/>
          <w:sz w:val="22"/>
        </w:rPr>
        <w:t>“h”</w:t>
      </w:r>
      <w:r>
        <w:rPr>
          <w:rFonts w:ascii="Times New Roman" w:hAnsi="Times New Roman"/>
          <w:b w:val="false"/>
          <w:i w:val="false"/>
          <w:color w:val="000000"/>
          <w:sz w:val="22"/>
        </w:rPr>
        <w:t xml:space="preserve">(2) below shall be used instead of washed pea gravel.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If four-inch plastic pipe with perforations is used for the collector lines, the lines shall be covered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Gravel ¾ inch to 2½ inches in size shall be placed around and over the lower collector lines until there is a minimum of 4 inches of gravel over the pipes;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gravel shall be overlaid with a minimum of three inches of washed pea gravel, ⅛-inch to ⅜-inch in size, interfacing with the filter media. A layer of fabric filter may be used in place of the pea gravel. If used, fabric filters must either be 30 by 50 mesh with a percolation rate of at least five gallons/ft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/minute, or a material that allows for adequate air and water movement into the collector lines, per manufacturer specifications and as approved by the administrative authority.</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A minimum of 24 inches of coarse washed sand shall be placed over the pea gravel or above the gravelless drainfield pipe. The sand shall meet the Iowa DOT standards for concrete sand,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100 percent of the sand shall pass a 9.5 mm screen,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90 to 100 percent shall pass a 4.75 mm screen,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70 to 100 percent shall pass a 2.36 mm screen,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10 to 60 percent shall pass a 600 Tm screen, and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0 to 1.5 percent shall pass a 75 Tm screen.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The discharge pipe that extends from the collection system shall be solid SDR 35 PVC pipe (or stronger) at a minimum.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 Distribution system and cover.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Six inches of gravel ¾ inch to 2½ inches in size or other material as discussed in this section shall be placed upon the sand in the ISSF. </w:t>
      </w:r>
    </w:p>
    <w:p>
      <w:pPr>
        <w:spacing w:before="0" w:after="0"/>
        <w:ind w:left="120"/>
        <w:jc w:val="both"/>
      </w:pPr>
      <w:r>
        <w:rPr>
          <w:rFonts w:ascii="Times New Roman" w:hAnsi="Times New Roman"/>
          <w:b w:val="false"/>
          <w:i/>
          <w:color w:val="000000"/>
          <w:sz w:val="22"/>
        </w:rPr>
        <w:t xml:space="preserve">b. </w:t>
      </w:r>
      <w:r>
        <w:rPr>
          <w:rFonts w:ascii="Times New Roman" w:hAnsi="Times New Roman"/>
          <w:b w:val="false"/>
          <w:i w:val="false"/>
          <w:color w:val="000000"/>
          <w:sz w:val="22"/>
        </w:rPr>
        <w:t xml:space="preserve">Distribution lines shall be level and horizontally spaced a maximum of three feet apart, center to center. Distribution lines shall be rigid, perforated PVC pipe if used with a gravel base. Pipe should meet requirements equivalent to </w:t>
      </w:r>
      <w:hyperlink r:id="rId77">
        <w:r>
          <w:rPr>
            <w:rStyle w:val="Hyperlink"/>
            <w:rFonts w:ascii="Times New Roman" w:hAnsi="Times New Roman"/>
            <w:b w:val="false"/>
            <w:i w:val="false"/>
            <w:color w:val="000000"/>
            <w:sz w:val="22"/>
          </w:rPr>
          <w:t>69.5(2)</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r>
        <w:rPr>
          <w:rFonts w:ascii="Times New Roman" w:hAnsi="Times New Roman"/>
          <w:b w:val="false"/>
          <w:i/>
          <w:color w:val="000000"/>
          <w:sz w:val="22"/>
        </w:rPr>
        <w:t>“d”</w:t>
      </w:r>
      <w:r>
        <w:rPr>
          <w:rFonts w:ascii="Times New Roman" w:hAnsi="Times New Roman"/>
          <w:b w:val="false"/>
          <w:i w:val="false"/>
          <w:color w:val="000000"/>
          <w:sz w:val="22"/>
        </w:rPr>
        <w:t>(3), or an equivalent design that ensures proper distribution.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For ISSFs using gravity distribution, venting shall be placed on the downstream end of the distribution lines, with each distribution line being vented or connected to a common vent. Vents shall either extend at least 12 inches above the ground surface with the outlet screened, have a 180-degree elbow, or be provided with a perforated cap. A vent shall not be used on distribution lines for systems using pressure distribution.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Enough gravel shall be placed to cover the distributors. </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Synthetic drainage fabric or other material approved by the manufacturer or administrative authority shall be placed upon the top of the upper layer of gravel. </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A minimum of 12 inches of soil backfill shall be provided over the rock or other material as discussed in this section.  </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A distribution box shall be provided for each filter bed where gravity distribution is used. The distribution boxes shall be placed upon undisturbed earth outside the filter bed. Separate watertight lines shall be provided leading from the distribution boxes to each of the distributor lines in the beds.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EPS aggregate or chamber may be used for the distribution system as an alternative to gravel and rigid, perforated PVC pipe. If used, EPS aggregate or chamber shall meet requirements equivalent to </w:t>
      </w:r>
      <w:hyperlink r:id="rId78">
        <w:r>
          <w:rPr>
            <w:rStyle w:val="Hyperlink"/>
            <w:rFonts w:ascii="Times New Roman" w:hAnsi="Times New Roman"/>
            <w:b w:val="false"/>
            <w:i w:val="false"/>
            <w:color w:val="000000"/>
            <w:sz w:val="22"/>
          </w:rPr>
          <w:t>69.5(5)</w:t>
        </w:r>
      </w:hyperlink>
      <w:r>
        <w:rPr>
          <w:rFonts w:ascii="Times New Roman" w:hAnsi="Times New Roman"/>
          <w:b w:val="false"/>
          <w:i w:val="false"/>
          <w:color w:val="000000"/>
          <w:sz w:val="22"/>
        </w:rPr>
        <w:t>, follow the manufacturer’s specifications and installation procedures, and cover the top of the sand filter. A three-foot separation between distribution pipes shall be maintained. If chamber is used, the system must be dosed.</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Pressure dosing is recommended to improve effluent distribution across the surface of the filter. Pressure distribution systems may use either conventional rock and PVC pipe, chambers with small-diameter pipe, or EPS aggregate with small-diameter pipe. Distribution lines shall be level and shall be horizontally spaced a maximum of three feet apart, center to center.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distribution pipe for a pressure-dosed system shall either be SCH 40 or 80 PVC pipe (SDR 26 or stronger) with a one-inch nominal diameter, have either a single row of ¼-inch perforations in a straight line 30 inches on center along the length of the pipe, or an equivalent design that ensures proper distribution.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distribution pipe for a siphon-dosed or other manufactured non-pump pressured device shall be either SCH 40 or 80 PVC pipe (SDR 26 or stronger), with a 1½-inch nominal diameter, holes ¼ to 5/16 inches in size spaced every three feet, or an equivalent design that ensures proper distribution.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recommended that the outer ends of all pressure type distribution lines be turned up with either a long 90-degree elbow or two 45-degree elbows to allow for maintenance. The outer ends should have a screw-on cap and cover and should be accessible from the ground surface.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Holes in the distribution pipe shall be configured to evenly distribute the effluent.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10/31/86, Notice 5/21/86—published 11/19/86, effective 12/24/86]</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11/19/03, Notice 6/11/03—published 12/10/03, effective 1/14/04]</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7569B</w:t>
      </w:r>
      <w:r>
        <w:rPr>
          <w:rFonts w:ascii="Times New Roman" w:hAnsi="Times New Roman"/>
          <w:b w:val="false"/>
          <w:i w:val="false"/>
          <w:color w:val="000000"/>
          <w:sz w:val="21"/>
        </w:rPr>
        <w:t xml:space="preserve"> (Notice ARC 7308B,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9467C</w:t>
      </w:r>
      <w:r>
        <w:rPr>
          <w:rFonts w:ascii="Times New Roman" w:hAnsi="Times New Roman"/>
          <w:b w:val="false"/>
          <w:i w:val="false"/>
          <w:color w:val="000000"/>
          <w:sz w:val="21"/>
        </w:rPr>
        <w:t xml:space="preserve"> (Notice ARC 8650C, IAB 1/8/25)</w:t>
      </w:r>
      <w:r>
        <w:rPr>
          <w:rFonts w:ascii="Times New Roman" w:hAnsi="Times New Roman"/>
          <w:b w:val="false"/>
          <w:i w:val="false"/>
          <w:color w:val="000000"/>
          <w:sz w:val="21"/>
        </w:rPr>
        <w:t>, IAB 8/6/25, effective 9/10/25]</w:t>
      </w:r>
      <w:r>
        <w:rPr>
          <w:rFonts w:ascii="Times New Roman" w:hAnsi="Times New Roman"/>
          <w:b w:val="false"/>
          <w:i w:val="false"/>
          <w:color w:val="000000"/>
          <w:sz w:val="11"/>
          <w:vertAlign w:val="superscript"/>
        </w:rPr>
        <w:t>1</w:t>
      </w:r>
    </w:p>
    <w:p>
      <w:pPr>
        <w:spacing w:before="0" w:after="0"/>
        <w:ind w:left="120"/>
        <w:jc w:val="center"/>
      </w:pPr>
      <w:r>
        <w:rPr>
          <w:rFonts w:ascii="Times New Roman" w:hAnsi="Times New Roman"/>
          <w:b w:val="false"/>
          <w:i w:val="false"/>
          <w:color w:val="000000"/>
          <w:sz w:val="21"/>
        </w:rPr>
        <w:t>[Editorial change: IAC Supplement 5/13/26]</w:t>
      </w:r>
    </w:p>
    <w:p>
      <w:pPr>
        <w:spacing w:before="0" w:after="0"/>
        <w:ind w:left="120"/>
        <w:jc w:val="center"/>
      </w:pPr>
      <w:r>
        <w:rPr>
          <w:rFonts w:ascii="Times New Roman" w:hAnsi="Times New Roman"/>
          <w:b w:val="false"/>
          <w:i w:val="false"/>
          <w:color w:val="000000"/>
          <w:sz w:val="21"/>
        </w:rPr>
        <w:t>[Editorial change: IAC Supplement 7/8/26]</w:t>
      </w:r>
    </w:p>
    <w:p>
      <w:pPr>
        <w:pBdr>
          <w:bottom w:space="2"/>
        </w:pBdr>
        <w:spacing w:before="0" w:after="0"/>
        <w:ind w:left="120"/>
        <w:jc w:val="both"/>
      </w:pPr>
      <w:r>
        <w:rPr>
          <w:rFonts w:ascii="Times New Roman" w:hAnsi="Times New Roman"/>
          <w:b w:val="false"/>
          <w:i w:val="false"/>
          <w:color w:val="000000"/>
          <w:sz w:val="22"/>
        </w:rPr>
        <w:t>September 10, 2025, effective date of ch 69 [</w:t>
      </w:r>
      <w:r>
        <w:rPr>
          <w:rFonts w:ascii="Times New Roman" w:hAnsi="Times New Roman"/>
          <w:b/>
          <w:i w:val="false"/>
          <w:color w:val="000000"/>
          <w:sz w:val="22"/>
        </w:rPr>
        <w:t>ARC 9467C</w:t>
      </w:r>
      <w:r>
        <w:rPr>
          <w:rFonts w:ascii="Times New Roman" w:hAnsi="Times New Roman"/>
          <w:b w:val="false"/>
          <w:i w:val="false"/>
          <w:color w:val="000000"/>
          <w:sz w:val="22"/>
        </w:rPr>
        <w:t>] delayed until the adjournment of the 2026 Legislative Session of the General Assembly by the Administrative Rules Review Committee at its meeting held September 8, 2025. Effective date delayed for an additional 70 days after the adjournment of the 2026 Legislative Session of the General Assembly by the Administrative Rules Review Committee at its meeting held April 13, 2026.</w:t>
      </w:r>
    </w:p>
    <w:sectPr>
      <w:footerReference r:id="rId7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0.pdf" Type="http://schemas.openxmlformats.org/officeDocument/2006/relationships/hyperlink" Id="rId5"/>
    <Relationship TargetMode="External" Target="https://www.legis.iowa.gov/docs/ico/chapter/455B.172.pdf" Type="http://schemas.openxmlformats.org/officeDocument/2006/relationships/hyperlink" Id="rId6"/>
    <Relationship TargetMode="External" Target="https://www.legis.iowa.gov/docs/ico/chapter/137.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www.nsf.org" Type="http://schemas.openxmlformats.org/officeDocument/2006/relationships/hyperlink" Id="rId9"/>
    <Relationship TargetMode="External" Target="https://www.legis.iowa.gov/docs/iac/rule/567.61.3.pdf" Type="http://schemas.openxmlformats.org/officeDocument/2006/relationships/hyperlink" Id="rId10"/>
    <Relationship TargetMode="External" Target="https://www.legis.iowa.gov/docs/iac/rule/567.69.1.pdf" Type="http://schemas.openxmlformats.org/officeDocument/2006/relationships/hyperlink" Id="rId11"/>
    <Relationship TargetMode="External" Target="https://www.legis.iowa.gov/docs/iac/rule/567.69.1.pdf" Type="http://schemas.openxmlformats.org/officeDocument/2006/relationships/hyperlink" Id="rId12"/>
    <Relationship TargetMode="External" Target="https://www.legis.iowa.gov/docs/ico/chapter/455B.183.pdf" Type="http://schemas.openxmlformats.org/officeDocument/2006/relationships/hyperlink" Id="rId13"/>
    <Relationship TargetMode="External" Target="https://www.legis.iowa.gov/docs/ico/chapter/455B.186.pdf" Type="http://schemas.openxmlformats.org/officeDocument/2006/relationships/hyperlink" Id="rId14"/>
    <Relationship TargetMode="External" Target="https://www.legis.iowa.gov/docs/iac/rule/567.60.2.pdf" Type="http://schemas.openxmlformats.org/officeDocument/2006/relationships/hyperlink" Id="rId15"/>
    <Relationship TargetMode="External" Target="https://www.legis.iowa.gov/docs/iac/chapter/567.60.pdf" Type="http://schemas.openxmlformats.org/officeDocument/2006/relationships/hyperlink" Id="rId16"/>
    <Relationship TargetMode="External" Target="https://www.legis.iowa.gov/docs/iac/rule/567.61.2.pdf" Type="http://schemas.openxmlformats.org/officeDocument/2006/relationships/hyperlink" Id="rId17"/>
    <Relationship TargetMode="External" Target="https://www.legis.iowa.gov/docs/iac/rule/567.60.2.pdf" Type="http://schemas.openxmlformats.org/officeDocument/2006/relationships/hyperlink" Id="rId18"/>
    <Relationship TargetMode="External" Target="https://www.legis.iowa.gov/docs/iac/rule/567.60.2.pdf" Type="http://schemas.openxmlformats.org/officeDocument/2006/relationships/hyperlink" Id="rId19"/>
    <Relationship TargetMode="External" Target="https://www.legis.iowa.gov/docs/iac/rule/567.69.3.pdf" Type="http://schemas.openxmlformats.org/officeDocument/2006/relationships/hyperlink" Id="rId20"/>
    <Relationship TargetMode="External" Target="https://www.legis.iowa.gov/docs/iac/rule/567.69.3.pdf" Type="http://schemas.openxmlformats.org/officeDocument/2006/relationships/hyperlink" Id="rId21"/>
    <Relationship TargetMode="External" Target="http://www.nsf.org" Type="http://schemas.openxmlformats.org/officeDocument/2006/relationships/hyperlink" Id="rId22"/>
    <Relationship TargetMode="External" Target="http://www.iapmo.org/publications/read-uniform-codes-online" Type="http://schemas.openxmlformats.org/officeDocument/2006/relationships/hyperlink" Id="rId23"/>
    <Relationship TargetMode="External" Target="https://www.legis.iowa.gov/docs/iac/rule/567.69.3.pdf" Type="http://schemas.openxmlformats.org/officeDocument/2006/relationships/hyperlink" Id="rId24"/>
    <Relationship TargetMode="External" Target="https://www.legis.iowa.gov/docs/iac/rule/567.69.6.pdf" Type="http://schemas.openxmlformats.org/officeDocument/2006/relationships/hyperlink" Id="rId25"/>
    <Relationship TargetMode="External" Target="https://www.legis.iowa.gov/docs/iac/rule/567.60.2.pdf" Type="http://schemas.openxmlformats.org/officeDocument/2006/relationships/hyperlink" Id="rId26"/>
    <Relationship TargetMode="External" Target="http://store.transportation.org" Type="http://schemas.openxmlformats.org/officeDocument/2006/relationships/hyperlink" Id="rId27"/>
    <Relationship TargetMode="External" Target="http://erl.iowadot.gov" Type="http://schemas.openxmlformats.org/officeDocument/2006/relationships/hyperlink" Id="rId28"/>
    <Relationship TargetMode="External" Target="http://erl.iowadot.gov" Type="http://schemas.openxmlformats.org/officeDocument/2006/relationships/hyperlink" Id="rId29"/>
    <Relationship TargetMode="External" Target="https://www.legis.iowa.gov/docs/iac/rule/567.60.2.pdf" Type="http://schemas.openxmlformats.org/officeDocument/2006/relationships/hyperlink" Id="rId30"/>
    <Relationship TargetMode="External" Target="https://www.legis.iowa.gov/docs/iac/rule/567.60.2.pdf" Type="http://schemas.openxmlformats.org/officeDocument/2006/relationships/hyperlink" Id="rId31"/>
    <Relationship TargetMode="External" Target="https://www.legis.iowa.gov/docs/iac/rule/567.60.2.pdf" Type="http://schemas.openxmlformats.org/officeDocument/2006/relationships/hyperlink" Id="rId32"/>
    <Relationship TargetMode="External" Target="https://www.legis.iowa.gov/docs/iac/rule/567.60.2.pdf" Type="http://schemas.openxmlformats.org/officeDocument/2006/relationships/hyperlink" Id="rId33"/>
    <Relationship TargetMode="External" Target="https://www.legis.iowa.gov/docs/iac/chapter/567.68.pdf" Type="http://schemas.openxmlformats.org/officeDocument/2006/relationships/hyperlink" Id="rId34"/>
    <Relationship TargetMode="External" Target="https://www.legis.iowa.gov/docs/iac/rule/567.60.2.pdf" Type="http://schemas.openxmlformats.org/officeDocument/2006/relationships/hyperlink" Id="rId35"/>
    <Relationship TargetMode="External" Target="https://www.legis.iowa.gov/docs/iac/rule/567.69.3.pdf" Type="http://schemas.openxmlformats.org/officeDocument/2006/relationships/hyperlink" Id="rId36"/>
    <Relationship TargetMode="External" Target="https://www.legis.iowa.gov/docs/iac/rule/567.69.5.pdf" Type="http://schemas.openxmlformats.org/officeDocument/2006/relationships/hyperlink" Id="rId37"/>
    <Relationship TargetMode="External" Target="https://www.legis.iowa.gov/docs/ico/chapter/455B.172.pdf" Type="http://schemas.openxmlformats.org/officeDocument/2006/relationships/hyperlink" Id="rId38"/>
    <Relationship TargetMode="External" Target="https://www.legis.iowa.gov/docs/iac/rule/567.69.1.pdf" Type="http://schemas.openxmlformats.org/officeDocument/2006/relationships/hyperlink" Id="rId39"/>
    <Relationship TargetMode="External" Target="https://www.legis.iowa.gov/docs/ico/chapter/455B.172.pdf" Type="http://schemas.openxmlformats.org/officeDocument/2006/relationships/hyperlink" Id="rId40"/>
    <Relationship TargetMode="External" Target="http://www.iowadnr.gov" Type="http://schemas.openxmlformats.org/officeDocument/2006/relationships/hyperlink" Id="rId41"/>
    <Relationship TargetMode="External" Target="https://www.legis.iowa.gov/docs/ico/chapter/455B.172.pdf" Type="http://schemas.openxmlformats.org/officeDocument/2006/relationships/hyperlink" Id="rId42"/>
    <Relationship TargetMode="External" Target="https://www.legis.iowa.gov/docs/ico/chapter/455B.172.pdf" Type="http://schemas.openxmlformats.org/officeDocument/2006/relationships/hyperlink" Id="rId43"/>
    <Relationship TargetMode="External" Target="https://www.legis.iowa.gov/docs/ico/chapter/455B.172.pdf" Type="http://schemas.openxmlformats.org/officeDocument/2006/relationships/hyperlink" Id="rId44"/>
    <Relationship TargetMode="External" Target="http://www.iowadnr.gov" Type="http://schemas.openxmlformats.org/officeDocument/2006/relationships/hyperlink" Id="rId45"/>
    <Relationship TargetMode="External" Target="http://www.iowadnr.gov" Type="http://schemas.openxmlformats.org/officeDocument/2006/relationships/hyperlink" Id="rId46"/>
    <Relationship TargetMode="External" Target="http://www.iowadnr.gov" Type="http://schemas.openxmlformats.org/officeDocument/2006/relationships/hyperlink" Id="rId47"/>
    <Relationship TargetMode="External" Target="https://www.legis.iowa.gov/docs/iac/rule/567.69.7.pdf" Type="http://schemas.openxmlformats.org/officeDocument/2006/relationships/hyperlink" Id="rId48"/>
    <Relationship TargetMode="External" Target="https://www.legis.iowa.gov/docs/iac/rule/567.69.7.pdf" Type="http://schemas.openxmlformats.org/officeDocument/2006/relationships/hyperlink" Id="rId49"/>
    <Relationship TargetMode="External" Target="https://www.legis.iowa.gov/docs/iac/rule/567.69.7.pdf" Type="http://schemas.openxmlformats.org/officeDocument/2006/relationships/hyperlink" Id="rId50"/>
    <Relationship TargetMode="External" Target="http://www.iowadnr.gov" Type="http://schemas.openxmlformats.org/officeDocument/2006/relationships/hyperlink" Id="rId51"/>
    <Relationship TargetMode="External" Target="http://www.iowadnr.gov" Type="http://schemas.openxmlformats.org/officeDocument/2006/relationships/hyperlink" Id="rId52"/>
    <Relationship TargetMode="External" Target="https://www.legis.iowa.gov/docs/ico/chapter/455B.219.pdf" Type="http://schemas.openxmlformats.org/officeDocument/2006/relationships/hyperlink" Id="rId53"/>
    <Relationship TargetMode="External" Target="https://www.legis.iowa.gov/docs/iac/rule/567.69.7.pdf" Type="http://schemas.openxmlformats.org/officeDocument/2006/relationships/hyperlink" Id="rId54"/>
    <Relationship TargetMode="External" Target="https://www.legis.iowa.gov/docs/iac/chapter/567.7.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ac/rule/567.69.7.pdf" Type="http://schemas.openxmlformats.org/officeDocument/2006/relationships/hyperlink" Id="rId57"/>
    <Relationship TargetMode="External" Target="https://www.legis.iowa.gov/docs/iac/rule/567.69.7.pdf" Type="http://schemas.openxmlformats.org/officeDocument/2006/relationships/hyperlink" Id="rId58"/>
    <Relationship TargetMode="External" Target="https://www.legis.iowa.gov/docs/ico/chapter/252J.7.pdf" Type="http://schemas.openxmlformats.org/officeDocument/2006/relationships/hyperlink" Id="rId59"/>
    <Relationship TargetMode="External" Target="https://www.legis.iowa.gov/docs/ico/chapter/252J.8.pdf" Type="http://schemas.openxmlformats.org/officeDocument/2006/relationships/hyperlink" Id="rId60"/>
    <Relationship TargetMode="External" Target="https://www.legis.iowa.gov/docs/ico/chapter/252J.8.pdf" Type="http://schemas.openxmlformats.org/officeDocument/2006/relationships/hyperlink" Id="rId61"/>
    <Relationship TargetMode="External" Target="https://www.legis.iowa.gov/docs/ico/chapter/252J.8.pdf" Type="http://schemas.openxmlformats.org/officeDocument/2006/relationships/hyperlink" Id="rId62"/>
    <Relationship TargetMode="External" Target="https://www.legis.iowa.gov/docs/ico/chapter/252J.9.pdf" Type="http://schemas.openxmlformats.org/officeDocument/2006/relationships/hyperlink" Id="rId63"/>
    <Relationship TargetMode="External" Target="https://www.legis.iowa.gov/docs/iac/chapter/561.10.pdf" Type="http://schemas.openxmlformats.org/officeDocument/2006/relationships/hyperlink" Id="rId64"/>
    <Relationship TargetMode="External" Target="https://www.legis.iowa.gov/docs/ico/chapter/455B.pdf" Type="http://schemas.openxmlformats.org/officeDocument/2006/relationships/hyperlink" Id="rId65"/>
    <Relationship TargetMode="External" Target="https://www.legis.iowa.gov/docs/ico/chapter/252J.pdf" Type="http://schemas.openxmlformats.org/officeDocument/2006/relationships/hyperlink" Id="rId66"/>
    <Relationship TargetMode="External" Target="https://www.legis.iowa.gov/docs/iac/rule/567.69.5.pdf" Type="http://schemas.openxmlformats.org/officeDocument/2006/relationships/hyperlink" Id="rId67"/>
    <Relationship TargetMode="External" Target="https://www.legis.iowa.gov/docs/iac/rule/567.69.5.pdf" Type="http://schemas.openxmlformats.org/officeDocument/2006/relationships/hyperlink" Id="rId68"/>
    <Relationship TargetMode="External" Target="https://www.legis.iowa.gov/docs/iac/rule/567.69.5.pdf" Type="http://schemas.openxmlformats.org/officeDocument/2006/relationships/hyperlink" Id="rId69"/>
    <Relationship TargetMode="External" Target="https://www.legis.iowa.gov/docs/iac/rule/567.69.5.pdf" Type="http://schemas.openxmlformats.org/officeDocument/2006/relationships/hyperlink" Id="rId70"/>
    <Relationship TargetMode="External" Target="https://www.legis.iowa.gov/docs/iac/rule/567.69.5.pdf" Type="http://schemas.openxmlformats.org/officeDocument/2006/relationships/hyperlink" Id="rId71"/>
    <Relationship TargetMode="External" Target="https://www.legis.iowa.gov/docs/iac/rule/567.69.5.pdf" Type="http://schemas.openxmlformats.org/officeDocument/2006/relationships/hyperlink" Id="rId72"/>
    <Relationship TargetMode="External" Target="https://www.legis.iowa.gov/docs/iac/rule/567.69.5.pdf" Type="http://schemas.openxmlformats.org/officeDocument/2006/relationships/hyperlink" Id="rId73"/>
    <Relationship TargetMode="External" Target="https://www.legis.iowa.gov/docs/iac/rule/567.69.5.pdf" Type="http://schemas.openxmlformats.org/officeDocument/2006/relationships/hyperlink" Id="rId74"/>
    <Relationship TargetMode="External" Target="https://www.legis.iowa.gov/docs/iac/rule/567.69.5.pdf" Type="http://schemas.openxmlformats.org/officeDocument/2006/relationships/hyperlink" Id="rId75"/>
    <Relationship TargetMode="External" Target="https://www.legis.iowa.gov/docs/iac/rule/567.69.5.pdf" Type="http://schemas.openxmlformats.org/officeDocument/2006/relationships/hyperlink" Id="rId76"/>
    <Relationship TargetMode="External" Target="https://www.legis.iowa.gov/docs/iac/rule/567.69.5.pdf" Type="http://schemas.openxmlformats.org/officeDocument/2006/relationships/hyperlink" Id="rId77"/>
    <Relationship TargetMode="External" Target="https://www.legis.iowa.gov/docs/iac/rule/567.69.5.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