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68</w:t>
      </w:r>
    </w:p>
    <w:p>
      <w:pPr>
        <w:spacing w:before="0" w:after="0"/>
        <w:ind w:left="120"/>
        <w:jc w:val="center"/>
      </w:pPr>
      <w:r>
        <w:rPr>
          <w:rFonts w:ascii="Times New Roman" w:hAnsi="Times New Roman"/>
          <w:b w:val="false"/>
          <w:i w:val="false"/>
          <w:color w:val="000000"/>
          <w:sz w:val="21"/>
        </w:rPr>
        <w:t xml:space="preserve"> COMMERCIAL SEPTIC TANK CLEANERS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567—68.1</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applicability, and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this chapter is to implement Iowa Code sections </w:t>
      </w:r>
      <w:hyperlink r:id="rId5">
        <w:r>
          <w:rPr>
            <w:rStyle w:val="Hyperlink"/>
            <w:rFonts w:ascii="Times New Roman" w:hAnsi="Times New Roman"/>
            <w:b w:val="false"/>
            <w:i w:val="false"/>
            <w:color w:val="000000"/>
            <w:sz w:val="22"/>
          </w:rPr>
          <w:t>455B.172(5)</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455B.172(6)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455B.172A</w:t>
        </w:r>
      </w:hyperlink>
      <w:r>
        <w:rPr>
          <w:rFonts w:ascii="Times New Roman" w:hAnsi="Times New Roman"/>
          <w:b w:val="false"/>
          <w:i w:val="false"/>
          <w:color w:val="000000"/>
          <w:sz w:val="22"/>
        </w:rPr>
        <w:t xml:space="preserve"> by providing standards for the commercial cleaning and disposal of waste from private sewage disposal systems (PSDSs) and toilet units and wastewater from on-farm food processing operations and by providing licensing requirements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68.1(2)</w:t>
      </w:r>
      <w:r>
        <w:rPr>
          <w:rFonts w:ascii="Times New Roman" w:hAnsi="Times New Roman"/>
          <w:b w:val="false"/>
          <w:i w:val="false"/>
          <w:color w:val="000000"/>
          <w:sz w:val="22"/>
        </w:rPr>
        <w:t> </w:t>
      </w:r>
      <w:r>
        <w:rPr>
          <w:rFonts w:ascii="Times New Roman" w:hAnsi="Times New Roman"/>
          <w:b w:val="false"/>
          <w:i w:val="false"/>
          <w:color w:val="000000"/>
          <w:sz w:val="22"/>
        </w:rPr>
        <w:t>Definitions. 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“Cleaning” </w:t>
      </w:r>
      <w:r>
        <w:rPr>
          <w:rFonts w:ascii="Times New Roman" w:hAnsi="Times New Roman"/>
          <w:b w:val="false"/>
          <w:i w:val="false"/>
          <w:color w:val="000000"/>
          <w:sz w:val="22"/>
        </w:rPr>
        <w:t>means removal of waste from PSDSs and other actions incidental to that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septic tank cleaner” </w:t>
      </w:r>
      <w:r>
        <w:rPr>
          <w:rFonts w:ascii="Times New Roman" w:hAnsi="Times New Roman"/>
          <w:b w:val="false"/>
          <w:i w:val="false"/>
          <w:color w:val="000000"/>
          <w:sz w:val="22"/>
        </w:rPr>
        <w:t>means a person or firm engaged in the business of cleaning and disposing of waste from PSDSs, including a person or firm that owns and rents or leases portable toilets.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commodity” </w:t>
      </w:r>
      <w:r>
        <w:rPr>
          <w:rFonts w:ascii="Times New Roman" w:hAnsi="Times New Roman"/>
          <w:b w:val="false"/>
          <w:i w:val="false"/>
          <w:color w:val="000000"/>
          <w:sz w:val="22"/>
        </w:rPr>
        <w:t xml:space="preserve">is defined in Iowa Code section </w:t>
      </w:r>
      <w:hyperlink r:id="rId8">
        <w:r>
          <w:rPr>
            <w:rStyle w:val="Hyperlink"/>
            <w:rFonts w:ascii="Times New Roman" w:hAnsi="Times New Roman"/>
            <w:b w:val="false"/>
            <w:i w:val="false"/>
            <w:color w:val="000000"/>
            <w:sz w:val="22"/>
          </w:rPr>
          <w:t>455B.171(8)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“Holding tank for waste” </w:t>
      </w:r>
      <w:r>
        <w:rPr>
          <w:rFonts w:ascii="Times New Roman" w:hAnsi="Times New Roman"/>
          <w:b w:val="false"/>
          <w:i w:val="false"/>
          <w:color w:val="000000"/>
          <w:sz w:val="22"/>
        </w:rPr>
        <w:t xml:space="preserve">is defined in </w:t>
      </w:r>
      <w:hyperlink r:id="rId9">
        <w:r>
          <w:rPr>
            <w:rStyle w:val="Hyperlink"/>
            <w:rFonts w:ascii="Times New Roman" w:hAnsi="Times New Roman"/>
            <w:b w:val="false"/>
            <w:i w:val="false"/>
            <w:color w:val="000000"/>
            <w:sz w:val="22"/>
          </w:rPr>
          <w:t>567—subrule 69.1(2)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“On-farm processing operation” </w:t>
      </w:r>
      <w:r>
        <w:rPr>
          <w:rFonts w:ascii="Times New Roman" w:hAnsi="Times New Roman"/>
          <w:b w:val="false"/>
          <w:i w:val="false"/>
          <w:color w:val="000000"/>
          <w:sz w:val="22"/>
        </w:rPr>
        <w:t xml:space="preserve">is defined in Iowa Code section </w:t>
      </w:r>
      <w:hyperlink r:id="rId10">
        <w:r>
          <w:rPr>
            <w:rStyle w:val="Hyperlink"/>
            <w:rFonts w:ascii="Times New Roman" w:hAnsi="Times New Roman"/>
            <w:b w:val="false"/>
            <w:i w:val="false"/>
            <w:color w:val="000000"/>
            <w:sz w:val="22"/>
          </w:rPr>
          <w:t>455B.171(18)</w:t>
        </w:r>
      </w:hyperlink>
      <w:r>
        <w:rPr>
          <w:rFonts w:ascii="Times New Roman" w:hAnsi="Times New Roman"/>
          <w:b w:val="false"/>
          <w:i w:val="false"/>
          <w:color w:val="000000"/>
          <w:sz w:val="22"/>
        </w:rPr>
        <w:t>. “On-farm processing operation” does not include food commodities processed by a person exclusively for use by the person and members of the person’s household or the person’s nonpaying guests and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“Tank” </w:t>
      </w:r>
      <w:r>
        <w:rPr>
          <w:rFonts w:ascii="Times New Roman" w:hAnsi="Times New Roman"/>
          <w:b w:val="false"/>
          <w:i w:val="false"/>
          <w:color w:val="000000"/>
          <w:sz w:val="22"/>
        </w:rPr>
        <w:t>means any container that is placed on a vehicle to transport waste removed from a private waste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“Toilet unit” </w:t>
      </w:r>
      <w:r>
        <w:rPr>
          <w:rFonts w:ascii="Times New Roman" w:hAnsi="Times New Roman"/>
          <w:b w:val="false"/>
          <w:i w:val="false"/>
          <w:color w:val="000000"/>
          <w:sz w:val="22"/>
        </w:rPr>
        <w:t xml:space="preserve">is defined in Iowa Code section </w:t>
      </w:r>
      <w:hyperlink r:id="rId11">
        <w:r>
          <w:rPr>
            <w:rStyle w:val="Hyperlink"/>
            <w:rFonts w:ascii="Times New Roman" w:hAnsi="Times New Roman"/>
            <w:b w:val="false"/>
            <w:i w:val="false"/>
            <w:color w:val="000000"/>
            <w:sz w:val="22"/>
          </w:rPr>
          <w:t>455B.171(37)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w:t>
      </w:r>
      <w:r>
        <w:rPr>
          <w:rFonts w:ascii="Times New Roman" w:hAnsi="Times New Roman"/>
          <w:b w:val="false"/>
          <w:i w:val="false"/>
          <w:color w:val="000000"/>
          <w:sz w:val="22"/>
        </w:rPr>
        <w:t>means a device used to transport a tank, including a trailer.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 </w:t>
      </w:r>
      <w:r>
        <w:rPr>
          <w:rFonts w:ascii="Times New Roman" w:hAnsi="Times New Roman"/>
          <w:b w:val="false"/>
          <w:i w:val="false"/>
          <w:color w:val="000000"/>
          <w:sz w:val="22"/>
        </w:rPr>
        <w:t>means human or animal excreta, water, scum, sludge, septage, and grease solids from PSDSs or toilet units.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567—68.2</w:t>
      </w:r>
      <w:r>
        <w:rPr>
          <w:rFonts w:ascii="Times New Roman" w:hAnsi="Times New Roman"/>
          <w:b/>
          <w:i w:val="false"/>
          <w:color w:val="000000"/>
          <w:sz w:val="22"/>
        </w:rPr>
        <w:t xml:space="preserve">(455B) </w:t>
      </w:r>
      <w:r>
        <w:rPr>
          <w:rFonts w:ascii="Times New Roman" w:hAnsi="Times New Roman"/>
          <w:b/>
          <w:i w:val="false"/>
          <w:color w:val="000000"/>
          <w:sz w:val="22"/>
        </w:rPr>
        <w:t xml:space="preserve">Commercial septic tank and toilet unit cleaner licensing requirements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Commercial septic tank and toilet unit cleaners must annually apply for and obtain a license from the department before engaging in the commercial cleaning of and disposal of septage from any PSDS or the commercial cleaning and disposal of wastes from any toilet unit in the state of Iowa. The license period will run from July 1 to June 30 of the following year. Owners of a septic tank may clean their own tank without being licensed if all other requirements of this chapter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license. </w:t>
      </w:r>
      <w:r>
        <w:rPr>
          <w:rFonts w:ascii="Times New Roman" w:hAnsi="Times New Roman"/>
          <w:b w:val="false"/>
          <w:i w:val="false"/>
          <w:color w:val="000000"/>
          <w:sz w:val="22"/>
        </w:rPr>
        <w:t>A commercial septic tank or toilet unit cleaner must apply for a license by completing a department form and submitting it to the department with an annual septage disposal management plan (SDMP) and license fee. In the case of a commercial septic tank cleaner that is a corporation, partnership, association, or any other business entity, the entity itself must apply as provided in this rule. The entity shall designate a person with requisite authority to act as its representative when applying for a license. Individuals employed by a commercial septic tank or toilet unit cleaner business are not required to be licensed, but each cleaning unit (vehicle or tank) must display the business license number (except for the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68.2(3)</w:t>
      </w:r>
      <w:r>
        <w:rPr>
          <w:rFonts w:ascii="Times New Roman" w:hAnsi="Times New Roman"/>
          <w:b w:val="false"/>
          <w:i w:val="false"/>
          <w:color w:val="000000"/>
          <w:sz w:val="22"/>
        </w:rPr>
        <w:t> </w:t>
      </w:r>
      <w:r>
        <w:rPr>
          <w:rFonts w:ascii="Times New Roman" w:hAnsi="Times New Roman"/>
          <w:b w:val="false"/>
          <w:i/>
          <w:color w:val="000000"/>
          <w:sz w:val="22"/>
        </w:rPr>
        <w:t xml:space="preserve">Septage disposal management plan (SDMP). </w:t>
      </w:r>
      <w:r>
        <w:rPr>
          <w:rFonts w:ascii="Times New Roman" w:hAnsi="Times New Roman"/>
          <w:b w:val="false"/>
          <w:i w:val="false"/>
          <w:color w:val="000000"/>
          <w:sz w:val="22"/>
        </w:rPr>
        <w:t>An applicant must submit an SDMP with a license application using a department form. Applicants must also submit the SDMP to the county board of health in each county where septage is to be land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SDMP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list of vehicles to be registered for use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volume of septage expected to be collected from PSDSs or toilet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disposal to another system, including a publicly owned treatment works (POTW), a different permitted wastewater disposal system (DS), a permitted septage lagoon or septage drying bed, or a permitted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volume of septage or waste to be taken to each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letter of acceptance from the owner of each system where septage or waste is proposed to be disposed.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septage disposal by land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location and area of all sites where septage is to be land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anticipated volume of septage applied to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type of crop to be planted on each site and the date when planting will occur;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type of land application to be used at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Allowance may be made in an SDMP for septage application on the property of the owner of the tank being pumped as long as the disposal standards of this chapter are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 will be issued only after department approval of the SDMP. If the SDMP is not approved by the department, it must be modified and resubmitted.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68.2(4)</w:t>
      </w:r>
      <w:r>
        <w:rPr>
          <w:rFonts w:ascii="Times New Roman" w:hAnsi="Times New Roman"/>
          <w:b w:val="false"/>
          <w:i w:val="false"/>
          <w:color w:val="000000"/>
          <w:sz w:val="22"/>
        </w:rPr>
        <w:t> </w:t>
      </w:r>
      <w:r>
        <w:rPr>
          <w:rFonts w:ascii="Times New Roman" w:hAnsi="Times New Roman"/>
          <w:b w:val="false"/>
          <w:i/>
          <w:color w:val="000000"/>
          <w:sz w:val="22"/>
        </w:rPr>
        <w:t xml:space="preserve">SDMP alteration. </w:t>
      </w:r>
      <w:r>
        <w:rPr>
          <w:rFonts w:ascii="Times New Roman" w:hAnsi="Times New Roman"/>
          <w:b w:val="false"/>
          <w:i w:val="false"/>
          <w:color w:val="000000"/>
          <w:sz w:val="22"/>
        </w:rPr>
        <w:t>An amended SDMP must be submitted to the department and the county before septage is land applied to any new property not listed in the existing SDMP, or septage is taken to a system not listed in the SDMP.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68.2(5)</w:t>
      </w:r>
      <w:r>
        <w:rPr>
          <w:rFonts w:ascii="Times New Roman" w:hAnsi="Times New Roman"/>
          <w:b w:val="false"/>
          <w:i w:val="false"/>
          <w:color w:val="000000"/>
          <w:sz w:val="22"/>
        </w:rPr>
        <w:t> </w:t>
      </w:r>
      <w:r>
        <w:rPr>
          <w:rFonts w:ascii="Times New Roman" w:hAnsi="Times New Roman"/>
          <w:b w:val="false"/>
          <w:i/>
          <w:color w:val="000000"/>
          <w:sz w:val="22"/>
        </w:rPr>
        <w:t xml:space="preserve">License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Renewal fees. </w:t>
      </w:r>
      <w:r>
        <w:rPr>
          <w:rFonts w:ascii="Times New Roman" w:hAnsi="Times New Roman"/>
          <w:b w:val="false"/>
          <w:i w:val="false"/>
          <w:color w:val="000000"/>
          <w:sz w:val="22"/>
        </w:rPr>
        <w:t xml:space="preserve">The renewal application fee is $150 per year for the first registered vehicle and $50 for each additional vehicle. If an applicant intends to land apply any septage during the year, there will be an additional application fee of $7 per 1,000 gallons of septage to be land applied per year. Land application fees shall be based on the previous year’s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license fees. </w:t>
      </w:r>
      <w:r>
        <w:rPr>
          <w:rFonts w:ascii="Times New Roman" w:hAnsi="Times New Roman"/>
          <w:b w:val="false"/>
          <w:i w:val="false"/>
          <w:color w:val="000000"/>
          <w:sz w:val="22"/>
        </w:rPr>
        <w:t>New license applicants will be charged the following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propose to land apply shall pay a prorated $300 annual fee until the next June 30.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will be charged fees of $150 for the first registered vehicle and $50 for each additional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68.2(6)</w:t>
      </w:r>
      <w:r>
        <w:rPr>
          <w:rFonts w:ascii="Times New Roman" w:hAnsi="Times New Roman"/>
          <w:b w:val="false"/>
          <w:i w:val="false"/>
          <w:color w:val="000000"/>
          <w:sz w:val="22"/>
        </w:rPr>
        <w:t> </w:t>
      </w:r>
      <w:r>
        <w:rPr>
          <w:rFonts w:ascii="Times New Roman" w:hAnsi="Times New Roman"/>
          <w:b w:val="false"/>
          <w:i/>
          <w:color w:val="000000"/>
          <w:sz w:val="22"/>
        </w:rPr>
        <w:t xml:space="preserve">License renewal. </w:t>
      </w:r>
      <w:r>
        <w:rPr>
          <w:rFonts w:ascii="Times New Roman" w:hAnsi="Times New Roman"/>
          <w:b w:val="false"/>
          <w:i w:val="false"/>
          <w:color w:val="000000"/>
          <w:sz w:val="22"/>
        </w:rPr>
        <w:t>In order to remain valid, a license must be renewed by June 30 of each year. Renewal applications must meet the requirements of this rule and be received by the department at least 30 days prior to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68.2(7)</w:t>
      </w:r>
      <w:r>
        <w:rPr>
          <w:rFonts w:ascii="Times New Roman" w:hAnsi="Times New Roman"/>
          <w:b w:val="false"/>
          <w:i w:val="false"/>
          <w:color w:val="000000"/>
          <w:sz w:val="22"/>
        </w:rPr>
        <w:t> </w:t>
      </w:r>
      <w:r>
        <w:rPr>
          <w:rFonts w:ascii="Times New Roman" w:hAnsi="Times New Roman"/>
          <w:b w:val="false"/>
          <w:i/>
          <w:color w:val="000000"/>
          <w:sz w:val="22"/>
        </w:rPr>
        <w:t xml:space="preserve">Ownership change. </w:t>
      </w:r>
      <w:r>
        <w:rPr>
          <w:rFonts w:ascii="Times New Roman" w:hAnsi="Times New Roman"/>
          <w:b w:val="false"/>
          <w:i w:val="false"/>
          <w:color w:val="000000"/>
          <w:sz w:val="22"/>
        </w:rPr>
        <w:t>Within 30 days of a change in ownership of any commercial septic tank or toilet unit cleaner, the new owner shall furnish the department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Business name and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Name, address, email address, and telephone number of the new owner;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Date of the ownership change;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change in the SDMP. </w:t>
      </w:r>
    </w:p>
    <w:p>
      <w:pPr>
        <w:spacing w:before="0" w:after="0"/>
        <w:ind w:left="120"/>
        <w:jc w:val="both"/>
      </w:pPr>
      <w:r>
        <w:rPr>
          <w:rFonts w:ascii="Times New Roman" w:hAnsi="Times New Roman"/>
          <w:b w:val="false"/>
          <w:i w:val="false"/>
          <w:color w:val="000000"/>
          <w:sz w:val="22"/>
        </w:rPr>
        <w:t xml:space="preserve"> The license will transfer with the ownership with no additional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68.2(8)</w:t>
      </w:r>
      <w:r>
        <w:rPr>
          <w:rFonts w:ascii="Times New Roman" w:hAnsi="Times New Roman"/>
          <w:b w:val="false"/>
          <w:i w:val="false"/>
          <w:color w:val="000000"/>
          <w:sz w:val="22"/>
        </w:rPr>
        <w:t> </w:t>
      </w:r>
      <w:r>
        <w:rPr>
          <w:rFonts w:ascii="Times New Roman" w:hAnsi="Times New Roman"/>
          <w:b w:val="false"/>
          <w:i/>
          <w:color w:val="000000"/>
          <w:sz w:val="22"/>
        </w:rPr>
        <w:t xml:space="preserve">Address change. </w:t>
      </w:r>
      <w:r>
        <w:rPr>
          <w:rFonts w:ascii="Times New Roman" w:hAnsi="Times New Roman"/>
          <w:b w:val="false"/>
          <w:i w:val="false"/>
          <w:color w:val="000000"/>
          <w:sz w:val="22"/>
        </w:rPr>
        <w:t>Within 30 days of any change in the address or location of a commercial septic tank or toilet unit cleaning business, information regarding such change must be reported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567—68.3</w:t>
      </w:r>
      <w:r>
        <w:rPr>
          <w:rFonts w:ascii="Times New Roman" w:hAnsi="Times New Roman"/>
          <w:b/>
          <w:i w:val="false"/>
          <w:color w:val="000000"/>
          <w:sz w:val="22"/>
        </w:rPr>
        <w:t xml:space="preserve">(455B) </w:t>
      </w:r>
      <w:r>
        <w:rPr>
          <w:rFonts w:ascii="Times New Roman" w:hAnsi="Times New Roman"/>
          <w:b/>
          <w:i w:val="false"/>
          <w:color w:val="000000"/>
          <w:sz w:val="22"/>
        </w:rPr>
        <w:t xml:space="preserve">License suspension, revocation and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68.3(1)</w:t>
      </w:r>
      <w:r>
        <w:rPr>
          <w:rFonts w:ascii="Times New Roman" w:hAnsi="Times New Roman"/>
          <w:b w:val="false"/>
          <w:i w:val="false"/>
          <w:color w:val="000000"/>
          <w:sz w:val="22"/>
        </w:rPr>
        <w:t> </w:t>
      </w:r>
      <w:r>
        <w:rPr>
          <w:rFonts w:ascii="Times New Roman" w:hAnsi="Times New Roman"/>
          <w:b w:val="false"/>
          <w:i/>
          <w:color w:val="000000"/>
          <w:sz w:val="22"/>
        </w:rPr>
        <w:t xml:space="preserve">Basis for suspension, revocation, and denial. </w:t>
      </w:r>
      <w:r>
        <w:rPr>
          <w:rFonts w:ascii="Times New Roman" w:hAnsi="Times New Roman"/>
          <w:b w:val="false"/>
          <w:i w:val="false"/>
          <w:color w:val="000000"/>
          <w:sz w:val="22"/>
        </w:rPr>
        <w:t>The department may suspend, revoke, or deny a commercial septic tank or toilet unit cleaner license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material misstatement of facts in a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provide the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provide and adhere to an approved SDMP.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satisfy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any fines assessed under </w:t>
      </w:r>
      <w:hyperlink r:id="rId12">
        <w:r>
          <w:rPr>
            <w:rStyle w:val="Hyperlink"/>
            <w:rFonts w:ascii="Times New Roman" w:hAnsi="Times New Roman"/>
            <w:b w:val="false"/>
            <w:i w:val="false"/>
            <w:color w:val="000000"/>
            <w:sz w:val="22"/>
          </w:rPr>
          <w:t>68.3(2)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68.3(2)</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 xml:space="preserve">The department may assess civil penalties pursuant to Iowa Code section </w:t>
      </w:r>
      <w:hyperlink r:id="rId13">
        <w:r>
          <w:rPr>
            <w:rStyle w:val="Hyperlink"/>
            <w:rFonts w:ascii="Times New Roman" w:hAnsi="Times New Roman"/>
            <w:b w:val="false"/>
            <w:i w:val="false"/>
            <w:color w:val="000000"/>
            <w:sz w:val="22"/>
          </w:rPr>
          <w:t>455B.172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 commercial septic tank or toilet unit cleaner may appeal the suspension, revocation, or denial of a license under the provisions of </w:t>
      </w:r>
      <w:hyperlink r:id="rId14">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68.3(4)</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In the case of a denial, revocation, or suspension pursuant to </w:t>
      </w:r>
      <w:hyperlink r:id="rId15">
        <w:r>
          <w:rPr>
            <w:rStyle w:val="Hyperlink"/>
            <w:rFonts w:ascii="Times New Roman" w:hAnsi="Times New Roman"/>
            <w:b w:val="false"/>
            <w:i w:val="false"/>
            <w:color w:val="000000"/>
            <w:sz w:val="22"/>
          </w:rPr>
          <w:t>68.3(1)</w:t>
        </w:r>
        <w:r>
          <w:rPr>
            <w:rFonts w:ascii="Times New Roman" w:hAnsi="Times New Roman"/>
            <w:b w:val="false"/>
            <w:i/>
            <w:color w:val="000000"/>
            <w:sz w:val="22"/>
          </w:rPr>
          <w:t>“b”</w:t>
        </w:r>
      </w:hyperlink>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the department may immediately reinstate or issue a license after receipt of the requisite fee or fine and confirmation that the commercial septic tank or toilet unit cleaner is fulfilling the requirements of </w:t>
      </w:r>
      <w:hyperlink r:id="rId16">
        <w:r>
          <w:rPr>
            <w:rStyle w:val="Hyperlink"/>
            <w:rFonts w:ascii="Times New Roman" w:hAnsi="Times New Roman"/>
            <w:b w:val="false"/>
            <w:i w:val="false"/>
            <w:color w:val="000000"/>
            <w:sz w:val="22"/>
          </w:rPr>
          <w:t>567—68.4</w:t>
        </w:r>
      </w:hyperlink>
      <w:r>
        <w:rPr>
          <w:rFonts w:ascii="Times New Roman" w:hAnsi="Times New Roman"/>
          <w:b w:val="false"/>
          <w:i w:val="false"/>
          <w:color w:val="000000"/>
          <w:sz w:val="22"/>
        </w:rPr>
        <w:t xml:space="preserve">(455B) and </w:t>
      </w:r>
      <w:hyperlink r:id="rId17">
        <w:r>
          <w:rPr>
            <w:rStyle w:val="Hyperlink"/>
            <w:rFonts w:ascii="Times New Roman" w:hAnsi="Times New Roman"/>
            <w:b w:val="false"/>
            <w:i w:val="false"/>
            <w:color w:val="000000"/>
            <w:sz w:val="22"/>
          </w:rPr>
          <w:t>567—68.6</w:t>
        </w:r>
      </w:hyperlink>
      <w:r>
        <w:rPr>
          <w:rFonts w:ascii="Times New Roman" w:hAnsi="Times New Roman"/>
          <w:b w:val="false"/>
          <w:i w:val="false"/>
          <w:color w:val="000000"/>
          <w:sz w:val="22"/>
        </w:rPr>
        <w:t xml:space="preserve">(455B). In case of a denial, revocation or suspension pursuant to </w:t>
      </w:r>
      <w:hyperlink r:id="rId18">
        <w:r>
          <w:rPr>
            <w:rStyle w:val="Hyperlink"/>
            <w:rFonts w:ascii="Times New Roman" w:hAnsi="Times New Roman"/>
            <w:b w:val="false"/>
            <w:i w:val="false"/>
            <w:color w:val="000000"/>
            <w:sz w:val="22"/>
          </w:rPr>
          <w:t>68.3(1)</w:t>
        </w:r>
      </w:hyperlink>
      <w:r>
        <w:rPr>
          <w:rFonts w:ascii="Times New Roman" w:hAnsi="Times New Roman"/>
          <w:b w:val="false"/>
          <w:i/>
          <w:color w:val="000000"/>
          <w:sz w:val="22"/>
        </w:rPr>
        <w:t>“a,”</w:t>
      </w:r>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the department may reinstate or issue a license no sooner than 60 days after the action if the department is satisfied that the commercial septic tank or toilet unit cleaner has corrected the deficiency and will comply with department rules in the future.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567—68.4</w:t>
      </w:r>
      <w:r>
        <w:rPr>
          <w:rFonts w:ascii="Times New Roman" w:hAnsi="Times New Roman"/>
          <w:b/>
          <w:i w:val="false"/>
          <w:color w:val="000000"/>
          <w:sz w:val="22"/>
        </w:rPr>
        <w:t xml:space="preserve">(455B) </w:t>
      </w:r>
      <w:r>
        <w:rPr>
          <w:rFonts w:ascii="Times New Roman" w:hAnsi="Times New Roman"/>
          <w:b/>
          <w:i w:val="false"/>
          <w:color w:val="000000"/>
          <w:sz w:val="22"/>
        </w:rPr>
        <w:t xml:space="preserve">Licensee and county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w:t>
      </w:r>
      <w:r>
        <w:rPr>
          <w:rFonts w:ascii="Times New Roman" w:hAnsi="Times New Roman"/>
          <w:b w:val="false"/>
          <w:i w:val="false"/>
          <w:color w:val="000000"/>
          <w:sz w:val="22"/>
        </w:rPr>
        <w:t> </w:t>
      </w:r>
      <w:r>
        <w:rPr>
          <w:rFonts w:ascii="Times New Roman" w:hAnsi="Times New Roman"/>
          <w:b w:val="false"/>
          <w:i/>
          <w:color w:val="000000"/>
          <w:sz w:val="22"/>
        </w:rPr>
        <w:t xml:space="preserve">Licensee obligations. </w:t>
      </w:r>
      <w:r>
        <w:rPr>
          <w:rFonts w:ascii="Times New Roman" w:hAnsi="Times New Roman"/>
          <w:b w:val="false"/>
          <w:i w:val="false"/>
          <w:color w:val="000000"/>
          <w:sz w:val="22"/>
        </w:rPr>
        <w:t>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Supervise the removal and disposal of septage from PSDSs or waste from toilet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Meet the standards established in this chapter for the cleaning of and disposal of septage from PSDSs or waste from toilet units;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 the location of all cleaned PSDSs or toilet units, the method of septage or waste disposal, and the volume of septage or waste disposed of for each trip. Such records shall be maintained for five years and shall be made readily available upon request by an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68.4(2)</w:t>
      </w:r>
      <w:r>
        <w:rPr>
          <w:rFonts w:ascii="Times New Roman" w:hAnsi="Times New Roman"/>
          <w:b w:val="false"/>
          <w:i w:val="false"/>
          <w:color w:val="000000"/>
          <w:sz w:val="22"/>
        </w:rPr>
        <w:t> </w:t>
      </w:r>
      <w:r>
        <w:rPr>
          <w:rFonts w:ascii="Times New Roman" w:hAnsi="Times New Roman"/>
          <w:b w:val="false"/>
          <w:i/>
          <w:color w:val="000000"/>
          <w:sz w:val="22"/>
        </w:rPr>
        <w:t xml:space="preserve">County obligations. </w:t>
      </w:r>
      <w:r>
        <w:rPr>
          <w:rFonts w:ascii="Times New Roman" w:hAnsi="Times New Roman"/>
          <w:b w:val="false"/>
          <w:i w:val="false"/>
          <w:color w:val="000000"/>
          <w:sz w:val="22"/>
        </w:rPr>
        <w:t>The county boards of health shall enforce the standards and licensing requirements in this chapter and other referenced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567—68.5</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 sites and equipment inspections. </w:t>
      </w:r>
      <w:r>
        <w:rPr>
          <w:rFonts w:ascii="Times New Roman" w:hAnsi="Times New Roman"/>
          <w:b w:val="false"/>
          <w:i w:val="false"/>
          <w:color w:val="000000"/>
          <w:sz w:val="22"/>
        </w:rPr>
        <w:t xml:space="preserve">All land application sites specified on an SDMP shall be inspected annually by a department-approved agent to ensure that the sites meet the requirements for septage disposal and are properly managed. All vehicles, tanks, and related storage and handling facilities for septage shall be inspected annually to ensure compliance with these rules. The department may contract with other entities, such as the county boards of health, to carry out inspections. However, the department shall retain concurrent authority to determine inspection requirements.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567—68.6</w:t>
      </w:r>
      <w:r>
        <w:rPr>
          <w:rFonts w:ascii="Times New Roman" w:hAnsi="Times New Roman"/>
          <w:b/>
          <w:i w:val="false"/>
          <w:color w:val="000000"/>
          <w:sz w:val="22"/>
        </w:rPr>
        <w:t xml:space="preserve">(455B) </w:t>
      </w:r>
      <w:r>
        <w:rPr>
          <w:rFonts w:ascii="Times New Roman" w:hAnsi="Times New Roman"/>
          <w:b/>
          <w:i w:val="false"/>
          <w:color w:val="000000"/>
          <w:sz w:val="22"/>
        </w:rPr>
        <w:t xml:space="preserve">Standards for commercial cleaning of PSDSs and toilet units.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68.6(1)</w:t>
      </w:r>
      <w:r>
        <w:rPr>
          <w:rFonts w:ascii="Times New Roman" w:hAnsi="Times New Roman"/>
          <w:b w:val="false"/>
          <w:i w:val="false"/>
          <w:color w:val="000000"/>
          <w:sz w:val="22"/>
        </w:rPr>
        <w:t> </w:t>
      </w:r>
      <w:r>
        <w:rPr>
          <w:rFonts w:ascii="Times New Roman" w:hAnsi="Times New Roman"/>
          <w:b w:val="false"/>
          <w:i/>
          <w:color w:val="000000"/>
          <w:sz w:val="22"/>
        </w:rPr>
        <w:t xml:space="preserve">Vehicles, tanks, and equipment. </w:t>
      </w:r>
      <w:r>
        <w:rPr>
          <w:rFonts w:ascii="Times New Roman" w:hAnsi="Times New Roman"/>
          <w:b w:val="false"/>
          <w:i w:val="false"/>
          <w:color w:val="000000"/>
          <w:sz w:val="22"/>
        </w:rPr>
        <w:t>For all vehicles, tanks, and equipment used in the commercial cleaning of PSDSs and toilet units,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Prevent the dripping, falling, spilling, leaking, or discharging of septage or waste onto roads, rights-of-way, or other public properties;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the necessary equipment to properly clean PSDSs or toilet units and to sufficiently agitate and disperse solids, sludge, and scum into the liquid for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Install pumps and associated piping with watertight connections to prevent leakage;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equipment can easily be cleaned and is maintained in an essentially rust-free and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septage is to be land applied, provide a mechanism for properly mixing lime with the septage or a means to incorporate or inject the septage;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 Prominently display the license number and name of the commercial septic tank or toilet unit cleaner on the side of all vehicles or tanks in letters and numbers at least three inches high.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68.6(2)</w:t>
      </w:r>
      <w:r>
        <w:rPr>
          <w:rFonts w:ascii="Times New Roman" w:hAnsi="Times New Roman"/>
          <w:b w:val="false"/>
          <w:i w:val="false"/>
          <w:color w:val="000000"/>
          <w:sz w:val="22"/>
        </w:rPr>
        <w:t> </w:t>
      </w:r>
      <w:r>
        <w:rPr>
          <w:rFonts w:ascii="Times New Roman" w:hAnsi="Times New Roman"/>
          <w:b w:val="false"/>
          <w:i/>
          <w:color w:val="000000"/>
          <w:sz w:val="22"/>
        </w:rPr>
        <w:t xml:space="preserve">Miscellaneous.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tanks or equipment used for hauling septage or waste shall not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Used to haul hazardous or toxic wastes as defined in </w:t>
      </w:r>
      <w:hyperlink r:id="rId19">
        <w:r>
          <w:rPr>
            <w:rStyle w:val="Hyperlink"/>
            <w:rFonts w:ascii="Times New Roman" w:hAnsi="Times New Roman"/>
            <w:b w:val="false"/>
            <w:i w:val="false"/>
            <w:color w:val="000000"/>
            <w:sz w:val="22"/>
          </w:rPr>
          <w:t>567—Chapter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Used to haul wastes detrimental to land application or wastewater treatment plants;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Used in a manner that would contaminate a potable water supply;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Used in a manner that would endanger the food chain or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direct connection shall not be made between a potable water source and a tank or equipment on a vehicle.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567—68.7</w:t>
      </w:r>
      <w:r>
        <w:rPr>
          <w:rFonts w:ascii="Times New Roman" w:hAnsi="Times New Roman"/>
          <w:b/>
          <w:i w:val="false"/>
          <w:color w:val="000000"/>
          <w:sz w:val="22"/>
        </w:rPr>
        <w:t xml:space="preserve">(455B) </w:t>
      </w:r>
      <w:r>
        <w:rPr>
          <w:rFonts w:ascii="Times New Roman" w:hAnsi="Times New Roman"/>
          <w:b/>
          <w:i w:val="false"/>
          <w:color w:val="000000"/>
          <w:sz w:val="22"/>
        </w:rPr>
        <w:t xml:space="preserve">Standards for septage and waste disposal. </w:t>
      </w:r>
      <w:r>
        <w:rPr>
          <w:rFonts w:ascii="Times New Roman" w:hAnsi="Times New Roman"/>
          <w:b w:val="false"/>
          <w:i w:val="false"/>
          <w:color w:val="000000"/>
          <w:sz w:val="22"/>
        </w:rPr>
        <w:t>Septage from PSDSs and on-farm processing operations and waste from toilet units and holding tanks shall be disposed of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68.7(1)</w:t>
      </w:r>
      <w:r>
        <w:rPr>
          <w:rFonts w:ascii="Times New Roman" w:hAnsi="Times New Roman"/>
          <w:b w:val="false"/>
          <w:i w:val="false"/>
          <w:color w:val="000000"/>
          <w:sz w:val="22"/>
        </w:rPr>
        <w:t> </w:t>
      </w:r>
      <w:r>
        <w:rPr>
          <w:rFonts w:ascii="Times New Roman" w:hAnsi="Times New Roman"/>
          <w:b w:val="false"/>
          <w:i w:val="false"/>
          <w:color w:val="000000"/>
          <w:sz w:val="22"/>
        </w:rPr>
        <w:t>Waste from toilet units and holding tanks shall be disposed of by discharge, with owner approval, to a POTW or other department-permitted wastewater disposal system. Land application of wastes from toilet units or holding tanks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68.7(2)</w:t>
      </w:r>
      <w:r>
        <w:rPr>
          <w:rFonts w:ascii="Times New Roman" w:hAnsi="Times New Roman"/>
          <w:b w:val="false"/>
          <w:i w:val="false"/>
          <w:color w:val="000000"/>
          <w:sz w:val="22"/>
        </w:rPr>
        <w:t> </w:t>
      </w:r>
      <w:r>
        <w:rPr>
          <w:rFonts w:ascii="Times New Roman" w:hAnsi="Times New Roman"/>
          <w:b w:val="false"/>
          <w:i w:val="false"/>
          <w:color w:val="000000"/>
          <w:sz w:val="22"/>
        </w:rPr>
        <w:t>Septage from septic tanks or other types of PSDSs that normally discharge effluent for further treatment shall be disposed of by one or more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Septage may be discharged, with system owner approval, to any of the following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 POTW or other department-permitted wastewater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permitted septage lagoons or septage drying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To a permitted sanitary landfill in accordance with 567—Chapters </w:t>
      </w:r>
      <w:hyperlink r:id="rId20">
        <w:r>
          <w:rPr>
            <w:rStyle w:val="Hyperlink"/>
            <w:rFonts w:ascii="Times New Roman" w:hAnsi="Times New Roman"/>
            <w:b w:val="false"/>
            <w:i w:val="false"/>
            <w:color w:val="000000"/>
            <w:sz w:val="22"/>
          </w:rPr>
          <w:t>102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Septage shall be stabilized by adding and thoroughly mixing sufficient lime to produce a mixture with a pH of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of 30 minutes of contact time shall be provided after mixing the lime with the septage prior to discharging to the landfill.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Septage from PSDSs and on-farm processing operations may be land applied when such applications are conducted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Land application rate. The maximum application rate is 30,000 gallons of septage per acre of cropland per 365-day period. The nitrogen application rate shall be no more than is utilized by the crop. A crop capable of using the nitrogen applied must be grown and harvested from the site after application of the maximum annual allocation or, at a minimum, every third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Land application site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Sites shall have soil pH maintained above 6.0 unless crops prefer soils with lower pH conditions. If the soil pH is below 6.0, agricultural lime may be used to increase the pH to an acceptable level. Soil pH shall be measured and reported in the annual SDMP.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application on frozen or snow-covered ground is necessary, it shall be limited to land areas of less than 5 percent slope and application rates of less than 2,500 gallons per acre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septage is land applied to land in a floodplain with a ten-year magnitude, it shall be injected or applied to the surface and mechanically incorporated into the soil within 48 hours. Information on which land is in a floodplain with a ten-year magnitude is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Septage shall be land applied in accordance with the separation distances in Table I in </w:t>
      </w:r>
      <w:hyperlink r:id="rId22">
        <w:r>
          <w:rPr>
            <w:rStyle w:val="Hyperlink"/>
            <w:rFonts w:ascii="Times New Roman" w:hAnsi="Times New Roman"/>
            <w:b w:val="false"/>
            <w:i w:val="false"/>
            <w:color w:val="000000"/>
            <w:sz w:val="22"/>
          </w:rPr>
          <w:t>567—paragraph 60.2(2)</w:t>
        </w:r>
        <w:r>
          <w:rPr>
            <w:rFonts w:ascii="Times New Roman" w:hAnsi="Times New Roman"/>
            <w:b w:val="false"/>
            <w:i/>
            <w:color w:val="000000"/>
            <w:sz w:val="22"/>
          </w:rPr>
          <w:t>“c.”</w:t>
        </w:r>
      </w:hyperlink>
      <w:r>
        <w:rPr>
          <w:rFonts w:ascii="Times New Roman" w:hAnsi="Times New Roman"/>
          <w:b w:val="false"/>
          <w:i w:val="false"/>
          <w:color w:val="000000"/>
          <w:sz w:val="22"/>
        </w:rPr>
        <w:t xml:space="preserve"> If septage is land applied within 200 feet upgradient of a stream, lake, sinkhole, or tile line surface intake, it shall be injected or applied to the surface and mechanically incorporated into the soil within 48 hours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Septage shall not be applied to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To a lawn or a home garden;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 ground that has a slope greater than 9 percent;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 land where there is a bedrock layer or seasonal high water table within three feet of the soil surface, as noted in the county USDA soil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Land application crop harvesting restrictions. After a septage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Food crops with harvested parts that touch the septage/soil mixture and are totally above ground shall not be harvested for 14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Food crops with harvested parts below the land surface shall not be harvested for 38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Animal feed, fiber, and those food crops with harvested parts that do not touch the soil surface shall not be harvested for 30 days.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Animals shall not be allowed to graze on the land for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Land application vector attraction reduction (VAR). One of the following VAR requirements shall be met when septage is land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Septage may be injected below the surface of the land. No significant amount of septage shall be present on the land surface within one hour of septage injection.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Septage may be incorporated into the soil within six hours after application to or placement on the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Septage may be stabilized by adding and thoroughly mixing sufficient alkaline material (such as hydrated or quick lime) to produce a mixture with a pH of 12. A minimum of 30 minutes of contact time shall be provided after mixing the alkaline material with the septage prior to land application. Each container of treated septage shall be monitored for compliance by testing two representative samples taken a minimum of 30 minutes apart to verify that the pH remains at 12 or greater for the minimum 30-minute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stabilization methods may be acceptable if shown to be equivalent to one or more of the methods described in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Land application records. Persons who land apply septage shall document the following information and retain the records at their residence or business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location, by either street address or latitude and longitude, of each septage application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acres and precise application area in each septage application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gallons of septage applied to each site for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rate, in gallons per acre, of septage application at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total gallons of septage applied at each site to date for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and time of septage application at each 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VAR requirements are met (injection, incorporation, or stabilization).</w:t>
      </w:r>
    </w:p>
    <w:p>
      <w:pPr>
        <w:spacing w:before="0" w:after="0"/>
        <w:ind w:left="120"/>
        <w:jc w:val="both"/>
      </w:pPr>
      <w:r>
        <w:rPr>
          <w:rFonts w:ascii="Times New Roman" w:hAnsi="Times New Roman"/>
          <w:b w:val="false"/>
          <w:i w:val="false"/>
          <w:color w:val="000000"/>
          <w:sz w:val="22"/>
        </w:rPr>
        <w:t>The following certification statement shall be provided with the records when the records are submitted to or requested by the department:</w:t>
      </w:r>
    </w:p>
    <w:p>
      <w:pPr>
        <w:spacing w:before="0" w:after="0"/>
        <w:ind w:left="120"/>
        <w:jc w:val="both"/>
      </w:pPr>
      <w:r>
        <w:rPr>
          <w:rFonts w:ascii="Times New Roman" w:hAnsi="Times New Roman"/>
          <w:b w:val="false"/>
          <w:i w:val="false"/>
          <w:color w:val="000000"/>
          <w:sz w:val="22"/>
        </w:rPr>
        <w:t>“I certify, under penalty of law, that the pathogen requirements and the vector attraction reduction requirements have been met. I am aware that there are significant penalties for false certification including the possibility of fine and imprisonment.”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567—68.8</w:t>
      </w:r>
      <w:r>
        <w:rPr>
          <w:rFonts w:ascii="Times New Roman" w:hAnsi="Times New Roman"/>
          <w:b/>
          <w:i w:val="false"/>
          <w:color w:val="000000"/>
          <w:sz w:val="22"/>
        </w:rPr>
        <w:t xml:space="preserve">(455B) </w:t>
      </w:r>
      <w:r>
        <w:rPr>
          <w:rFonts w:ascii="Times New Roman" w:hAnsi="Times New Roman"/>
          <w:b/>
          <w:i w:val="false"/>
          <w:color w:val="000000"/>
          <w:sz w:val="22"/>
        </w:rPr>
        <w:t xml:space="preserve">Standards for disposal of wastewater from on-farm food processing operations. </w:t>
      </w:r>
      <w:r>
        <w:rPr>
          <w:rFonts w:ascii="Times New Roman" w:hAnsi="Times New Roman"/>
          <w:b w:val="false"/>
          <w:i w:val="false"/>
          <w:color w:val="000000"/>
          <w:sz w:val="22"/>
        </w:rPr>
        <w:t xml:space="preserve">On-farm food processing wastewater shall be disposed of pursuant to Iowa Code section </w:t>
      </w:r>
      <w:hyperlink r:id="rId23">
        <w:r>
          <w:rPr>
            <w:rStyle w:val="Hyperlink"/>
            <w:rFonts w:ascii="Times New Roman" w:hAnsi="Times New Roman"/>
            <w:b w:val="false"/>
            <w:i w:val="false"/>
            <w:color w:val="000000"/>
            <w:sz w:val="22"/>
          </w:rPr>
          <w:t>455B.172A</w:t>
        </w:r>
      </w:hyperlink>
      <w:r>
        <w:rPr>
          <w:rFonts w:ascii="Times New Roman" w:hAnsi="Times New Roman"/>
          <w:b w:val="false"/>
          <w:i w:val="false"/>
          <w:color w:val="000000"/>
          <w:sz w:val="22"/>
        </w:rPr>
        <w:t xml:space="preserve">. On-farm food processing operations that meet the requirements for land application in Iowa Code section </w:t>
      </w:r>
      <w:hyperlink r:id="rId24">
        <w:r>
          <w:rPr>
            <w:rStyle w:val="Hyperlink"/>
            <w:rFonts w:ascii="Times New Roman" w:hAnsi="Times New Roman"/>
            <w:b w:val="false"/>
            <w:i w:val="false"/>
            <w:color w:val="000000"/>
            <w:sz w:val="22"/>
          </w:rPr>
          <w:t>455B.172A</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567—68.7</w:t>
        </w:r>
      </w:hyperlink>
      <w:r>
        <w:rPr>
          <w:rFonts w:ascii="Times New Roman" w:hAnsi="Times New Roman"/>
          <w:b w:val="false"/>
          <w:i w:val="false"/>
          <w:color w:val="000000"/>
          <w:sz w:val="22"/>
        </w:rPr>
        <w:t xml:space="preserve">(455B) shall not be required to obtain an operation permit as prescribed in </w:t>
      </w:r>
      <w:hyperlink r:id="rId26">
        <w:r>
          <w:rPr>
            <w:rStyle w:val="Hyperlink"/>
            <w:rFonts w:ascii="Times New Roman" w:hAnsi="Times New Roman"/>
            <w:b w:val="false"/>
            <w:i w:val="false"/>
            <w:color w:val="000000"/>
            <w:sz w:val="22"/>
          </w:rPr>
          <w:t>567—60.3</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sections </w:t>
      </w:r>
      <w:hyperlink r:id="rId27">
        <w:r>
          <w:rPr>
            <w:rStyle w:val="Hyperlink"/>
            <w:rFonts w:ascii="Times New Roman" w:hAnsi="Times New Roman"/>
            <w:b w:val="false"/>
            <w:i w:val="false"/>
            <w:color w:val="000000"/>
            <w:sz w:val="22"/>
          </w:rPr>
          <w:t>455B.172</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455B.172A</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emergency 2/1/91—published 2/20/91, effective 3/1/91]</w:t>
      </w:r>
    </w:p>
    <w:p>
      <w:pPr>
        <w:spacing w:before="0" w:after="0"/>
        <w:ind w:left="120"/>
        <w:jc w:val="center"/>
      </w:pPr>
      <w:r>
        <w:rPr>
          <w:rFonts w:ascii="Times New Roman" w:hAnsi="Times New Roman"/>
          <w:b w:val="false"/>
          <w:i w:val="false"/>
          <w:color w:val="000000"/>
          <w:sz w:val="21"/>
        </w:rPr>
        <w:t>[Filed 5/24/91, Notice 2/20/91—published 6/12/91, effective 7/17/91]</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9/20/96, Notice 7/17/96—published 10/9/96, effective 11/13/96]</w:t>
      </w:r>
    </w:p>
    <w:p>
      <w:pPr>
        <w:spacing w:before="0" w:after="0"/>
        <w:ind w:left="120"/>
        <w:jc w:val="center"/>
      </w:pPr>
      <w:r>
        <w:rPr>
          <w:rFonts w:ascii="Times New Roman" w:hAnsi="Times New Roman"/>
          <w:b w:val="false"/>
          <w:i w:val="false"/>
          <w:color w:val="000000"/>
          <w:sz w:val="21"/>
        </w:rPr>
        <w:t>[Filed 3/19/99, Notice 12/30/98—published 4/7/99, effective 5/12/99]</w:t>
      </w:r>
    </w:p>
    <w:p>
      <w:pPr>
        <w:spacing w:before="0" w:after="0"/>
        <w:ind w:left="120"/>
        <w:jc w:val="center"/>
      </w:pPr>
      <w:r>
        <w:rPr>
          <w:rFonts w:ascii="Times New Roman" w:hAnsi="Times New Roman"/>
          <w:b w:val="false"/>
          <w:i w:val="false"/>
          <w:color w:val="000000"/>
          <w:sz w:val="21"/>
        </w:rPr>
        <w:t>[Filed 8/25/06, Notice 4/12/06—published 9/27/06, effective 11/1/06]</w:t>
      </w:r>
    </w:p>
    <w:p>
      <w:pPr>
        <w:spacing w:before="0" w:after="0"/>
        <w:ind w:left="120"/>
        <w:jc w:val="center"/>
      </w:pPr>
      <w:r>
        <w:rPr>
          <w:rFonts w:ascii="Times New Roman" w:hAnsi="Times New Roman"/>
          <w:b w:val="false"/>
          <w:i w:val="false"/>
          <w:color w:val="000000"/>
          <w:sz w:val="21"/>
        </w:rPr>
        <w:t>[Filed ARC 0208C</w:t>
      </w:r>
      <w:r>
        <w:rPr>
          <w:rFonts w:ascii="Times New Roman" w:hAnsi="Times New Roman"/>
          <w:b w:val="false"/>
          <w:i w:val="false"/>
          <w:color w:val="000000"/>
          <w:sz w:val="21"/>
        </w:rPr>
        <w:t xml:space="preserve"> (Notice ARC 0046C, IAB 3/21/12)</w:t>
      </w:r>
      <w:r>
        <w:rPr>
          <w:rFonts w:ascii="Times New Roman" w:hAnsi="Times New Roman"/>
          <w:b w:val="false"/>
          <w:i w:val="false"/>
          <w:color w:val="000000"/>
          <w:sz w:val="21"/>
        </w:rPr>
        <w:t>, IAB 7/11/12, effective 8/15/12]</w:t>
      </w:r>
    </w:p>
    <w:p>
      <w:pPr>
        <w:spacing w:before="0" w:after="0"/>
        <w:ind w:left="120"/>
        <w:jc w:val="center"/>
      </w:pPr>
      <w:r>
        <w:rPr>
          <w:rFonts w:ascii="Times New Roman" w:hAnsi="Times New Roman"/>
          <w:b w:val="false"/>
          <w:i w:val="false"/>
          <w:color w:val="000000"/>
          <w:sz w:val="21"/>
        </w:rPr>
        <w:t>[Filed ARC 9207C</w:t>
      </w:r>
      <w:r>
        <w:rPr>
          <w:rFonts w:ascii="Times New Roman" w:hAnsi="Times New Roman"/>
          <w:b w:val="false"/>
          <w:i w:val="false"/>
          <w:color w:val="000000"/>
          <w:sz w:val="21"/>
        </w:rPr>
        <w:t xml:space="preserve"> (Notice ARC 8632C,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172.pdf" Type="http://schemas.openxmlformats.org/officeDocument/2006/relationships/hyperlink" Id="rId5"/>
    <Relationship TargetMode="External" Target="https://www.legis.iowa.gov/docs/ico/chapter/455B.172.pdf" Type="http://schemas.openxmlformats.org/officeDocument/2006/relationships/hyperlink" Id="rId6"/>
    <Relationship TargetMode="External" Target="https://www.legis.iowa.gov/docs/ico/chapter/455B.172A.pdf" Type="http://schemas.openxmlformats.org/officeDocument/2006/relationships/hyperlink" Id="rId7"/>
    <Relationship TargetMode="External" Target="https://www.legis.iowa.gov/docs/ico/chapter/455B.171.pdf" Type="http://schemas.openxmlformats.org/officeDocument/2006/relationships/hyperlink" Id="rId8"/>
    <Relationship TargetMode="External" Target="https://www.legis.iowa.gov/docs/iac/rule/567.69.1.pdf" Type="http://schemas.openxmlformats.org/officeDocument/2006/relationships/hyperlink" Id="rId9"/>
    <Relationship TargetMode="External" Target="https://www.legis.iowa.gov/docs/ico/chapter/455B.171.pdf" Type="http://schemas.openxmlformats.org/officeDocument/2006/relationships/hyperlink" Id="rId10"/>
    <Relationship TargetMode="External" Target="https://www.legis.iowa.gov/docs/ico/chapter/455B.171.pdf" Type="http://schemas.openxmlformats.org/officeDocument/2006/relationships/hyperlink" Id="rId11"/>
    <Relationship TargetMode="External" Target="https://www.legis.iowa.gov/docs/iac/rule/567.68.3.pdf" Type="http://schemas.openxmlformats.org/officeDocument/2006/relationships/hyperlink" Id="rId12"/>
    <Relationship TargetMode="External" Target="https://www.legis.iowa.gov/docs/ico/chapter/455B.172.pdf" Type="http://schemas.openxmlformats.org/officeDocument/2006/relationships/hyperlink" Id="rId13"/>
    <Relationship TargetMode="External" Target="https://www.legis.iowa.gov/docs/iac/chapter/567.7.pdf" Type="http://schemas.openxmlformats.org/officeDocument/2006/relationships/hyperlink" Id="rId14"/>
    <Relationship TargetMode="External" Target="https://www.legis.iowa.gov/docs/iac/rule/567.68.3.pdf" Type="http://schemas.openxmlformats.org/officeDocument/2006/relationships/hyperlink" Id="rId15"/>
    <Relationship TargetMode="External" Target="https://www.legis.iowa.gov/docs/iac/rule/567.68.4.pdf" Type="http://schemas.openxmlformats.org/officeDocument/2006/relationships/hyperlink" Id="rId16"/>
    <Relationship TargetMode="External" Target="https://www.legis.iowa.gov/docs/iac/rule/567.68.6.pdf" Type="http://schemas.openxmlformats.org/officeDocument/2006/relationships/hyperlink" Id="rId17"/>
    <Relationship TargetMode="External" Target="https://www.legis.iowa.gov/docs/iac/rule/567.68.3.pdf" Type="http://schemas.openxmlformats.org/officeDocument/2006/relationships/hyperlink" Id="rId18"/>
    <Relationship TargetMode="External" Target="https://www.legis.iowa.gov/docs/iac/chapter/567.131.pdf" Type="http://schemas.openxmlformats.org/officeDocument/2006/relationships/hyperlink" Id="rId19"/>
    <Relationship TargetMode="External" Target="https://www.legis.iowa.gov/docs/iac/chapter/567.102.pdf" Type="http://schemas.openxmlformats.org/officeDocument/2006/relationships/hyperlink" Id="rId20"/>
    <Relationship TargetMode="External" Target="https://www.legis.iowa.gov/docs/iac/chapter/567.103.pdf" Type="http://schemas.openxmlformats.org/officeDocument/2006/relationships/hyperlink" Id="rId21"/>
    <Relationship TargetMode="External" Target="https://www.legis.iowa.gov/docs/iac/rule/567.60.2.pdf" Type="http://schemas.openxmlformats.org/officeDocument/2006/relationships/hyperlink" Id="rId22"/>
    <Relationship TargetMode="External" Target="https://www.legis.iowa.gov/docs/ico/chapter/455B.172A.pdf" Type="http://schemas.openxmlformats.org/officeDocument/2006/relationships/hyperlink" Id="rId23"/>
    <Relationship TargetMode="External" Target="https://www.legis.iowa.gov/docs/ico/chapter/455B.172A.pdf" Type="http://schemas.openxmlformats.org/officeDocument/2006/relationships/hyperlink" Id="rId24"/>
    <Relationship TargetMode="External" Target="https://www.legis.iowa.gov/docs/iac/rule/567.68.7.pdf" Type="http://schemas.openxmlformats.org/officeDocument/2006/relationships/hyperlink" Id="rId25"/>
    <Relationship TargetMode="External" Target="https://www.legis.iowa.gov/docs/iac/rule/567.60.3.pdf" Type="http://schemas.openxmlformats.org/officeDocument/2006/relationships/hyperlink" Id="rId26"/>
    <Relationship TargetMode="External" Target="https://www.legis.iowa.gov/docs/ico/chapter/455B.172.pdf" Type="http://schemas.openxmlformats.org/officeDocument/2006/relationships/hyperlink" Id="rId27"/>
    <Relationship TargetMode="External" Target="https://www.legis.iowa.gov/docs/ico/chapter/455B.172A.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