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67</w:t>
      </w:r>
    </w:p>
    <w:p>
      <w:pPr>
        <w:spacing w:before="0" w:after="0"/>
        <w:ind w:left="120"/>
        <w:jc w:val="center"/>
      </w:pPr>
      <w:r>
        <w:rPr>
          <w:rFonts w:ascii="Times New Roman" w:hAnsi="Times New Roman"/>
          <w:b w:val="false"/>
          <w:i w:val="false"/>
          <w:color w:val="000000"/>
          <w:sz w:val="21"/>
        </w:rPr>
        <w:t xml:space="preserve"> STANDARDS FOR THE LAND APPLICATION OF SEWAGE SLUDGE </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567—67.1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and scope.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standards for the land application of sewage sludge generated during the treatment of domestic sewage in a treatment works. This chapter applies to any generator, applicator, or both, and to sewage sludge applied to the land.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areas that are not specifically addressed in this chapter or in </w:t>
      </w:r>
      <w:hyperlink r:id="rId5">
        <w:r>
          <w:rPr>
            <w:rStyle w:val="Hyperlink"/>
            <w:rFonts w:ascii="Times New Roman" w:hAnsi="Times New Roman"/>
            <w:b w:val="false"/>
            <w:i w:val="false"/>
            <w:color w:val="000000"/>
            <w:sz w:val="22"/>
          </w:rPr>
          <w:t>567—Chapter 68</w:t>
        </w:r>
      </w:hyperlink>
      <w:r>
        <w:rPr>
          <w:rFonts w:ascii="Times New Roman" w:hAnsi="Times New Roman"/>
          <w:b w:val="false"/>
          <w:i w:val="false"/>
          <w:color w:val="000000"/>
          <w:sz w:val="22"/>
        </w:rPr>
        <w:t xml:space="preserve">, but which are addressed in federal regulations for sewage sludge applied to land at </w:t>
      </w:r>
      <w:r>
        <w:rPr>
          <w:rFonts w:ascii="Times New Roman" w:hAnsi="Times New Roman"/>
          <w:b w:val="false"/>
          <w:i w:val="false"/>
          <w:color w:val="000000"/>
          <w:sz w:val="22"/>
        </w:rPr>
        <w:t>40 CFR Part 503</w:t>
      </w:r>
      <w:r>
        <w:rPr>
          <w:rFonts w:ascii="Times New Roman" w:hAnsi="Times New Roman"/>
          <w:b w:val="false"/>
          <w:i w:val="false"/>
          <w:color w:val="000000"/>
          <w:sz w:val="22"/>
        </w:rPr>
        <w:t>, the federal regulations shall apply under this rule and are hereby adopted by reference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 a case-by-case basis, the department may impose requirements for the land application of sewage sludge in addition to or more stringent than the requirements in this chapter when necessary to protect public health and the environment from any adverse effect of a pollutant in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67.1(2)</w:t>
      </w:r>
      <w:r>
        <w:rPr>
          <w:rFonts w:ascii="Times New Roman" w:hAnsi="Times New Roman"/>
          <w:b w:val="false"/>
          <w:i w:val="false"/>
          <w:color w:val="000000"/>
          <w:sz w:val="22"/>
        </w:rPr>
        <w:t> </w:t>
      </w:r>
      <w:r>
        <w:rPr>
          <w:rFonts w:ascii="Times New Roman" w:hAnsi="Times New Roman"/>
          <w:b w:val="false"/>
          <w:i w:val="false"/>
          <w:color w:val="000000"/>
          <w:sz w:val="22"/>
        </w:rPr>
        <w:t>Sewage sludge generators shall ensure that the applicable requirements in this chapter are met when sewage sludge is land applied. If a sewage sludge generator determines that a person being supplied sewage sludge for land application is not complying with applicable requirements of the land application program, the generator shall work with the applicator to obtain compliance with the requirements. If subsequent compliance cannot be achieved, the generator shall not supply additional sewage sludge to the applicator.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67.1(3)</w:t>
      </w:r>
      <w:r>
        <w:rPr>
          <w:rFonts w:ascii="Times New Roman" w:hAnsi="Times New Roman"/>
          <w:b w:val="false"/>
          <w:i w:val="false"/>
          <w:color w:val="000000"/>
          <w:sz w:val="22"/>
        </w:rPr>
        <w:t> </w:t>
      </w:r>
      <w:r>
        <w:rPr>
          <w:rFonts w:ascii="Times New Roman" w:hAnsi="Times New Roman"/>
          <w:b w:val="false"/>
          <w:i w:val="false"/>
          <w:color w:val="000000"/>
          <w:sz w:val="22"/>
        </w:rPr>
        <w:t xml:space="preserve">Exclusions. In accordance with </w:t>
      </w:r>
      <w:r>
        <w:rPr>
          <w:rFonts w:ascii="Times New Roman" w:hAnsi="Times New Roman"/>
          <w:b w:val="false"/>
          <w:i w:val="false"/>
          <w:color w:val="000000"/>
          <w:sz w:val="22"/>
        </w:rPr>
        <w:t>40 CFR §503.6</w:t>
      </w:r>
      <w:r>
        <w:rPr>
          <w:rFonts w:ascii="Times New Roman" w:hAnsi="Times New Roman"/>
          <w:b w:val="false"/>
          <w:i w:val="false"/>
          <w:color w:val="000000"/>
          <w:sz w:val="22"/>
        </w:rPr>
        <w:t>, this chapter does not establish requirements for the land application of sludge generated at an industrial facility, hazardous sewage sludge, sewage sludge with a polychlorinated biphenyl (PCB) concentration of 50 mg/kg or higher, incinerator ash, grit and screenings, or drinking water treatment sludge.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567—67.2</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and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67.2(1)</w:t>
      </w:r>
      <w:r>
        <w:rPr>
          <w:rFonts w:ascii="Times New Roman" w:hAnsi="Times New Roman"/>
          <w:b w:val="false"/>
          <w:i w:val="false"/>
          <w:color w:val="000000"/>
          <w:sz w:val="22"/>
        </w:rPr>
        <w:t> </w:t>
      </w:r>
      <w:r>
        <w:rPr>
          <w:rFonts w:ascii="Times New Roman" w:hAnsi="Times New Roman"/>
          <w:b w:val="false"/>
          <w:i w:val="false"/>
          <w:color w:val="000000"/>
          <w:sz w:val="22"/>
        </w:rPr>
        <w:t xml:space="preserve"> Any sewage sludge generator who intends to land apply sewage sludge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Sample and analyze the waste to determine whether it meets the criteria for sewage sludge for Class I, II, or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Analyze the waste to determine if any sources exist which may contribute significant quantities of potentially hazardous chemicals or other toxic substances. If any are found, the generator shall inform the department of their presence and shall analyze the waste for chemicals or substances in accordance with department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rules for specific programs under EPA or department authority provide otherwise, or unless other methods are approved by the department for a specific situation, samples taken and analyses made to document contamination under this chapter shall be conducted in accordance with the methods described in </w:t>
      </w:r>
      <w:hyperlink r:id="rId6">
        <w:r>
          <w:rPr>
            <w:rStyle w:val="Hyperlink"/>
            <w:rFonts w:ascii="Times New Roman" w:hAnsi="Times New Roman"/>
            <w:b w:val="false"/>
            <w:i w:val="false"/>
            <w:color w:val="000000"/>
            <w:sz w:val="22"/>
          </w:rPr>
          <w:t>567—67.9</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567—67.3</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plan. </w:t>
      </w:r>
      <w:r>
        <w:rPr>
          <w:rFonts w:ascii="Times New Roman" w:hAnsi="Times New Roman"/>
          <w:b w:val="false"/>
          <w:i w:val="false"/>
          <w:color w:val="000000"/>
          <w:sz w:val="22"/>
        </w:rPr>
        <w:t xml:space="preserve">All sewage sludge generators wishing to land apply sewage sludge shall establish and maintain in writing a long-range plan for land application of sewage sludge. A copy of this plan shall be available at the facility for department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67.3(1)</w:t>
      </w:r>
      <w:r>
        <w:rPr>
          <w:rFonts w:ascii="Times New Roman" w:hAnsi="Times New Roman"/>
          <w:b w:val="false"/>
          <w:i w:val="false"/>
          <w:color w:val="000000"/>
          <w:sz w:val="22"/>
        </w:rPr>
        <w:t> </w:t>
      </w:r>
      <w:r>
        <w:rPr>
          <w:rFonts w:ascii="Times New Roman" w:hAnsi="Times New Roman"/>
          <w:b w:val="false"/>
          <w:i w:val="false"/>
          <w:color w:val="000000"/>
          <w:sz w:val="22"/>
        </w:rPr>
        <w:t>The long-range plan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Developed for a minimum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Updated annually;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Designed to ensure that land application can be conducted in accordance with the requirements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67.3(2)</w:t>
      </w:r>
      <w:r>
        <w:rPr>
          <w:rFonts w:ascii="Times New Roman" w:hAnsi="Times New Roman"/>
          <w:b w:val="false"/>
          <w:i w:val="false"/>
          <w:color w:val="000000"/>
          <w:sz w:val="22"/>
        </w:rPr>
        <w:t> </w:t>
      </w:r>
      <w:r>
        <w:rPr>
          <w:rFonts w:ascii="Times New Roman" w:hAnsi="Times New Roman"/>
          <w:b w:val="false"/>
          <w:i w:val="false"/>
          <w:color w:val="000000"/>
          <w:sz w:val="22"/>
        </w:rPr>
        <w:t>At a minimum, the long-term plan shall contain the following information in detail for the next calendar year and in general terms for the following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outline of the sewage sludge sampling schedule and procedures that will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determination of the amount of land required for proper land application of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the land areas and appropriate land application methods that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each land application area, the names of the landowners and the applicators, an identification of any legal arrangements related to the use of an area, and an outline of any restrictions or special conditions that exist regarding the use of an area for the land application of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overall land application schedule, including the areas being used, the time of year that land application will occur on each area, and the estimated application rate for each area;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determination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and capacities of the required application equipment, including an outline of how the equipment will be made available and who will be responsible for conducting land application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types and capacities of necessary sludge storage and handling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any additional sludge storage or handling facilities are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timeline to construct or obtain any required additional sludge storage, handling, or application facilities or equipment.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567—67.4</w:t>
      </w:r>
      <w:r>
        <w:rPr>
          <w:rFonts w:ascii="Times New Roman" w:hAnsi="Times New Roman"/>
          <w:b/>
          <w:i w:val="false"/>
          <w:color w:val="000000"/>
          <w:sz w:val="22"/>
        </w:rPr>
        <w:t xml:space="preserve">(455B) </w:t>
      </w:r>
      <w:r>
        <w:rPr>
          <w:rFonts w:ascii="Times New Roman" w:hAnsi="Times New Roman"/>
          <w:b/>
          <w:i w:val="false"/>
          <w:color w:val="000000"/>
          <w:sz w:val="22"/>
        </w:rPr>
        <w:t xml:space="preserve">Special 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67.4(1)</w:t>
      </w:r>
      <w:r>
        <w:rPr>
          <w:rFonts w:ascii="Times New Roman" w:hAnsi="Times New Roman"/>
          <w:b w:val="false"/>
          <w:i w:val="false"/>
          <w:color w:val="000000"/>
          <w:sz w:val="22"/>
        </w:rPr>
        <w:t> </w:t>
      </w:r>
      <w:r>
        <w:rPr>
          <w:rFonts w:ascii="Times New Roman" w:hAnsi="Times New Roman"/>
          <w:b w:val="false"/>
          <w:i/>
          <w:color w:val="000000"/>
          <w:sz w:val="22"/>
        </w:rPr>
        <w:t xml:space="preserve">Definitions in the Iowa Code. </w:t>
      </w:r>
      <w:r>
        <w:rPr>
          <w:rFonts w:ascii="Times New Roman" w:hAnsi="Times New Roman"/>
          <w:b w:val="false"/>
          <w:i w:val="false"/>
          <w:color w:val="000000"/>
          <w:sz w:val="22"/>
        </w:rPr>
        <w:t xml:space="preserve">“Sewage sludge” is defined in Iowa Code section </w:t>
      </w:r>
      <w:hyperlink r:id="rId7">
        <w:r>
          <w:rPr>
            <w:rStyle w:val="Hyperlink"/>
            <w:rFonts w:ascii="Times New Roman" w:hAnsi="Times New Roman"/>
            <w:b w:val="false"/>
            <w:i w:val="false"/>
            <w:color w:val="000000"/>
            <w:sz w:val="22"/>
          </w:rPr>
          <w:t>455B.171(34)</w:t>
        </w:r>
      </w:hyperlink>
      <w:r>
        <w:rPr>
          <w:rFonts w:ascii="Times New Roman" w:hAnsi="Times New Roman"/>
          <w:b w:val="false"/>
          <w:i w:val="false"/>
          <w:color w:val="000000"/>
          <w:sz w:val="22"/>
        </w:rPr>
        <w:t xml:space="preserve">. For the purposes of this chapter, the term includes materials derived from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67.4(2)</w:t>
      </w:r>
      <w:r>
        <w:rPr>
          <w:rFonts w:ascii="Times New Roman" w:hAnsi="Times New Roman"/>
          <w:b w:val="false"/>
          <w:i w:val="false"/>
          <w:color w:val="000000"/>
          <w:sz w:val="22"/>
        </w:rPr>
        <w:t> </w:t>
      </w:r>
      <w:r>
        <w:rPr>
          <w:rFonts w:ascii="Times New Roman" w:hAnsi="Times New Roman"/>
          <w:b w:val="false"/>
          <w:i/>
          <w:color w:val="000000"/>
          <w:sz w:val="22"/>
        </w:rPr>
        <w:t xml:space="preserve">Definitions in the CFR. </w:t>
      </w:r>
      <w:r>
        <w:rPr>
          <w:rFonts w:ascii="Times New Roman" w:hAnsi="Times New Roman"/>
          <w:b w:val="false"/>
          <w:i w:val="false"/>
          <w:color w:val="000000"/>
          <w:sz w:val="22"/>
        </w:rPr>
        <w:t>The following terms applicable to this chapter are defined in the referenced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CFR §503.9</w:t>
      </w:r>
      <w:r>
        <w:rPr>
          <w:rFonts w:ascii="Times New Roman" w:hAnsi="Times New Roman"/>
          <w:b w:val="false"/>
          <w:i w:val="false"/>
          <w:color w:val="000000"/>
          <w:sz w:val="22"/>
        </w:rPr>
        <w:t>: “dry weight basis,” “food crops,”  and “person who prepares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40 CFR §503.11</w:t>
      </w:r>
      <w:r>
        <w:rPr>
          <w:rFonts w:ascii="Times New Roman" w:hAnsi="Times New Roman"/>
          <w:b w:val="false"/>
          <w:i w:val="false"/>
          <w:color w:val="000000"/>
          <w:sz w:val="22"/>
        </w:rPr>
        <w:t>: “agronomic rate,” “annual whole sludge application rate,” “bulk sewage sludge,” and “cumulative pollutant loading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 CFR §503.31</w:t>
      </w:r>
      <w:r>
        <w:rPr>
          <w:rFonts w:ascii="Times New Roman" w:hAnsi="Times New Roman"/>
          <w:b w:val="false"/>
          <w:i w:val="false"/>
          <w:color w:val="000000"/>
          <w:sz w:val="22"/>
        </w:rPr>
        <w:t>: “land with a high potential for public exposure” and “land with a low potential for public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67.4(3)</w:t>
      </w:r>
      <w:r>
        <w:rPr>
          <w:rFonts w:ascii="Times New Roman" w:hAnsi="Times New Roman"/>
          <w:b w:val="false"/>
          <w:i w:val="false"/>
          <w:color w:val="000000"/>
          <w:sz w:val="22"/>
        </w:rPr>
        <w:t>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“sewage sludge applicator” </w:t>
      </w:r>
      <w:r>
        <w:rPr>
          <w:rFonts w:ascii="Times New Roman" w:hAnsi="Times New Roman"/>
          <w:b w:val="false"/>
          <w:i w:val="false"/>
          <w:color w:val="000000"/>
          <w:sz w:val="22"/>
        </w:rPr>
        <w:t>means any person who applies sewage sludge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 sewage sludge” </w:t>
      </w:r>
      <w:r>
        <w:rPr>
          <w:rFonts w:ascii="Times New Roman" w:hAnsi="Times New Roman"/>
          <w:b w:val="false"/>
          <w:i w:val="false"/>
          <w:color w:val="000000"/>
          <w:sz w:val="22"/>
        </w:rPr>
        <w:t xml:space="preserve">means sewage sludge that meets the criteria under </w:t>
      </w:r>
      <w:hyperlink r:id="rId8">
        <w:r>
          <w:rPr>
            <w:rStyle w:val="Hyperlink"/>
            <w:rFonts w:ascii="Times New Roman" w:hAnsi="Times New Roman"/>
            <w:b w:val="false"/>
            <w:i w:val="false"/>
            <w:color w:val="000000"/>
            <w:sz w:val="22"/>
          </w:rPr>
          <w:t>67.6(1)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II sewage sludge” </w:t>
      </w:r>
      <w:r>
        <w:rPr>
          <w:rFonts w:ascii="Times New Roman" w:hAnsi="Times New Roman"/>
          <w:b w:val="false"/>
          <w:i w:val="false"/>
          <w:color w:val="000000"/>
          <w:sz w:val="22"/>
        </w:rPr>
        <w:t xml:space="preserve">means sewage sludge that meets the criteria under </w:t>
      </w:r>
      <w:hyperlink r:id="rId9">
        <w:r>
          <w:rPr>
            <w:rStyle w:val="Hyperlink"/>
            <w:rFonts w:ascii="Times New Roman" w:hAnsi="Times New Roman"/>
            <w:b w:val="false"/>
            <w:i w:val="false"/>
            <w:color w:val="000000"/>
            <w:sz w:val="22"/>
          </w:rPr>
          <w:t>67.7(1)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III sewage sludge” </w:t>
      </w:r>
      <w:r>
        <w:rPr>
          <w:rFonts w:ascii="Times New Roman" w:hAnsi="Times New Roman"/>
          <w:b w:val="false"/>
          <w:i w:val="false"/>
          <w:color w:val="000000"/>
          <w:sz w:val="22"/>
        </w:rPr>
        <w:t>means any sewage sludge that cannot meet either Class I sewage sludge criteria or Class II sewage sludge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“sewage sludge generator” </w:t>
      </w:r>
      <w:r>
        <w:rPr>
          <w:rFonts w:ascii="Times New Roman" w:hAnsi="Times New Roman"/>
          <w:b w:val="false"/>
          <w:i w:val="false"/>
          <w:color w:val="000000"/>
          <w:sz w:val="22"/>
        </w:rPr>
        <w:t>means any person who generates sewage sludge, who derives a material from sewage sludge,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567—67.5</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requirements. </w:t>
      </w:r>
      <w:r>
        <w:rPr>
          <w:rFonts w:ascii="Times New Roman" w:hAnsi="Times New Roman"/>
          <w:b w:val="false"/>
          <w:i w:val="false"/>
          <w:color w:val="000000"/>
          <w:sz w:val="22"/>
        </w:rPr>
        <w:t>Prior to any land application of sewage sludge, a permit must be obtained by the sewage sludge generator in accordance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for the land application of sewage sludge produced by a wastewater treatment facility that has been issued a construction permit from the department will be issued concurrently and as part of an operation permit or NPDES permit. The issuance process and permit terms will be the same as those specified for NPDES permits in </w:t>
      </w:r>
      <w:hyperlink r:id="rId10">
        <w:r>
          <w:rPr>
            <w:rStyle w:val="Hyperlink"/>
            <w:rFonts w:ascii="Times New Roman" w:hAnsi="Times New Roman"/>
            <w:b w:val="false"/>
            <w:i w:val="false"/>
            <w:color w:val="000000"/>
            <w:sz w:val="22"/>
          </w:rPr>
          <w:t>567—Chapter 60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67.5(2)</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on a case-by-case basis, requests for a permit to land apply sewage sludge or any material derived from sewage sludge if the sewage sludge is produced outside of the state of Iowa or produced by a wastewater treatment plant that has not been issued a construction permit from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567—67.6</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requirements for Class 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67.6(1)</w:t>
      </w:r>
      <w:r>
        <w:rPr>
          <w:rFonts w:ascii="Times New Roman" w:hAnsi="Times New Roman"/>
          <w:b w:val="false"/>
          <w:i w:val="false"/>
          <w:color w:val="000000"/>
          <w:sz w:val="22"/>
        </w:rPr>
        <w:t> </w:t>
      </w:r>
      <w:r>
        <w:rPr>
          <w:rFonts w:ascii="Times New Roman" w:hAnsi="Times New Roman"/>
          <w:b w:val="false"/>
          <w:i/>
          <w:color w:val="000000"/>
          <w:sz w:val="22"/>
        </w:rPr>
        <w:t xml:space="preserve">Class I criteria. </w:t>
      </w:r>
      <w:r>
        <w:rPr>
          <w:rFonts w:ascii="Times New Roman" w:hAnsi="Times New Roman"/>
          <w:b w:val="false"/>
          <w:i w:val="false"/>
          <w:color w:val="000000"/>
          <w:sz w:val="22"/>
        </w:rPr>
        <w:t xml:space="preserve">Class I sewage sludge is sewage sludge that meets the pollutant concentrations in </w:t>
      </w:r>
      <w:hyperlink r:id="rId11">
        <w:r>
          <w:rPr>
            <w:rStyle w:val="Hyperlink"/>
            <w:rFonts w:ascii="Times New Roman" w:hAnsi="Times New Roman"/>
            <w:b w:val="false"/>
            <w:i w:val="false"/>
            <w:color w:val="000000"/>
            <w:sz w:val="22"/>
          </w:rPr>
          <w:t>67.6(1)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Class A pathogen reduction requirements in </w:t>
      </w:r>
      <w:hyperlink r:id="rId12">
        <w:r>
          <w:rPr>
            <w:rStyle w:val="Hyperlink"/>
            <w:rFonts w:ascii="Times New Roman" w:hAnsi="Times New Roman"/>
            <w:b w:val="false"/>
            <w:i w:val="false"/>
            <w:color w:val="000000"/>
            <w:sz w:val="22"/>
          </w:rPr>
          <w:t>67.6(1)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vector attraction reduction (VAR) requirements in </w:t>
      </w:r>
      <w:hyperlink r:id="rId13">
        <w:r>
          <w:rPr>
            <w:rStyle w:val="Hyperlink"/>
            <w:rFonts w:ascii="Times New Roman" w:hAnsi="Times New Roman"/>
            <w:b w:val="false"/>
            <w:i w:val="false"/>
            <w:color w:val="000000"/>
            <w:sz w:val="22"/>
          </w:rPr>
          <w:t>67.6(1)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I pollutant concentrations. </w:t>
      </w:r>
      <w:r>
        <w:rPr>
          <w:rFonts w:ascii="Times New Roman" w:hAnsi="Times New Roman"/>
          <w:b w:val="false"/>
          <w:i w:val="false"/>
          <w:color w:val="000000"/>
          <w:sz w:val="22"/>
        </w:rPr>
        <w:t>The concentration of each pollutant in the sewage sludge shall not exceed the concentration for the pollutant in Table 1.</w:t>
      </w:r>
    </w:p>
    <w:p>
      <w:pPr>
        <w:spacing w:before="60" w:after="0"/>
        <w:ind w:left="120"/>
        <w:jc w:val="center"/>
      </w:pPr>
      <w:r>
        <w:rPr>
          <w:rFonts w:ascii="Times New Roman" w:hAnsi="Times New Roman"/>
          <w:b/>
          <w:i w:val="false"/>
          <w:color w:val="000000"/>
          <w:sz w:val="22"/>
        </w:rPr>
        <w:t>TABLE 1—POLLUTANT CONCENTRATIONS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155"/>
        <w:gridCol w:w="7035"/>
      </w:tblGrid>
      <w:tr>
        <w:trPr>
          <w:trHeight w:val="51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20"/>
              </w:rPr>
              <w:t>Pollutant</w:t>
            </w:r>
          </w:p>
        </w:tc>
        <w:tc>
          <w:tcPr>
            <w:tcW w:w="703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Monthly average concentration in mg per kg, dry weight basis</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41</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Cadmium</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39</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Copper</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1500</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Lead</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300</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Mercury</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17</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Nickel</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420</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Selenium</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100</w:t>
            </w:r>
          </w:p>
        </w:tc>
      </w:tr>
      <w:tr>
        <w:trPr>
          <w:trHeight w:val="270" w:hRule="atLeast"/>
        </w:trPr>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Zinc</w:t>
            </w:r>
          </w:p>
        </w:tc>
        <w:tc>
          <w:tcPr>
            <w:tcW w:w="7035"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2800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I pathogen requirements (Class A). </w:t>
      </w:r>
      <w:r>
        <w:rPr>
          <w:rFonts w:ascii="Times New Roman" w:hAnsi="Times New Roman"/>
          <w:b w:val="false"/>
          <w:i w:val="false"/>
          <w:color w:val="000000"/>
          <w:sz w:val="22"/>
        </w:rPr>
        <w:t xml:space="preserve">The sewage sludge shall comply with </w:t>
      </w:r>
      <w:hyperlink r:id="rId14">
        <w:r>
          <w:rPr>
            <w:rStyle w:val="Hyperlink"/>
            <w:rFonts w:ascii="Times New Roman" w:hAnsi="Times New Roman"/>
            <w:b w:val="false"/>
            <w:i w:val="false"/>
            <w:color w:val="000000"/>
            <w:sz w:val="22"/>
          </w:rPr>
          <w:t>67.6(1)</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sewage sludge shall comply with one of the following monitoring processes. Compliance with pathogen density shall not be based on an average value. Each individual sample result shall meet the numerical pathogen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fecal coliform density in the sewage sludge shall be less than 1,000 Most Probable Number (MPN) per gram of total solids (dry weight basis),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w:t>
      </w:r>
      <w:r>
        <w:rPr>
          <w:rFonts w:ascii="Times New Roman" w:hAnsi="Times New Roman"/>
          <w:b w:val="false"/>
          <w:i/>
          <w:color w:val="000000"/>
          <w:sz w:val="22"/>
        </w:rPr>
        <w:t>Salmonella</w:t>
      </w:r>
      <w:r>
        <w:rPr>
          <w:rFonts w:ascii="Times New Roman" w:hAnsi="Times New Roman"/>
          <w:b w:val="false"/>
          <w:i w:val="false"/>
          <w:color w:val="000000"/>
          <w:sz w:val="22"/>
        </w:rPr>
        <w:t xml:space="preserve"> sp. bacteria density in the sewage sludge shall be less than three MPN per four grams of total solids (dry weight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sewage sludge shall comply with one of the following analytical and treatment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sewage sludge temperature shall be maintained at a specific value for a period of time using one of the procedures detailed below.</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7 percent or higher, the sewage sludge temperature shall be 50 degrees Celsius (°C) or higher; the time period shall be 20 minutes or longer; and the temperature and time period shall be determined using Equation 1, except when small particles of sewage sludge are heated by either warmed gases or an immiscible liquid.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7 percent or higher and small particles of sewage sludge are heated by either warmed gases or an immiscible liquid, the sewage sludge temperature shall be 50°C or higher; the time period shall be 15 seconds or longer; and the temperature and time period shall be determined using Equation 1.</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less than 7 percent and the time period is at least 15 seconds, but less than 30 minutes, the temperature and time period shall be determined using Equation 1.</w:t>
      </w:r>
    </w:p>
    <w:p>
      <w:pPr>
        <w:spacing w:before="0" w:after="0"/>
        <w:ind w:left="120"/>
        <w:jc w:val="both"/>
      </w:pPr>
      <w:r>
        <w:rPr>
          <w:rFonts w:ascii="Times New Roman" w:hAnsi="Times New Roman"/>
          <w:b w:val="false"/>
          <w:i w:val="false"/>
          <w:color w:val="000000"/>
          <w:sz w:val="22"/>
        </w:rPr>
        <w:t xml:space="preserve"> Equation 1: D = 131,700,000/10</w:t>
      </w:r>
      <w:r>
        <w:rPr>
          <w:rFonts w:ascii="Times New Roman" w:hAnsi="Times New Roman"/>
          <w:b w:val="false"/>
          <w:i w:val="false"/>
          <w:color w:val="000000"/>
          <w:sz w:val="18"/>
          <w:vertAlign w:val="superscript"/>
        </w:rPr>
        <w:t xml:space="preserve">0.1400t </w:t>
      </w:r>
    </w:p>
    <w:p>
      <w:pPr>
        <w:spacing w:before="0" w:after="0"/>
        <w:ind w:left="120"/>
        <w:jc w:val="both"/>
      </w:pPr>
      <w:r>
        <w:rPr>
          <w:rFonts w:ascii="Times New Roman" w:hAnsi="Times New Roman"/>
          <w:b w:val="false"/>
          <w:i w:val="false"/>
          <w:color w:val="000000"/>
          <w:sz w:val="22"/>
        </w:rPr>
        <w:t xml:space="preserve"> Where D = time in days; t = temperature in °C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the percent solids of the sewage sludge is less than 7 percent, the sewage sludge temperature is 50°C or higher, and the time period is 30 minutes or longer, the temperature and time period shall be determined using Equation 2.</w:t>
      </w:r>
    </w:p>
    <w:p>
      <w:pPr>
        <w:spacing w:before="0" w:after="0"/>
        <w:ind w:left="120"/>
        <w:jc w:val="both"/>
      </w:pPr>
      <w:r>
        <w:rPr>
          <w:rFonts w:ascii="Times New Roman" w:hAnsi="Times New Roman"/>
          <w:b w:val="false"/>
          <w:i w:val="false"/>
          <w:color w:val="000000"/>
          <w:sz w:val="22"/>
        </w:rPr>
        <w:t>Equation 2: D = 50,070,000/10</w:t>
      </w:r>
      <w:r>
        <w:rPr>
          <w:rFonts w:ascii="Times New Roman" w:hAnsi="Times New Roman"/>
          <w:b w:val="false"/>
          <w:i w:val="false"/>
          <w:color w:val="000000"/>
          <w:sz w:val="18"/>
          <w:vertAlign w:val="superscript"/>
        </w:rPr>
        <w:t xml:space="preserve">0.1400t </w:t>
      </w:r>
    </w:p>
    <w:p>
      <w:pPr>
        <w:spacing w:before="0" w:after="0"/>
        <w:ind w:left="120"/>
        <w:jc w:val="both"/>
      </w:pPr>
      <w:r>
        <w:rPr>
          <w:rFonts w:ascii="Times New Roman" w:hAnsi="Times New Roman"/>
          <w:b w:val="false"/>
          <w:i w:val="false"/>
          <w:color w:val="000000"/>
          <w:sz w:val="22"/>
        </w:rPr>
        <w:t>Where D = time in days; t = temperature in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sewage sludge shall meet all of the following requirements: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sludge pH shall be raised to above 12 and shall remain above 12 for 72 hours;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sludge temperature shall be above 52°C for 12 hours or longer during the period that the sludge pH is above 12;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At the end of the 72-hour period during which the sludge pH is above 12, the sludge shall be air dried to achieve a percent solids in the sludge greater than 50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 Sewage sludge treated in other known processes shall be analyzed prior to pathogen treatment to determine whether it contains enteric viruses and viable helminth ova. After pathogen treatment, the density of enteric viruses in the sewage sludge shall be less than one plaque-forming unit per four grams of total solids (dry weight basis), and the density of viable helminth ova shall be less than one per four grams of total solids (dry weight basis). Once the process has been demonstrated to achieve the required pathogen reduction, the process must be operated under the same conditions that were used during the demonstration.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Sewage sludge treated by unknown processes or by processes operating at conditions less stringent than the operating conditions at which the sewage sludge could qualify as Class I under other alternatives shall be analyzed prior to pathogen treatment to determine whether the sewage sludge contains enteric viruses and viable helminth ova. The density of enteric viruses in the sewage sludge shall be less than one plaque-forming unit per four grams of total solids (dry weight basis), and the density of viable helminth ova shall be less than one per four grams of total solids (dry weight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shall be treated in one of the Processes to Further Reduce Pathogens (PFRP) described in </w:t>
      </w:r>
      <w:hyperlink r:id="rId15">
        <w:r>
          <w:rPr>
            <w:rStyle w:val="Hyperlink"/>
            <w:rFonts w:ascii="Times New Roman" w:hAnsi="Times New Roman"/>
            <w:b w:val="false"/>
            <w:i w:val="false"/>
            <w:color w:val="000000"/>
            <w:sz w:val="22"/>
          </w:rPr>
          <w:t>67.10(2)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treated in a process that is equivalent to a PFRP,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I VAR requirements. </w:t>
      </w:r>
      <w:r>
        <w:rPr>
          <w:rFonts w:ascii="Times New Roman" w:hAnsi="Times New Roman"/>
          <w:b w:val="false"/>
          <w:i w:val="false"/>
          <w:color w:val="000000"/>
          <w:sz w:val="22"/>
        </w:rPr>
        <w:t>The sewage sludge shall meet one of the following VAR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mass of volatile solids in the sewage sludge shall be reduced by a minimum of 38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portion of the previously anaerobically digested sewage sludge shall be digested anaerobically in the laboratory in a bench-scale unit for 40 additional days at a temperature between 30°C and 37°C. If, at the end of the 40 days, the volatile solids in the sludge at the beginning of that period are reduced by less than 17 percent, VAR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portion of the previously aerobically digested sewage sludge that has 2 percent solids or less shall be digested aerobically in the laboratory in a bench-scale unit for 30 additional days at 20°C. If, at the end of the 30 days, the volatile solids in the sludge at the beginning of that period is reduced by less than 15 percent, VAR is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specific oxygen uptake rate (SOUR) for sewage sludge treated in an aerobic process shall be equal to or less than 1.5 milligrams (mg) of oxygen per hour per gram of total solids (dry weight basis) at a temperature of 20°C.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treated in an aerobic process for 14 days or longer. During that time, the sewage sludge temperature shall be higher than 40°C and the average sewage sludge temperature shall be higher than 45°C.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sewage sludge pH shall be raised to 12 or higher, measured at 25°C, by alkali addition and, without the addition of more alkali, shall remain at 12 or higher for two hours and then at 11.5 or higher for an additional 22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percent solids of sewage sludge that does not contain unstabilized solids generated in a primary wastewater treatment process shall be equal to or greater than 75 percent based on the moisture content and total solids prior to mixing with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percent solids of sewage sludge that contains unstabilized solids generated in a primary wastewater treatment process shall be equal to or greater than 90 percent based on the moisture content and total solids prior to mixing with other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injected below the land surface, and no significant amount of the sludge shall be present on the land surface within one hour after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Sewage sludge applied to the land surface or placed on a surface disposal site shall be incorporated into the soil within six hours after application to or placement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67.6(2)</w:t>
      </w:r>
      <w:r>
        <w:rPr>
          <w:rFonts w:ascii="Times New Roman" w:hAnsi="Times New Roman"/>
          <w:b w:val="false"/>
          <w:i w:val="false"/>
          <w:color w:val="000000"/>
          <w:sz w:val="22"/>
        </w:rPr>
        <w:t> </w:t>
      </w:r>
      <w:r>
        <w:rPr>
          <w:rFonts w:ascii="Times New Roman" w:hAnsi="Times New Roman"/>
          <w:b w:val="false"/>
          <w:i/>
          <w:color w:val="000000"/>
          <w:sz w:val="22"/>
        </w:rPr>
        <w:t xml:space="preserve">Class I management practices. </w:t>
      </w:r>
      <w:r>
        <w:rPr>
          <w:rFonts w:ascii="Times New Roman" w:hAnsi="Times New Roman"/>
          <w:b w:val="false"/>
          <w:i w:val="false"/>
          <w:color w:val="000000"/>
          <w:sz w:val="22"/>
        </w:rPr>
        <w:t>Class I sewage sludge may be land applied in conformance with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 I sewage sludge may be applied to a lawn or a home garden.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Class I sewage sludge shall be applied to the land at an annual whole sludge application rate that is equal to or less than the agronomic nitrogen uptake rate,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information sheet shall be provided to a person who receives Class I sewage sludge that is sold or given away in a container for land application. The information sheet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sewage sludge generator;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that land application of the sewage sludge is prohibited except in accordance with the instructions on the information sheet;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annual application rate for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67.6(3)</w:t>
      </w:r>
      <w:r>
        <w:rPr>
          <w:rFonts w:ascii="Times New Roman" w:hAnsi="Times New Roman"/>
          <w:b w:val="false"/>
          <w:i w:val="false"/>
          <w:color w:val="000000"/>
          <w:sz w:val="22"/>
        </w:rPr>
        <w:t> </w:t>
      </w:r>
      <w:r>
        <w:rPr>
          <w:rFonts w:ascii="Times New Roman" w:hAnsi="Times New Roman"/>
          <w:b w:val="false"/>
          <w:i/>
          <w:color w:val="000000"/>
          <w:sz w:val="22"/>
        </w:rPr>
        <w:t xml:space="preserve">Class I monitoring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pollutants listed in Table 1, the pathogen density requirements, and the VAR requirements shall be monitored at the frequency stated in Table 2.</w:t>
      </w:r>
    </w:p>
    <w:p>
      <w:pPr>
        <w:spacing w:before="60" w:after="0"/>
        <w:ind w:left="120"/>
        <w:jc w:val="center"/>
      </w:pPr>
      <w:r>
        <w:rPr>
          <w:rFonts w:ascii="Times New Roman" w:hAnsi="Times New Roman"/>
          <w:b/>
          <w:i w:val="false"/>
          <w:color w:val="000000"/>
          <w:sz w:val="22"/>
        </w:rPr>
        <w:t>TABLE 2—MONITORING FREQUENCY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035"/>
        <w:gridCol w:w="4155"/>
      </w:tblGrid>
      <w:tr>
        <w:trPr>
          <w:trHeight w:val="510" w:hRule="atLeast"/>
        </w:trPr>
        <w:tc>
          <w:tcPr>
            <w:tcW w:w="703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Amount of sewage sludge per 365-day period, dry</w:t>
            </w:r>
          </w:p>
          <w:p>
            <w:pPr>
              <w:spacing w:before="0" w:after="0"/>
              <w:ind w:left="160"/>
              <w:jc w:val="center"/>
            </w:pPr>
            <w:r>
              <w:rPr>
                <w:rFonts w:ascii="Times New Roman" w:hAnsi="Times New Roman"/>
                <w:b/>
                <w:i w:val="false"/>
                <w:color w:val="000000"/>
                <w:sz w:val="20"/>
              </w:rPr>
              <w:t>weight basis</w:t>
            </w:r>
          </w:p>
        </w:tc>
        <w:tc>
          <w:tcPr>
            <w:tcW w:w="4155"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Monitoring Frequency</w:t>
            </w:r>
          </w:p>
        </w:tc>
      </w:tr>
      <w:tr>
        <w:trPr>
          <w:trHeight w:val="495" w:hRule="atLeast"/>
        </w:trPr>
        <w:tc>
          <w:tcPr>
            <w:tcW w:w="70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Greater than 0 but less than 290 metric tons (mt)</w:t>
            </w:r>
            <w:r>
              <w:br/>
            </w:r>
            <w:r>
              <w:rPr>
                <w:rFonts w:ascii="Times New Roman" w:hAnsi="Times New Roman"/>
                <w:b w:val="false"/>
                <w:i w:val="false"/>
                <w:color w:val="000000"/>
                <w:sz w:val="20"/>
              </w:rPr>
              <w:t>(or 320 English tons)</w:t>
            </w:r>
          </w:p>
        </w:tc>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once per year</w:t>
            </w:r>
          </w:p>
        </w:tc>
      </w:tr>
      <w:tr>
        <w:trPr>
          <w:trHeight w:val="495" w:hRule="atLeast"/>
        </w:trPr>
        <w:tc>
          <w:tcPr>
            <w:tcW w:w="70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Equal to or greater than 290 but less than 1,500 mt</w:t>
            </w:r>
            <w:r>
              <w:br/>
            </w:r>
            <w:r>
              <w:rPr>
                <w:rFonts w:ascii="Times New Roman" w:hAnsi="Times New Roman"/>
                <w:b w:val="false"/>
                <w:i w:val="false"/>
                <w:color w:val="000000"/>
                <w:sz w:val="20"/>
              </w:rPr>
              <w:t>(320 to 1,653 English tons)</w:t>
            </w:r>
          </w:p>
        </w:tc>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once per quarter</w:t>
            </w:r>
            <w:r>
              <w:br/>
            </w:r>
            <w:r>
              <w:rPr>
                <w:rFonts w:ascii="Times New Roman" w:hAnsi="Times New Roman"/>
                <w:b w:val="false"/>
                <w:i w:val="false"/>
                <w:color w:val="000000"/>
                <w:sz w:val="20"/>
              </w:rPr>
              <w:t>(4 times per year)</w:t>
            </w:r>
          </w:p>
        </w:tc>
      </w:tr>
      <w:tr>
        <w:trPr>
          <w:trHeight w:val="495" w:hRule="atLeast"/>
        </w:trPr>
        <w:tc>
          <w:tcPr>
            <w:tcW w:w="70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Equal to or greater than 1,500 but less than 15,000 mt</w:t>
            </w:r>
            <w:r>
              <w:br/>
            </w:r>
            <w:r>
              <w:rPr>
                <w:rFonts w:ascii="Times New Roman" w:hAnsi="Times New Roman"/>
                <w:b w:val="false"/>
                <w:i w:val="false"/>
                <w:color w:val="000000"/>
                <w:sz w:val="20"/>
              </w:rPr>
              <w:t>(1,653 to 16,535 English tons)</w:t>
            </w:r>
          </w:p>
        </w:tc>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once per 60 days</w:t>
            </w:r>
            <w:r>
              <w:br/>
            </w:r>
            <w:r>
              <w:rPr>
                <w:rFonts w:ascii="Times New Roman" w:hAnsi="Times New Roman"/>
                <w:b w:val="false"/>
                <w:i w:val="false"/>
                <w:color w:val="000000"/>
                <w:sz w:val="20"/>
              </w:rPr>
              <w:t>(6 times per year)</w:t>
            </w:r>
          </w:p>
        </w:tc>
      </w:tr>
      <w:tr>
        <w:trPr>
          <w:trHeight w:val="495" w:hRule="atLeast"/>
        </w:trPr>
        <w:tc>
          <w:tcPr>
            <w:tcW w:w="703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Equal to or greater than 15,000 mt</w:t>
            </w:r>
            <w:r>
              <w:br/>
            </w:r>
            <w:r>
              <w:rPr>
                <w:rFonts w:ascii="Times New Roman" w:hAnsi="Times New Roman"/>
                <w:b w:val="false"/>
                <w:i w:val="false"/>
                <w:color w:val="000000"/>
                <w:sz w:val="20"/>
              </w:rPr>
              <w:t>(or 16,535 English tons)</w:t>
            </w:r>
          </w:p>
        </w:tc>
        <w:tc>
          <w:tcPr>
            <w:tcW w:w="415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once per month</w:t>
            </w:r>
            <w:r>
              <w:br/>
            </w:r>
            <w:r>
              <w:rPr>
                <w:rFonts w:ascii="Times New Roman" w:hAnsi="Times New Roman"/>
                <w:b w:val="false"/>
                <w:i w:val="false"/>
                <w:color w:val="000000"/>
                <w:sz w:val="20"/>
              </w:rPr>
              <w:t>(12 times per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sewage sludge has been monitored for two years, the department may reduce the monitoring frequency, but in no case shall the monitoring frequency be less than once per year when sewage sludge is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67.6(4)</w:t>
      </w:r>
      <w:r>
        <w:rPr>
          <w:rFonts w:ascii="Times New Roman" w:hAnsi="Times New Roman"/>
          <w:b w:val="false"/>
          <w:i w:val="false"/>
          <w:color w:val="000000"/>
          <w:sz w:val="22"/>
        </w:rPr>
        <w:t> </w:t>
      </w:r>
      <w:r>
        <w:rPr>
          <w:rFonts w:ascii="Times New Roman" w:hAnsi="Times New Roman"/>
          <w:b w:val="false"/>
          <w:i/>
          <w:color w:val="000000"/>
          <w:sz w:val="22"/>
        </w:rPr>
        <w:t xml:space="preserve">Class I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the generator and bulk sludge applicator of Class I sewage sludge shall develop the following information and retain it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concentration of each pollutant listed in Table 1 in the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certification statement: “I certify, under penalty of law, that the Class I sewage sludge requirements have been met. I am aware that there are significant penalties for false certification including the possibility of fine and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Descriptions of how the PFRP are met, how one of the VAR requirements is met, and how the management practices are met for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works with a design flow rate of 1 million gallons per day (mgd) or greater and treatment works that serve 10,000 people or more shall submit the above information to EPA, using EPA’s NPDES eReporting Tool (NeT), by February 19 of each year for the previous calendar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567—67.7</w:t>
      </w:r>
      <w:r>
        <w:rPr>
          <w:rFonts w:ascii="Times New Roman" w:hAnsi="Times New Roman"/>
          <w:b/>
          <w:i w:val="false"/>
          <w:color w:val="000000"/>
          <w:sz w:val="22"/>
        </w:rPr>
        <w:t xml:space="preserve">(455B) </w:t>
      </w:r>
      <w:r>
        <w:rPr>
          <w:rFonts w:ascii="Times New Roman" w:hAnsi="Times New Roman"/>
          <w:b/>
          <w:i w:val="false"/>
          <w:color w:val="000000"/>
          <w:sz w:val="22"/>
        </w:rPr>
        <w:t xml:space="preserve">Land application requirements for Class II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67.7(1)</w:t>
      </w:r>
      <w:r>
        <w:rPr>
          <w:rFonts w:ascii="Times New Roman" w:hAnsi="Times New Roman"/>
          <w:b w:val="false"/>
          <w:i w:val="false"/>
          <w:color w:val="000000"/>
          <w:sz w:val="22"/>
        </w:rPr>
        <w:t> </w:t>
      </w:r>
      <w:r>
        <w:rPr>
          <w:rFonts w:ascii="Times New Roman" w:hAnsi="Times New Roman"/>
          <w:b w:val="false"/>
          <w:i/>
          <w:color w:val="000000"/>
          <w:sz w:val="22"/>
        </w:rPr>
        <w:t xml:space="preserve">Class II criteria. </w:t>
      </w:r>
      <w:r>
        <w:rPr>
          <w:rFonts w:ascii="Times New Roman" w:hAnsi="Times New Roman"/>
          <w:b w:val="false"/>
          <w:i w:val="false"/>
          <w:color w:val="000000"/>
          <w:sz w:val="22"/>
        </w:rPr>
        <w:t xml:space="preserve">Class II sewage sludge is sewage sludge that meets the pollutant concentrations in </w:t>
      </w:r>
      <w:hyperlink r:id="rId16">
        <w:r>
          <w:rPr>
            <w:rStyle w:val="Hyperlink"/>
            <w:rFonts w:ascii="Times New Roman" w:hAnsi="Times New Roman"/>
            <w:b w:val="false"/>
            <w:i w:val="false"/>
            <w:color w:val="000000"/>
            <w:sz w:val="22"/>
          </w:rPr>
          <w:t>67.7(1)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pathogen reduction requirements in </w:t>
      </w:r>
      <w:hyperlink r:id="rId17">
        <w:r>
          <w:rPr>
            <w:rStyle w:val="Hyperlink"/>
            <w:rFonts w:ascii="Times New Roman" w:hAnsi="Times New Roman"/>
            <w:b w:val="false"/>
            <w:i w:val="false"/>
            <w:color w:val="000000"/>
            <w:sz w:val="22"/>
          </w:rPr>
          <w:t>67.7(1)</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the VAR requirements in </w:t>
      </w:r>
      <w:hyperlink r:id="rId18">
        <w:r>
          <w:rPr>
            <w:rStyle w:val="Hyperlink"/>
            <w:rFonts w:ascii="Times New Roman" w:hAnsi="Times New Roman"/>
            <w:b w:val="false"/>
            <w:i w:val="false"/>
            <w:color w:val="000000"/>
            <w:sz w:val="22"/>
          </w:rPr>
          <w:t>67.7(1)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Class II pollutant concentrations. </w:t>
      </w:r>
      <w:r>
        <w:rPr>
          <w:rFonts w:ascii="Times New Roman" w:hAnsi="Times New Roman"/>
          <w:b w:val="false"/>
          <w:i w:val="false"/>
          <w:color w:val="000000"/>
          <w:sz w:val="22"/>
        </w:rPr>
        <w:t>The concentration of any pollutant in Class II sewage sludge shall not exceed the ceiling concentration for the pollutant in Table 3.</w:t>
      </w:r>
    </w:p>
    <w:p>
      <w:pPr>
        <w:spacing w:before="60" w:after="0"/>
        <w:ind w:left="120"/>
        <w:jc w:val="center"/>
      </w:pPr>
      <w:r>
        <w:rPr>
          <w:rFonts w:ascii="Times New Roman" w:hAnsi="Times New Roman"/>
          <w:b/>
          <w:i w:val="false"/>
          <w:color w:val="000000"/>
          <w:sz w:val="22"/>
        </w:rPr>
        <w:t>TABLE 3—CEILING CONCENTRATIONS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483"/>
        <w:gridCol w:w="7707"/>
      </w:tblGrid>
      <w:tr>
        <w:trPr>
          <w:trHeight w:val="285" w:hRule="atLeast"/>
        </w:trPr>
        <w:tc>
          <w:tcPr>
            <w:tcW w:w="348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0"/>
              </w:rPr>
              <w:t>Pollutant</w:t>
            </w:r>
          </w:p>
        </w:tc>
        <w:tc>
          <w:tcPr>
            <w:tcW w:w="7707" w:type="dxa"/>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Ceiling concentration in mg per kg, dry weight basis</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75</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Cadmium</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85</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Copper</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4300</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Lead</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840</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Mercury</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57</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Molybdenum</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75</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Nickel</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420</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Selenium</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100</w:t>
            </w:r>
          </w:p>
        </w:tc>
      </w:tr>
      <w:tr>
        <w:trPr>
          <w:trHeight w:val="270" w:hRule="atLeast"/>
        </w:trPr>
        <w:tc>
          <w:tcPr>
            <w:tcW w:w="348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Zinc</w:t>
            </w:r>
          </w:p>
        </w:tc>
        <w:tc>
          <w:tcPr>
            <w:tcW w:w="7707"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7500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Class II pathogen reduction requirements. </w:t>
      </w:r>
      <w:r>
        <w:rPr>
          <w:rFonts w:ascii="Times New Roman" w:hAnsi="Times New Roman"/>
          <w:b w:val="false"/>
          <w:i w:val="false"/>
          <w:color w:val="000000"/>
          <w:sz w:val="22"/>
        </w:rPr>
        <w:t>Class II sewage sludge shall meet one of the following three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 samples of the sewage sludge shall be collected at the time of disposal, and the geometric mean of the fecal coliform density shall be less than 2,000,000 MPN per gram of total solids (dry weight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shall be treated in a PSRP described in </w:t>
      </w:r>
      <w:hyperlink r:id="rId19">
        <w:r>
          <w:rPr>
            <w:rStyle w:val="Hyperlink"/>
            <w:rFonts w:ascii="Times New Roman" w:hAnsi="Times New Roman"/>
            <w:b w:val="false"/>
            <w:i w:val="false"/>
            <w:color w:val="000000"/>
            <w:sz w:val="22"/>
          </w:rPr>
          <w:t>67.10(1)</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Sewage sludge shall be treated in a process that is equivalent to a PSRP,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II VAR requirements. </w:t>
      </w:r>
      <w:r>
        <w:rPr>
          <w:rFonts w:ascii="Times New Roman" w:hAnsi="Times New Roman"/>
          <w:b w:val="false"/>
          <w:i w:val="false"/>
          <w:color w:val="000000"/>
          <w:sz w:val="22"/>
        </w:rPr>
        <w:t xml:space="preserve">The Class II VAR requirements are the same as those for Class I sewage sludge in </w:t>
      </w:r>
      <w:hyperlink r:id="rId20">
        <w:r>
          <w:rPr>
            <w:rStyle w:val="Hyperlink"/>
            <w:rFonts w:ascii="Times New Roman" w:hAnsi="Times New Roman"/>
            <w:b w:val="false"/>
            <w:i w:val="false"/>
            <w:color w:val="000000"/>
            <w:sz w:val="22"/>
          </w:rPr>
          <w:t>67.6(1)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67.7(2)</w:t>
      </w:r>
      <w:r>
        <w:rPr>
          <w:rFonts w:ascii="Times New Roman" w:hAnsi="Times New Roman"/>
          <w:b w:val="false"/>
          <w:i w:val="false"/>
          <w:color w:val="000000"/>
          <w:sz w:val="22"/>
        </w:rPr>
        <w:t> </w:t>
      </w:r>
      <w:r>
        <w:rPr>
          <w:rFonts w:ascii="Times New Roman" w:hAnsi="Times New Roman"/>
          <w:b w:val="false"/>
          <w:i/>
          <w:color w:val="000000"/>
          <w:sz w:val="22"/>
        </w:rPr>
        <w:t xml:space="preserve">Class II management practices. </w:t>
      </w:r>
      <w:r>
        <w:rPr>
          <w:rFonts w:ascii="Times New Roman" w:hAnsi="Times New Roman"/>
          <w:b w:val="false"/>
          <w:i w:val="false"/>
          <w:color w:val="000000"/>
          <w:sz w:val="22"/>
        </w:rPr>
        <w:t>Class II sewage sludge may be land applied in conformance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II sewage sludge shall not be land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 lawn or a home garden;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likely to adversely affect a threatened or endangered species listed under </w:t>
      </w:r>
      <w:r>
        <w:rPr>
          <w:rFonts w:ascii="Times New Roman" w:hAnsi="Times New Roman"/>
          <w:b w:val="false"/>
          <w:i w:val="false"/>
          <w:color w:val="000000"/>
          <w:sz w:val="22"/>
        </w:rPr>
        <w:t>section 4 of the Endangered Species Act</w:t>
      </w:r>
      <w:r>
        <w:rPr>
          <w:rFonts w:ascii="Times New Roman" w:hAnsi="Times New Roman"/>
          <w:b w:val="false"/>
          <w:i w:val="false"/>
          <w:color w:val="000000"/>
          <w:sz w:val="22"/>
        </w:rPr>
        <w:t xml:space="preserve">, </w:t>
      </w:r>
      <w:r>
        <w:rPr>
          <w:rFonts w:ascii="Times New Roman" w:hAnsi="Times New Roman"/>
          <w:b w:val="false"/>
          <w:i w:val="false"/>
          <w:color w:val="000000"/>
          <w:sz w:val="22"/>
        </w:rPr>
        <w:t>16 U.S.C. 1533</w:t>
      </w:r>
      <w:r>
        <w:rPr>
          <w:rFonts w:ascii="Times New Roman" w:hAnsi="Times New Roman"/>
          <w:b w:val="false"/>
          <w:i w:val="false"/>
          <w:color w:val="000000"/>
          <w:sz w:val="22"/>
        </w:rPr>
        <w:t>, effective December 27, 2022, or the species’ designated critical habitat.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application sites accepting Class II sewage sludge not meeting pollutant concentrations listed in Table 1 in </w:t>
      </w:r>
      <w:hyperlink r:id="rId21">
        <w:r>
          <w:rPr>
            <w:rStyle w:val="Hyperlink"/>
            <w:rFonts w:ascii="Times New Roman" w:hAnsi="Times New Roman"/>
            <w:b w:val="false"/>
            <w:i w:val="false"/>
            <w:color w:val="000000"/>
            <w:sz w:val="22"/>
          </w:rPr>
          <w:t>67.6(1)</w:t>
        </w:r>
      </w:hyperlink>
      <w:r>
        <w:rPr>
          <w:rFonts w:ascii="Times New Roman" w:hAnsi="Times New Roman"/>
          <w:b w:val="false"/>
          <w:i w:val="false"/>
          <w:color w:val="000000"/>
          <w:sz w:val="22"/>
        </w:rPr>
        <w:t xml:space="preserve"> are subject to the cumulative pollutant loading rates listed in Table 4.</w:t>
      </w:r>
    </w:p>
    <w:p>
      <w:pPr>
        <w:spacing w:before="60" w:after="0"/>
        <w:ind w:left="120"/>
        <w:jc w:val="center"/>
      </w:pPr>
      <w:r>
        <w:rPr>
          <w:rFonts w:ascii="Times New Roman" w:hAnsi="Times New Roman"/>
          <w:b/>
          <w:i w:val="false"/>
          <w:color w:val="000000"/>
          <w:sz w:val="22"/>
        </w:rPr>
        <w:t>TABLE 4—CUMULATIVE POLLUTANT LOADING RATES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090"/>
        <w:gridCol w:w="4050"/>
        <w:gridCol w:w="4050"/>
      </w:tblGrid>
      <w:tr>
        <w:trPr>
          <w:trHeight w:val="435" w:hRule="atLeast"/>
        </w:trPr>
        <w:tc>
          <w:tcPr>
            <w:tcW w:w="3090" w:type="dxa"/>
            <w:vMerge w:val="restart"/>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20"/>
              </w:rPr>
              <w:t>Pollutant</w:t>
            </w:r>
          </w:p>
        </w:tc>
        <w:tc>
          <w:tcPr>
            <w:tcW w:w="0" w:type="auto"/>
            <w:gridSpan w:val="2"/>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Cumulative Pollutant Loading Rate</w:t>
            </w:r>
          </w:p>
        </w:tc>
      </w:tr>
      <w:tr>
        <w:trPr>
          <w:trHeight w:val="285" w:hRule="atLeast"/>
        </w:trPr>
        <w:tc>
          <w:tcPr>
            <w:tcW w:w="0" w:type="auto"/>
            <w:vMerge/>
            <w:tcBorders>
              <w:top w:val="nil"/>
              <w:bottom w:val="single" w:color="000000" w:sz="8"/>
            </w:tcBorders>
          </w:tcPr>
          <w:p/>
        </w:tc>
        <w:tc>
          <w:tcPr>
            <w:tcW w:w="40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kg per hectare</w:t>
            </w:r>
          </w:p>
        </w:tc>
        <w:tc>
          <w:tcPr>
            <w:tcW w:w="405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pounds per acre</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Arsenic</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41</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36</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Cadmium</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39</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34</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Copper</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1500</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1335</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Lead</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300</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267</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Mercury</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17</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15</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Nickel</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420</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373</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Selenium</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100</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89</w:t>
            </w:r>
          </w:p>
        </w:tc>
      </w:tr>
      <w:tr>
        <w:trPr>
          <w:trHeight w:val="270" w:hRule="atLeast"/>
        </w:trPr>
        <w:tc>
          <w:tcPr>
            <w:tcW w:w="30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Zinc</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2800</w:t>
            </w:r>
          </w:p>
        </w:tc>
        <w:tc>
          <w:tcPr>
            <w:tcW w:w="4050"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2490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Class II </w:t>
      </w:r>
      <w:r>
        <w:rPr>
          <w:rFonts w:ascii="Times New Roman" w:hAnsi="Times New Roman"/>
          <w:b w:val="false"/>
          <w:i w:val="false"/>
          <w:color w:val="000000"/>
          <w:sz w:val="22"/>
        </w:rPr>
        <w:t xml:space="preserve">sewage sludge shall be land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an annual whole sludge application rate that is equal to or less than the agronomic nitrogen uptake rate, unless otherwise specified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Only to soils classified as acceptable throughout the top five feet of soil profile. Sewage sludge shall not be applied to soils classified as sand, loamy sand, or silt. The acceptability of a soil shall be determined using the USDA soil classifications.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application sites shall have soil pH maintained above 6.0, unless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Crops prefer soils with lower pH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sludge meets the pollution concentrations contained in Table 1;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site does not exceed calcium carbonate equivalent levels according to sound farm management practices.</w:t>
      </w:r>
    </w:p>
    <w:p>
      <w:pPr>
        <w:spacing w:before="0" w:after="0"/>
        <w:ind w:left="120"/>
        <w:jc w:val="both"/>
      </w:pPr>
      <w:r>
        <w:rPr>
          <w:rFonts w:ascii="Times New Roman" w:hAnsi="Times New Roman"/>
          <w:b w:val="false"/>
          <w:i w:val="false"/>
          <w:color w:val="000000"/>
          <w:sz w:val="22"/>
        </w:rPr>
        <w:t xml:space="preserve">If the soil pH is below 6.0, agricultural lime can be used to increase the pH to an acceptable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sewage sludge is applied to land on which the soil loss exceeds the soil loss limits established by the county soil conservation district, the sludge shall be injected on the contour or shall be applied to the surface and mechanically incorporated into soil within 48 hours of application. Sewage sludge shall not be applied to ground having greater than 9 percent slope unless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Sewage sludge application on frozen or snow-covered ground should be avoided unless special precautions are taken, such as proven farm management practices to avoid runoff. If application on frozen or snow-covered ground is necessary, it shall be limited to land areas of less than 5 percent slope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accordance with Table I in </w:t>
      </w:r>
      <w:hyperlink r:id="rId22">
        <w:r>
          <w:rPr>
            <w:rStyle w:val="Hyperlink"/>
            <w:rFonts w:ascii="Times New Roman" w:hAnsi="Times New Roman"/>
            <w:b w:val="false"/>
            <w:i w:val="false"/>
            <w:color w:val="000000"/>
            <w:sz w:val="22"/>
          </w:rPr>
          <w:t>567—paragraph 60.2(2)</w:t>
        </w:r>
        <w:r>
          <w:rPr>
            <w:rFonts w:ascii="Times New Roman" w:hAnsi="Times New Roman"/>
            <w:b w:val="false"/>
            <w:i/>
            <w:color w:val="000000"/>
            <w:sz w:val="22"/>
          </w:rPr>
          <w:t>“c,”</w:t>
        </w:r>
      </w:hyperlink>
      <w:r>
        <w:rPr>
          <w:rFonts w:ascii="Times New Roman" w:hAnsi="Times New Roman"/>
          <w:b w:val="false"/>
          <w:i w:val="false"/>
          <w:color w:val="000000"/>
          <w:sz w:val="22"/>
        </w:rPr>
        <w:t xml:space="preserve"> sewage sludge shall not be applied to land that is 35 feet or less from an open waterway. If sewage sludge is applied within 200 feet upgradient of a stream, lake, sinkhole, or tile line surface intake, it shall be injected or applied to the surface and mechanically incorporated into the soil within 48 hours of application unless otherwise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sewage sludge is applied to land subject to flooding more frequently than once in ten years, the sludge shall be injected or shall be applied to the surface and mechanically incorporated into the soil within 48 hours. Information on which land is subject to flooding more frequently than once in ten years is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Sewage sludge shall not be applied within 200 feet of an occupied residence or any well. Distances may be reduced to a minimum of 35 feet with the written agreement of both the well or residence owner and, in the case of residences, the occupant and an approved farm management plan that addresses soil erodibility, harvest residuals, buffer strips, and other sound farm management practices. The farm management plan shall be approved by the local soil conservation district in accordance with rules implementing Iowa Code sections </w:t>
      </w:r>
      <w:hyperlink r:id="rId23">
        <w:r>
          <w:rPr>
            <w:rStyle w:val="Hyperlink"/>
            <w:rFonts w:ascii="Times New Roman" w:hAnsi="Times New Roman"/>
            <w:b w:val="false"/>
            <w:i w:val="false"/>
            <w:color w:val="000000"/>
            <w:sz w:val="22"/>
          </w:rPr>
          <w:t>161A.42</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161A.51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land application of sewage sludge, all of the following restrictions shall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Food crops with harvested parts that touch the sewage sludge/soil mixture and that are totally above the land surface shall not be harvested for 14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Food crops, feed crops, and fiber crops shall not be harvested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Animals shall not be allowed to graze on the land for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Turf grown on land where sewage sludge is applied shall not be harvested for one year after application when the harvested turf is placed on either land with a high potential for public exposure or a lawn, unless otherwise specified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Public access to land with a high potential for public exposure shall be restricted for one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 Public access to land with a low potential for public exposure shall be restricted for 30 days.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When required by the director, groundwater monitoring wells and surface monitoring points shall be installed and a monitoring program implemented. Samples must be analyzed by a laboratory that is equipped and competent to perform the required tests. The results shall be forwarded to the department on a stipulated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sewage sludge generator shall provide information necessary to comply with the requirements of this chapter to the sewage sludge applicator and landowner.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sewage sludge applicator shall provide written notice to the department prior to the initial application of sewage sludge.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location, by legal description, of the land application 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NPDES permit number (if appropriate) of the landowner, sewage sludge generator, and applicator.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67.7(3)</w:t>
      </w:r>
      <w:r>
        <w:rPr>
          <w:rFonts w:ascii="Times New Roman" w:hAnsi="Times New Roman"/>
          <w:b w:val="false"/>
          <w:i w:val="false"/>
          <w:color w:val="000000"/>
          <w:sz w:val="22"/>
        </w:rPr>
        <w:t> </w:t>
      </w:r>
      <w:r>
        <w:rPr>
          <w:rFonts w:ascii="Times New Roman" w:hAnsi="Times New Roman"/>
          <w:b w:val="false"/>
          <w:i/>
          <w:color w:val="000000"/>
          <w:sz w:val="22"/>
        </w:rPr>
        <w:t xml:space="preserve">Class II monitoring frequency.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pollutants listed in Table 3, the pathogen density requirements, and the VAR requirements shall be monitored at the frequency stated in Table 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Class II sewage sludge has been monitored for two years, the department may reduce the monitoring frequency, but in no case shall the monitoring frequency be less than once per year when sewage sludge is land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67.7(4)</w:t>
      </w:r>
      <w:r>
        <w:rPr>
          <w:rFonts w:ascii="Times New Roman" w:hAnsi="Times New Roman"/>
          <w:b w:val="false"/>
          <w:i w:val="false"/>
          <w:color w:val="000000"/>
          <w:sz w:val="22"/>
        </w:rPr>
        <w:t> </w:t>
      </w:r>
      <w:r>
        <w:rPr>
          <w:rFonts w:ascii="Times New Roman" w:hAnsi="Times New Roman"/>
          <w:b w:val="false"/>
          <w:i/>
          <w:color w:val="000000"/>
          <w:sz w:val="22"/>
        </w:rPr>
        <w:t xml:space="preserve">Class II 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Both the generator and applicator of Class II sewage sludge shall develop all of the following information and retain it for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concentration of each pollutant listed in Table 3 in the sewage sludge.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following certification statement: “I certify, under penalty of law, that the Class II sewage sludge requirements have been met. I am aware that there are significant penalties for false certification including the possibility of fine and imprisonment.”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PSRP and VAR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management practices for Class II sewage sludge are met for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and surface area of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and time of sewage sludge application at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If subjected to cumulative loading limits, the amount and cumulative amount of each pollutant listed in Table 4 of </w:t>
      </w:r>
      <w:hyperlink r:id="rId25">
        <w:r>
          <w:rPr>
            <w:rStyle w:val="Hyperlink"/>
            <w:rFonts w:ascii="Times New Roman" w:hAnsi="Times New Roman"/>
            <w:b w:val="false"/>
            <w:i w:val="false"/>
            <w:color w:val="000000"/>
            <w:sz w:val="22"/>
          </w:rPr>
          <w:t>67.7(2)</w:t>
        </w:r>
        <w:r>
          <w:rPr>
            <w:rFonts w:ascii="Times New Roman" w:hAnsi="Times New Roman"/>
            <w:b w:val="false"/>
            <w:i/>
            <w:color w:val="000000"/>
            <w:sz w:val="22"/>
          </w:rPr>
          <w:t>“b”</w:t>
        </w:r>
      </w:hyperlink>
      <w:r>
        <w:rPr>
          <w:rFonts w:ascii="Times New Roman" w:hAnsi="Times New Roman"/>
          <w:b w:val="false"/>
          <w:i w:val="false"/>
          <w:color w:val="000000"/>
          <w:sz w:val="22"/>
        </w:rPr>
        <w:t xml:space="preserve"> in the sewage sludge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amount of sewage sludge (i.e., metric tons) applied to each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Treatment works with a design flow rate of 1 mgd or greater and treatment works that serve 10,000 people or more shall submit the above information to EPA, using EPA’s NPDES eReporting Tool (NeT), by February 19 of each year for the previous calendar year. In addition, a supplemental sewage sludge report that includes the land application information listed in </w:t>
      </w:r>
      <w:hyperlink r:id="rId26">
        <w:r>
          <w:rPr>
            <w:rStyle w:val="Hyperlink"/>
            <w:rFonts w:ascii="Times New Roman" w:hAnsi="Times New Roman"/>
            <w:b w:val="false"/>
            <w:i w:val="false"/>
            <w:color w:val="000000"/>
            <w:sz w:val="22"/>
          </w:rPr>
          <w:t>67.7(4)</w:t>
        </w:r>
        <w:r>
          <w:rPr>
            <w:rFonts w:ascii="Times New Roman" w:hAnsi="Times New Roman"/>
            <w:b w:val="false"/>
            <w:i/>
            <w:color w:val="000000"/>
            <w:sz w:val="22"/>
          </w:rPr>
          <w:t>“a”</w:t>
        </w:r>
        <w:r>
          <w:rPr>
            <w:rFonts w:ascii="Times New Roman" w:hAnsi="Times New Roman"/>
            <w:b w:val="false"/>
            <w:i w:val="false"/>
            <w:color w:val="000000"/>
            <w:sz w:val="22"/>
          </w:rPr>
          <w:t>(6)</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“a”</w:t>
      </w:r>
      <w:r>
        <w:rPr>
          <w:rFonts w:ascii="Times New Roman" w:hAnsi="Times New Roman"/>
          <w:b w:val="false"/>
          <w:i w:val="false"/>
          <w:color w:val="000000"/>
          <w:sz w:val="22"/>
        </w:rPr>
        <w:t xml:space="preserve">(9) shall be submitted to the department by the same due date.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567—67.8</w:t>
      </w:r>
      <w:r>
        <w:rPr>
          <w:rFonts w:ascii="Times New Roman" w:hAnsi="Times New Roman"/>
          <w:b/>
          <w:i w:val="false"/>
          <w:color w:val="000000"/>
          <w:sz w:val="22"/>
        </w:rPr>
        <w:t xml:space="preserve">(455B) </w:t>
      </w:r>
      <w:r>
        <w:rPr>
          <w:rFonts w:ascii="Times New Roman" w:hAnsi="Times New Roman"/>
          <w:b/>
          <w:i w:val="false"/>
          <w:color w:val="000000"/>
          <w:sz w:val="22"/>
        </w:rPr>
        <w:t xml:space="preserve">Class III sewage sludge.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67.8(1)</w:t>
      </w:r>
      <w:r>
        <w:rPr>
          <w:rFonts w:ascii="Times New Roman" w:hAnsi="Times New Roman"/>
          <w:b w:val="false"/>
          <w:i w:val="false"/>
          <w:color w:val="000000"/>
          <w:sz w:val="22"/>
        </w:rPr>
        <w:t> </w:t>
      </w:r>
      <w:r>
        <w:rPr>
          <w:rFonts w:ascii="Times New Roman" w:hAnsi="Times New Roman"/>
          <w:b w:val="false"/>
          <w:i w:val="false"/>
          <w:color w:val="000000"/>
          <w:sz w:val="22"/>
        </w:rPr>
        <w:t>Class III sewage sludge is any sewage sludge that cannot meet either Class I or Class II sewage sludge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67.8(2)</w:t>
      </w:r>
      <w:r>
        <w:rPr>
          <w:rFonts w:ascii="Times New Roman" w:hAnsi="Times New Roman"/>
          <w:b w:val="false"/>
          <w:i w:val="false"/>
          <w:color w:val="000000"/>
          <w:sz w:val="22"/>
        </w:rPr>
        <w:t> </w:t>
      </w:r>
      <w:r>
        <w:rPr>
          <w:rFonts w:ascii="Times New Roman" w:hAnsi="Times New Roman"/>
          <w:b w:val="false"/>
          <w:i w:val="false"/>
          <w:color w:val="000000"/>
          <w:sz w:val="22"/>
        </w:rPr>
        <w:t>Class III sewage sludge shall not be utilized for beneficial use for land application as specified in the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67.8(3)</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III sewage sludge shall be disposed according to </w:t>
      </w:r>
      <w:r>
        <w:rPr>
          <w:rFonts w:ascii="Times New Roman" w:hAnsi="Times New Roman"/>
          <w:b w:val="false"/>
          <w:i w:val="false"/>
          <w:color w:val="000000"/>
          <w:sz w:val="22"/>
        </w:rPr>
        <w:t>40 CFR Part 503</w:t>
      </w:r>
      <w:r>
        <w:rPr>
          <w:rFonts w:ascii="Times New Roman" w:hAnsi="Times New Roman"/>
          <w:b w:val="false"/>
          <w:i w:val="false"/>
          <w:color w:val="000000"/>
          <w:sz w:val="22"/>
        </w:rPr>
        <w:t xml:space="preserve">, Subpart C, “Surface Disposal,” or according to </w:t>
      </w:r>
      <w:r>
        <w:rPr>
          <w:rFonts w:ascii="Times New Roman" w:hAnsi="Times New Roman"/>
          <w:b w:val="false"/>
          <w:i w:val="false"/>
          <w:color w:val="000000"/>
          <w:sz w:val="22"/>
        </w:rPr>
        <w:t>40 CFR Part 503</w:t>
      </w:r>
      <w:r>
        <w:rPr>
          <w:rFonts w:ascii="Times New Roman" w:hAnsi="Times New Roman"/>
          <w:b w:val="false"/>
          <w:i w:val="false"/>
          <w:color w:val="000000"/>
          <w:sz w:val="22"/>
        </w:rPr>
        <w:t>, Subpart E, “Incineration.”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567—67.9</w:t>
      </w:r>
      <w:r>
        <w:rPr>
          <w:rFonts w:ascii="Times New Roman" w:hAnsi="Times New Roman"/>
          <w:b/>
          <w:i w:val="false"/>
          <w:color w:val="000000"/>
          <w:sz w:val="22"/>
        </w:rPr>
        <w:t xml:space="preserve">(455B) </w:t>
      </w:r>
      <w:r>
        <w:rPr>
          <w:rFonts w:ascii="Times New Roman" w:hAnsi="Times New Roman"/>
          <w:b/>
          <w:i w:val="false"/>
          <w:color w:val="000000"/>
          <w:sz w:val="22"/>
        </w:rPr>
        <w:t xml:space="preserve">Sampling and analytical methods.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Representative samples of sewage sludge that are applied to the land shall be collected and analyzed. The methods and calculation procedures listed below shall be used to analyze samples and to calculate the percent of volatile solids reduction.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67.9(2)</w:t>
      </w:r>
      <w:r>
        <w:rPr>
          <w:rFonts w:ascii="Times New Roman" w:hAnsi="Times New Roman"/>
          <w:b w:val="false"/>
          <w:i w:val="false"/>
          <w:color w:val="000000"/>
          <w:sz w:val="22"/>
        </w:rPr>
        <w:t> </w:t>
      </w:r>
      <w:r>
        <w:rPr>
          <w:rFonts w:ascii="Times New Roman" w:hAnsi="Times New Roman"/>
          <w:b w:val="false"/>
          <w:i/>
          <w:color w:val="000000"/>
          <w:sz w:val="22"/>
        </w:rPr>
        <w:t xml:space="preserve">Enteric viruses. </w:t>
      </w:r>
      <w:r>
        <w:rPr>
          <w:rFonts w:ascii="Times New Roman" w:hAnsi="Times New Roman"/>
          <w:b w:val="false"/>
          <w:i w:val="false"/>
          <w:color w:val="000000"/>
          <w:sz w:val="22"/>
        </w:rPr>
        <w:t>40 CFR §503.8(b)</w:t>
      </w:r>
      <w:r>
        <w:rPr>
          <w:rFonts w:ascii="Times New Roman" w:hAnsi="Times New Roman"/>
          <w:b w:val="false"/>
          <w:i w:val="false"/>
          <w:color w:val="000000"/>
          <w:sz w:val="22"/>
        </w:rPr>
        <w:t>(1)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67.9(3)</w:t>
      </w:r>
      <w:r>
        <w:rPr>
          <w:rFonts w:ascii="Times New Roman" w:hAnsi="Times New Roman"/>
          <w:b w:val="false"/>
          <w:i w:val="false"/>
          <w:color w:val="000000"/>
          <w:sz w:val="22"/>
        </w:rPr>
        <w:t> </w:t>
      </w:r>
      <w:r>
        <w:rPr>
          <w:rFonts w:ascii="Times New Roman" w:hAnsi="Times New Roman"/>
          <w:b w:val="false"/>
          <w:i/>
          <w:color w:val="000000"/>
          <w:sz w:val="22"/>
        </w:rPr>
        <w:t xml:space="preserve">Fecal coliform.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CFR §503.8(b)</w:t>
      </w:r>
      <w:r>
        <w:rPr>
          <w:rFonts w:ascii="Times New Roman" w:hAnsi="Times New Roman"/>
          <w:b w:val="false"/>
          <w:i w:val="false"/>
          <w:color w:val="000000"/>
          <w:sz w:val="22"/>
        </w:rPr>
        <w:t>(2)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EPA Method 1680: Fecal Coliforms in Sewage Sludge (Biosolids) by Multiple-Tube Fermentation using Lauryl Tryptose Broth (LBT) and EC Medium, EPA-821-R-14-009, September 2014.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EPA Method 1681: Fecal Coliforms in Sewage Sludge (Biosolids) by Multiple-Tube Fermentation using A-1 medium, EPA-821-R-06-013, July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67.9(4)</w:t>
      </w:r>
      <w:r>
        <w:rPr>
          <w:rFonts w:ascii="Times New Roman" w:hAnsi="Times New Roman"/>
          <w:b w:val="false"/>
          <w:i w:val="false"/>
          <w:color w:val="000000"/>
          <w:sz w:val="22"/>
        </w:rPr>
        <w:t> </w:t>
      </w:r>
      <w:r>
        <w:rPr>
          <w:rFonts w:ascii="Times New Roman" w:hAnsi="Times New Roman"/>
          <w:b w:val="false"/>
          <w:i/>
          <w:color w:val="000000"/>
          <w:sz w:val="22"/>
        </w:rPr>
        <w:t xml:space="preserve">Helminth ova. </w:t>
      </w:r>
      <w:r>
        <w:rPr>
          <w:rFonts w:ascii="Times New Roman" w:hAnsi="Times New Roman"/>
          <w:b w:val="false"/>
          <w:i w:val="false"/>
          <w:color w:val="000000"/>
          <w:sz w:val="22"/>
        </w:rPr>
        <w:t>40 CFR §503.8(b)</w:t>
      </w:r>
      <w:r>
        <w:rPr>
          <w:rFonts w:ascii="Times New Roman" w:hAnsi="Times New Roman"/>
          <w:b w:val="false"/>
          <w:i w:val="false"/>
          <w:color w:val="000000"/>
          <w:sz w:val="22"/>
        </w:rPr>
        <w:t>(3)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67.9(5)</w:t>
      </w:r>
      <w:r>
        <w:rPr>
          <w:rFonts w:ascii="Times New Roman" w:hAnsi="Times New Roman"/>
          <w:b w:val="false"/>
          <w:i w:val="false"/>
          <w:color w:val="000000"/>
          <w:sz w:val="22"/>
        </w:rPr>
        <w:t> </w:t>
      </w:r>
      <w:r>
        <w:rPr>
          <w:rFonts w:ascii="Times New Roman" w:hAnsi="Times New Roman"/>
          <w:b w:val="false"/>
          <w:i/>
          <w:color w:val="000000"/>
          <w:sz w:val="22"/>
        </w:rPr>
        <w:t xml:space="preserve">Inorganic pollutants.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Metals. </w:t>
      </w:r>
      <w:r>
        <w:rPr>
          <w:rFonts w:ascii="Times New Roman" w:hAnsi="Times New Roman"/>
          <w:b w:val="false"/>
          <w:i w:val="false"/>
          <w:color w:val="000000"/>
          <w:sz w:val="22"/>
        </w:rPr>
        <w:t>40 CFR §503.8(b)</w:t>
      </w:r>
      <w:r>
        <w:rPr>
          <w:rFonts w:ascii="Times New Roman" w:hAnsi="Times New Roman"/>
          <w:b w:val="false"/>
          <w:i w:val="false"/>
          <w:color w:val="000000"/>
          <w:sz w:val="22"/>
        </w:rPr>
        <w:t>(4)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Nonmetals. </w:t>
      </w:r>
      <w:r>
        <w:rPr>
          <w:rFonts w:ascii="Times New Roman" w:hAnsi="Times New Roman"/>
          <w:b w:val="false"/>
          <w:i w:val="false"/>
          <w:color w:val="000000"/>
          <w:sz w:val="22"/>
        </w:rPr>
        <w:t xml:space="preserve">For nonmetals not identified elsewhere in this chapter, methods listed in </w:t>
      </w:r>
      <w:hyperlink r:id="rId27">
        <w:r>
          <w:rPr>
            <w:rStyle w:val="Hyperlink"/>
            <w:rFonts w:ascii="Times New Roman" w:hAnsi="Times New Roman"/>
            <w:b w:val="false"/>
            <w:i w:val="false"/>
            <w:color w:val="000000"/>
            <w:sz w:val="22"/>
          </w:rPr>
          <w:t>567—paragraph 83.5(1)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67.9(6)</w:t>
      </w:r>
      <w:r>
        <w:rPr>
          <w:rFonts w:ascii="Times New Roman" w:hAnsi="Times New Roman"/>
          <w:b w:val="false"/>
          <w:i w:val="false"/>
          <w:color w:val="000000"/>
          <w:sz w:val="22"/>
        </w:rPr>
        <w:t> </w:t>
      </w:r>
      <w:r>
        <w:rPr>
          <w:rFonts w:ascii="Times New Roman" w:hAnsi="Times New Roman"/>
          <w:b w:val="false"/>
          <w:i/>
          <w:color w:val="000000"/>
          <w:sz w:val="22"/>
        </w:rPr>
        <w:t xml:space="preserve">Salmonella sp. bacteria.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40 CFR §503.8(b)</w:t>
      </w:r>
      <w:r>
        <w:rPr>
          <w:rFonts w:ascii="Times New Roman" w:hAnsi="Times New Roman"/>
          <w:b w:val="false"/>
          <w:i w:val="false"/>
          <w:color w:val="000000"/>
          <w:sz w:val="22"/>
        </w:rPr>
        <w:t>(5)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EPA Method 1682: </w:t>
      </w:r>
      <w:r>
        <w:rPr>
          <w:rFonts w:ascii="Times New Roman" w:hAnsi="Times New Roman"/>
          <w:b w:val="false"/>
          <w:i/>
          <w:color w:val="000000"/>
          <w:sz w:val="22"/>
        </w:rPr>
        <w:t>Salmonella</w:t>
      </w:r>
      <w:r>
        <w:rPr>
          <w:rFonts w:ascii="Times New Roman" w:hAnsi="Times New Roman"/>
          <w:b w:val="false"/>
          <w:i w:val="false"/>
          <w:color w:val="000000"/>
          <w:sz w:val="22"/>
        </w:rPr>
        <w:t xml:space="preserve"> in Sewage Sludge (Biosolids) by Modified Semisolid Rappaport-Vassiliadis (MSRV) Medium, EPA-821-R-06-14, July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67.9(7)</w:t>
      </w:r>
      <w:r>
        <w:rPr>
          <w:rFonts w:ascii="Times New Roman" w:hAnsi="Times New Roman"/>
          <w:b w:val="false"/>
          <w:i w:val="false"/>
          <w:color w:val="000000"/>
          <w:sz w:val="22"/>
        </w:rPr>
        <w:t> </w:t>
      </w:r>
      <w:r>
        <w:rPr>
          <w:rFonts w:ascii="Times New Roman" w:hAnsi="Times New Roman"/>
          <w:b w:val="false"/>
          <w:i/>
          <w:color w:val="000000"/>
          <w:sz w:val="22"/>
        </w:rPr>
        <w:t xml:space="preserve">Specific oxygen uptake rate. </w:t>
      </w:r>
      <w:r>
        <w:rPr>
          <w:rFonts w:ascii="Times New Roman" w:hAnsi="Times New Roman"/>
          <w:b w:val="false"/>
          <w:i w:val="false"/>
          <w:color w:val="000000"/>
          <w:sz w:val="22"/>
        </w:rPr>
        <w:t>40 CFR §503.8(b)</w:t>
      </w:r>
      <w:r>
        <w:rPr>
          <w:rFonts w:ascii="Times New Roman" w:hAnsi="Times New Roman"/>
          <w:b w:val="false"/>
          <w:i w:val="false"/>
          <w:color w:val="000000"/>
          <w:sz w:val="22"/>
        </w:rPr>
        <w:t>(6)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67.9(8)</w:t>
      </w:r>
      <w:r>
        <w:rPr>
          <w:rFonts w:ascii="Times New Roman" w:hAnsi="Times New Roman"/>
          <w:b w:val="false"/>
          <w:i w:val="false"/>
          <w:color w:val="000000"/>
          <w:sz w:val="22"/>
        </w:rPr>
        <w:t> </w:t>
      </w:r>
      <w:r>
        <w:rPr>
          <w:rFonts w:ascii="Times New Roman" w:hAnsi="Times New Roman"/>
          <w:b w:val="false"/>
          <w:i/>
          <w:color w:val="000000"/>
          <w:sz w:val="22"/>
        </w:rPr>
        <w:t xml:space="preserve">Total, fixed, and volatile solids. </w:t>
      </w:r>
      <w:r>
        <w:rPr>
          <w:rFonts w:ascii="Times New Roman" w:hAnsi="Times New Roman"/>
          <w:b w:val="false"/>
          <w:i w:val="false"/>
          <w:color w:val="000000"/>
          <w:sz w:val="22"/>
        </w:rPr>
        <w:t>40 CFR §503.8(b)</w:t>
      </w:r>
      <w:r>
        <w:rPr>
          <w:rFonts w:ascii="Times New Roman" w:hAnsi="Times New Roman"/>
          <w:b w:val="false"/>
          <w:i w:val="false"/>
          <w:color w:val="000000"/>
          <w:sz w:val="22"/>
        </w:rPr>
        <w:t>(7)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67.9(9)</w:t>
      </w:r>
      <w:r>
        <w:rPr>
          <w:rFonts w:ascii="Times New Roman" w:hAnsi="Times New Roman"/>
          <w:b w:val="false"/>
          <w:i w:val="false"/>
          <w:color w:val="000000"/>
          <w:sz w:val="22"/>
        </w:rPr>
        <w:t> </w:t>
      </w:r>
      <w:r>
        <w:rPr>
          <w:rFonts w:ascii="Times New Roman" w:hAnsi="Times New Roman"/>
          <w:b w:val="false"/>
          <w:i/>
          <w:color w:val="000000"/>
          <w:sz w:val="22"/>
        </w:rPr>
        <w:t xml:space="preserve">Percent volatile solids reduction calculation. </w:t>
      </w:r>
      <w:r>
        <w:rPr>
          <w:rFonts w:ascii="Times New Roman" w:hAnsi="Times New Roman"/>
          <w:b w:val="false"/>
          <w:i w:val="false"/>
          <w:color w:val="000000"/>
          <w:sz w:val="22"/>
        </w:rPr>
        <w:t>“Environmental Regulations and Technology - Control of Pathogens and Vectors in Sewage Sludge,” EPA-625/R-92/013, July 2003.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567—67.10</w:t>
      </w:r>
      <w:r>
        <w:rPr>
          <w:rFonts w:ascii="Times New Roman" w:hAnsi="Times New Roman"/>
          <w:b/>
          <w:i w:val="false"/>
          <w:color w:val="000000"/>
          <w:sz w:val="22"/>
        </w:rPr>
        <w:t xml:space="preserve">(455B) </w:t>
      </w:r>
      <w:r>
        <w:rPr>
          <w:rFonts w:ascii="Times New Roman" w:hAnsi="Times New Roman"/>
          <w:b/>
          <w:i w:val="false"/>
          <w:color w:val="000000"/>
          <w:sz w:val="22"/>
        </w:rPr>
        <w:t xml:space="preserve">Pathogen treatment processes.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67.10(1)</w:t>
      </w:r>
      <w:r>
        <w:rPr>
          <w:rFonts w:ascii="Times New Roman" w:hAnsi="Times New Roman"/>
          <w:b w:val="false"/>
          <w:i w:val="false"/>
          <w:color w:val="000000"/>
          <w:sz w:val="22"/>
        </w:rPr>
        <w:t> </w:t>
      </w:r>
      <w:r>
        <w:rPr>
          <w:rFonts w:ascii="Times New Roman" w:hAnsi="Times New Roman"/>
          <w:b w:val="false"/>
          <w:i w:val="false"/>
          <w:color w:val="000000"/>
          <w:sz w:val="22"/>
        </w:rPr>
        <w:t>40 CFR Part 503</w:t>
      </w:r>
      <w:r>
        <w:rPr>
          <w:rFonts w:ascii="Times New Roman" w:hAnsi="Times New Roman"/>
          <w:b w:val="false"/>
          <w:i w:val="false"/>
          <w:color w:val="000000"/>
          <w:sz w:val="22"/>
        </w:rPr>
        <w:t>, Appendix B, section A, Processes to Significantly Reduce Pathogens (PSRP), is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67.10(2)</w:t>
      </w:r>
      <w:r>
        <w:rPr>
          <w:rFonts w:ascii="Times New Roman" w:hAnsi="Times New Roman"/>
          <w:b w:val="false"/>
          <w:i w:val="false"/>
          <w:color w:val="000000"/>
          <w:sz w:val="22"/>
        </w:rPr>
        <w:t> </w:t>
      </w:r>
      <w:r>
        <w:rPr>
          <w:rFonts w:ascii="Times New Roman" w:hAnsi="Times New Roman"/>
          <w:b w:val="false"/>
          <w:i w:val="false"/>
          <w:color w:val="000000"/>
          <w:sz w:val="22"/>
        </w:rPr>
        <w:t>40 CFR Part 503</w:t>
      </w:r>
      <w:r>
        <w:rPr>
          <w:rFonts w:ascii="Times New Roman" w:hAnsi="Times New Roman"/>
          <w:b w:val="false"/>
          <w:i w:val="false"/>
          <w:color w:val="000000"/>
          <w:sz w:val="22"/>
        </w:rPr>
        <w:t>, Appendix B, section B, Processes to Further Reduce Pathogens (PFRP), is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9206C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section </w:t>
      </w:r>
      <w:hyperlink r:id="rId28">
        <w:r>
          <w:rPr>
            <w:rStyle w:val="Hyperlink"/>
            <w:rFonts w:ascii="Times New Roman" w:hAnsi="Times New Roman"/>
            <w:b w:val="false"/>
            <w:i w:val="false"/>
            <w:color w:val="000000"/>
            <w:sz w:val="22"/>
          </w:rPr>
          <w:t>455B.174</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3/8/07, Notice 1/3/07—published 3/28/07, effective 5/2/07]</w:t>
      </w:r>
    </w:p>
    <w:p>
      <w:pPr>
        <w:spacing w:before="0" w:after="0"/>
        <w:ind w:left="120"/>
        <w:jc w:val="center"/>
      </w:pPr>
      <w:r>
        <w:rPr>
          <w:rFonts w:ascii="Times New Roman" w:hAnsi="Times New Roman"/>
          <w:b w:val="false"/>
          <w:i w:val="false"/>
          <w:color w:val="000000"/>
          <w:sz w:val="21"/>
        </w:rPr>
        <w:t>[Filed ARC 2482C</w:t>
      </w:r>
      <w:r>
        <w:rPr>
          <w:rFonts w:ascii="Times New Roman" w:hAnsi="Times New Roman"/>
          <w:b w:val="false"/>
          <w:i w:val="false"/>
          <w:color w:val="000000"/>
          <w:sz w:val="21"/>
        </w:rPr>
        <w:t xml:space="preserve"> (Notice ARC 2353C, IAB 1/6/16)</w:t>
      </w:r>
      <w:r>
        <w:rPr>
          <w:rFonts w:ascii="Times New Roman" w:hAnsi="Times New Roman"/>
          <w:b w:val="false"/>
          <w:i w:val="false"/>
          <w:color w:val="000000"/>
          <w:sz w:val="21"/>
        </w:rPr>
        <w:t>, IAB 4/13/16, effective 5/18/16]</w:t>
      </w:r>
    </w:p>
    <w:p>
      <w:pPr>
        <w:spacing w:before="0" w:after="0"/>
        <w:ind w:left="120"/>
        <w:jc w:val="center"/>
      </w:pPr>
      <w:r>
        <w:rPr>
          <w:rFonts w:ascii="Times New Roman" w:hAnsi="Times New Roman"/>
          <w:b w:val="false"/>
          <w:i w:val="false"/>
          <w:color w:val="000000"/>
          <w:sz w:val="21"/>
        </w:rPr>
        <w:t>[Filed ARC 6192C</w:t>
      </w:r>
      <w:r>
        <w:rPr>
          <w:rFonts w:ascii="Times New Roman" w:hAnsi="Times New Roman"/>
          <w:b w:val="false"/>
          <w:i w:val="false"/>
          <w:color w:val="000000"/>
          <w:sz w:val="21"/>
        </w:rPr>
        <w:t xml:space="preserve"> (Notice ARC 6038C,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9206C</w:t>
      </w:r>
      <w:r>
        <w:rPr>
          <w:rFonts w:ascii="Times New Roman" w:hAnsi="Times New Roman"/>
          <w:b w:val="false"/>
          <w:i w:val="false"/>
          <w:color w:val="000000"/>
          <w:sz w:val="21"/>
        </w:rPr>
        <w:t xml:space="preserve"> (Notice ARC 8638C,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68.pdf" Type="http://schemas.openxmlformats.org/officeDocument/2006/relationships/hyperlink" Id="rId5"/>
    <Relationship TargetMode="External" Target="https://www.legis.iowa.gov/docs/iac/rule/567.67.9.pdf" Type="http://schemas.openxmlformats.org/officeDocument/2006/relationships/hyperlink" Id="rId6"/>
    <Relationship TargetMode="External" Target="https://www.legis.iowa.gov/docs/ico/chapter/455B.171.pdf" Type="http://schemas.openxmlformats.org/officeDocument/2006/relationships/hyperlink" Id="rId7"/>
    <Relationship TargetMode="External" Target="https://www.legis.iowa.gov/docs/iac/rule/567.67.6.pdf" Type="http://schemas.openxmlformats.org/officeDocument/2006/relationships/hyperlink" Id="rId8"/>
    <Relationship TargetMode="External" Target="https://www.legis.iowa.gov/docs/iac/rule/567.67.7.pdf" Type="http://schemas.openxmlformats.org/officeDocument/2006/relationships/hyperlink" Id="rId9"/>
    <Relationship TargetMode="External" Target="https://www.legis.iowa.gov/docs/iac/chapter/567.60.pdf" Type="http://schemas.openxmlformats.org/officeDocument/2006/relationships/hyperlink" Id="rId10"/>
    <Relationship TargetMode="External" Target="https://www.legis.iowa.gov/docs/iac/rule/567.67.6.pdf" Type="http://schemas.openxmlformats.org/officeDocument/2006/relationships/hyperlink" Id="rId11"/>
    <Relationship TargetMode="External" Target="https://www.legis.iowa.gov/docs/iac/rule/567.67.6.pdf" Type="http://schemas.openxmlformats.org/officeDocument/2006/relationships/hyperlink" Id="rId12"/>
    <Relationship TargetMode="External" Target="https://www.legis.iowa.gov/docs/iac/rule/567.67.6.pdf" Type="http://schemas.openxmlformats.org/officeDocument/2006/relationships/hyperlink" Id="rId13"/>
    <Relationship TargetMode="External" Target="https://www.legis.iowa.gov/docs/iac/rule/567.67.6.pdf" Type="http://schemas.openxmlformats.org/officeDocument/2006/relationships/hyperlink" Id="rId14"/>
    <Relationship TargetMode="External" Target="https://www.legis.iowa.gov/docs/iac/rule/567.67.10.pdf" Type="http://schemas.openxmlformats.org/officeDocument/2006/relationships/hyperlink" Id="rId15"/>
    <Relationship TargetMode="External" Target="https://www.legis.iowa.gov/docs/iac/rule/567.67.7.pdf" Type="http://schemas.openxmlformats.org/officeDocument/2006/relationships/hyperlink" Id="rId16"/>
    <Relationship TargetMode="External" Target="https://www.legis.iowa.gov/docs/iac/rule/567.67.7.pdf" Type="http://schemas.openxmlformats.org/officeDocument/2006/relationships/hyperlink" Id="rId17"/>
    <Relationship TargetMode="External" Target="https://www.legis.iowa.gov/docs/iac/rule/567.67.7.pdf" Type="http://schemas.openxmlformats.org/officeDocument/2006/relationships/hyperlink" Id="rId18"/>
    <Relationship TargetMode="External" Target="https://www.legis.iowa.gov/docs/iac/rule/567.67.10.pdf" Type="http://schemas.openxmlformats.org/officeDocument/2006/relationships/hyperlink" Id="rId19"/>
    <Relationship TargetMode="External" Target="https://www.legis.iowa.gov/docs/iac/rule/567.67.6.pdf" Type="http://schemas.openxmlformats.org/officeDocument/2006/relationships/hyperlink" Id="rId20"/>
    <Relationship TargetMode="External" Target="https://www.legis.iowa.gov/docs/iac/rule/567.67.6.pdf" Type="http://schemas.openxmlformats.org/officeDocument/2006/relationships/hyperlink" Id="rId21"/>
    <Relationship TargetMode="External" Target="https://www.legis.iowa.gov/docs/iac/rule/567.60.2.pdf" Type="http://schemas.openxmlformats.org/officeDocument/2006/relationships/hyperlink" Id="rId22"/>
    <Relationship TargetMode="External" Target="https://www.legis.iowa.gov/docs/ico/chapter/161A.42.pdf" Type="http://schemas.openxmlformats.org/officeDocument/2006/relationships/hyperlink" Id="rId23"/>
    <Relationship TargetMode="External" Target="https://www.legis.iowa.gov/docs/ico/chapter/161A.51.pdf" Type="http://schemas.openxmlformats.org/officeDocument/2006/relationships/hyperlink" Id="rId24"/>
    <Relationship TargetMode="External" Target="https://www.legis.iowa.gov/docs/iac/rule/567.67.7.pdf" Type="http://schemas.openxmlformats.org/officeDocument/2006/relationships/hyperlink" Id="rId25"/>
    <Relationship TargetMode="External" Target="https://www.legis.iowa.gov/docs/iac/rule/567.67.7.pdf" Type="http://schemas.openxmlformats.org/officeDocument/2006/relationships/hyperlink" Id="rId26"/>
    <Relationship TargetMode="External" Target="https://www.legis.iowa.gov/docs/iac/rule/567.83.5.pdf" Type="http://schemas.openxmlformats.org/officeDocument/2006/relationships/hyperlink" Id="rId27"/>
    <Relationship TargetMode="External" Target="https://www.legis.iowa.gov/docs/ico/chapter/455B.174.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