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ANIMAL FEEDING OPERATIONS</w:t>
      </w:r>
    </w:p>
    <w:p>
      <w:pPr>
        <w:spacing w:before="0" w:after="0"/>
        <w:ind w:left="120"/>
        <w:jc w:val="center"/>
      </w:pPr>
      <w:r>
        <w:rPr>
          <w:rFonts w:ascii="Times New Roman" w:hAnsi="Times New Roman"/>
          <w:b w:val="false"/>
          <w:i w:val="false"/>
          <w:color w:val="000000"/>
          <w:sz w:val="14"/>
        </w:rPr>
        <w:t>[Prior to 7/1/83, DEQ Ch 20]</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val="false"/>
          <w:i w:val="false"/>
          <w:color w:val="000000"/>
          <w:sz w:val="22"/>
        </w:rPr>
        <w:t>The provisions in Division I apply to all confinement feeding operations, open feedlot operations, animal truck washes, dry bedded confinement feeding operations, and associated manure and waste storage structures, unless otherwise noted in this chapter.</w:t>
      </w:r>
    </w:p>
    <w:p>
      <w:pPr>
        <w:spacing w:before="0" w:after="0"/>
        <w:ind w:left="120"/>
        <w:jc w:val="both"/>
      </w:pPr>
      <w:r>
        <w:rPr>
          <w:rFonts w:ascii="Times New Roman" w:hAnsi="Times New Roman"/>
          <w:b w:val="false"/>
          <w:i w:val="false"/>
          <w:color w:val="000000"/>
          <w:sz w:val="22"/>
        </w:rPr>
        <w:t>The following acronyms will be used throughout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“AFO” </w:t>
      </w:r>
      <w:r>
        <w:rPr>
          <w:rFonts w:ascii="Times New Roman" w:hAnsi="Times New Roman"/>
          <w:b w:val="false"/>
          <w:i w:val="false"/>
          <w:color w:val="000000"/>
          <w:sz w:val="22"/>
        </w:rPr>
        <w:t>means animal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“CAFO” </w:t>
      </w:r>
      <w:r>
        <w:rPr>
          <w:rFonts w:ascii="Times New Roman" w:hAnsi="Times New Roman"/>
          <w:b w:val="false"/>
          <w:i w:val="false"/>
          <w:color w:val="000000"/>
          <w:sz w:val="22"/>
        </w:rPr>
        <w:t>means concentrated animal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“MMP” </w:t>
      </w:r>
      <w:r>
        <w:rPr>
          <w:rFonts w:ascii="Times New Roman" w:hAnsi="Times New Roman"/>
          <w:b w:val="false"/>
          <w:i w:val="false"/>
          <w:color w:val="000000"/>
          <w:sz w:val="22"/>
        </w:rPr>
        <w:t>means manure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“NMP” </w:t>
      </w:r>
      <w:r>
        <w:rPr>
          <w:rFonts w:ascii="Times New Roman" w:hAnsi="Times New Roman"/>
          <w:b w:val="false"/>
          <w:i w:val="false"/>
          <w:color w:val="000000"/>
          <w:sz w:val="22"/>
        </w:rPr>
        <w:t>means nutrient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“NPDES” </w:t>
      </w:r>
      <w:r>
        <w:rPr>
          <w:rFonts w:ascii="Times New Roman" w:hAnsi="Times New Roman"/>
          <w:b w:val="false"/>
          <w:i w:val="false"/>
          <w:color w:val="000000"/>
          <w:sz w:val="22"/>
        </w:rPr>
        <w:t>means National Pollutant Discharge Elimination System.</w:t>
      </w:r>
    </w:p>
    <w:p>
      <w:pPr>
        <w:spacing w:before="0" w:after="0"/>
        <w:ind w:left="120"/>
        <w:jc w:val="both"/>
      </w:pPr>
      <w:r>
        <w:rPr>
          <w:rFonts w:ascii="Times New Roman" w:hAnsi="Times New Roman"/>
          <w:b/>
          <w:i w:val="false"/>
          <w:color w:val="000000"/>
          <w:sz w:val="22"/>
        </w:rPr>
        <w:t>567—65.1</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Definitions and incorporation by reference. </w:t>
      </w:r>
      <w:r>
        <w:rPr>
          <w:rFonts w:ascii="Times New Roman" w:hAnsi="Times New Roman"/>
          <w:b w:val="false"/>
          <w:i w:val="false"/>
          <w:color w:val="000000"/>
          <w:sz w:val="22"/>
        </w:rPr>
        <w:t xml:space="preserve">In addition to the definitions in Iowa Code sections </w:t>
      </w:r>
      <w:hyperlink r:id="rId5">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459A.102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459B.102</w:t>
        </w:r>
      </w:hyperlink>
      <w:r>
        <w:rPr>
          <w:rFonts w:ascii="Times New Roman" w:hAnsi="Times New Roman"/>
          <w:b w:val="false"/>
          <w:i w:val="false"/>
          <w:color w:val="000000"/>
          <w:sz w:val="22"/>
        </w:rPr>
        <w:t xml:space="preserve"> and in </w:t>
      </w:r>
      <w:hyperlink r:id="rId10">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AFO structure” </w:t>
      </w:r>
      <w:r>
        <w:rPr>
          <w:rFonts w:ascii="Times New Roman" w:hAnsi="Times New Roman"/>
          <w:b w:val="false"/>
          <w:i w:val="false"/>
          <w:color w:val="000000"/>
          <w:sz w:val="22"/>
        </w:rPr>
        <w:t>means the AFO structure has been razed, removed from the site of an AFO, filled in with earth, or converted to uses other than an AFO structure so that it cannot be used as an AFO structure without significant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w:t>
      </w:r>
      <w:r>
        <w:rPr>
          <w:rFonts w:ascii="Times New Roman" w:hAnsi="Times New Roman"/>
          <w:b w:val="false"/>
          <w:i w:val="false"/>
          <w:color w:val="000000"/>
          <w:sz w:val="22"/>
        </w:rPr>
        <w:t>for open feedlot operation. Two or more open feedlot operations are defined as adjacent if both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one open feedlot operation structure is constructed on or after July 17, 2002;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open feedlot operation structure that is part of one open feedlot operation is separated by less than 1,250 feet from an open feedlot operation structure that is part of the other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“Adjacent—air quality” </w:t>
      </w:r>
      <w:r>
        <w:rPr>
          <w:rFonts w:ascii="Times New Roman" w:hAnsi="Times New Roman"/>
          <w:b w:val="false"/>
          <w:i w:val="false"/>
          <w:color w:val="000000"/>
          <w:sz w:val="22"/>
        </w:rPr>
        <w:t xml:space="preserve">for confinement feeding operations means, for the purpose of determining separation distance requirements pursuant to rule </w:t>
      </w:r>
      <w:hyperlink r:id="rId11">
        <w:r>
          <w:rPr>
            <w:rStyle w:val="Hyperlink"/>
            <w:rFonts w:ascii="Times New Roman" w:hAnsi="Times New Roman"/>
            <w:b w:val="false"/>
            <w:i w:val="false"/>
            <w:color w:val="000000"/>
            <w:sz w:val="22"/>
          </w:rPr>
          <w:t>567—65.106</w:t>
        </w:r>
      </w:hyperlink>
      <w:r>
        <w:rPr>
          <w:rFonts w:ascii="Times New Roman" w:hAnsi="Times New Roman"/>
          <w:b w:val="false"/>
          <w:i w:val="false"/>
          <w:color w:val="000000"/>
          <w:sz w:val="22"/>
        </w:rPr>
        <w:t>(455B,459,459B), that two or more confinement feeding operations are adjacent if they have AFO structures that are separated at their closest points by less than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1,250 feet for a confinement feeding operation having an animal unit capacity of less than 1,250 animal units for swine maintained as part of a farrowing and gestating operation, less than 2,700 animal units for swine maintained as part of a farrow-to-finish operation, less than 4,000 animal units for cattle maintained as part of a cattle operation, or less than 3,000 animal units for any other confinement feeding operation, or for a confinement feeding operation consisting of dry bedded confinement feeding operation structures.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1,500 feet for a confinement feeding operation having an animal unit capacity of 1,250 or more but less than 2,000 animal units for swine maintained as part of a swine farrowing and gestating operation, 2,700 or more but less than 5,400 animal units for swine maintained as part of a farrow-to-finish operation, 4,000 or more but less than 6,500 animal units for cattle maintained as part of a cattle operation, or for any other confinement feeding operation having an animal unit capacity of 3,000 or more but less than 5,000 animal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2,500 feet for a confinement feeding operation having an animal unit capacity of 2,000 or more animal units for swine maintained as part of a swine farrowing and gestating operation, 5,400 or more animal units for swine maintained as part of a farrow-to-finish operation, or 6,500 or more animal units for cattle maintained as part of a cattle operation, or for any other confinement feeding operation with 5,000 or more animal units.</w:t>
      </w:r>
    </w:p>
    <w:p>
      <w:pPr>
        <w:spacing w:before="0" w:after="0"/>
        <w:ind w:left="120"/>
        <w:jc w:val="both"/>
      </w:pPr>
      <w:r>
        <w:rPr>
          <w:rFonts w:ascii="Times New Roman" w:hAnsi="Times New Roman"/>
          <w:b w:val="false"/>
          <w:i w:val="false"/>
          <w:color w:val="000000"/>
          <w:sz w:val="22"/>
        </w:rPr>
        <w:t>The distances in paragraphs “1” to “3” above shall only be used to determine that two or more confinement feeding operations are adjacent if at least one confinement feeding operation structure was constructed on or after March 21, 1996.</w:t>
      </w:r>
    </w:p>
    <w:p>
      <w:pPr>
        <w:spacing w:before="0" w:after="0"/>
        <w:ind w:left="120"/>
        <w:jc w:val="both"/>
      </w:pPr>
      <w:r>
        <w:rPr>
          <w:rFonts w:ascii="Times New Roman" w:hAnsi="Times New Roman"/>
          <w:b w:val="false"/>
          <w:i w:val="false"/>
          <w:color w:val="000000"/>
          <w:sz w:val="22"/>
        </w:rPr>
        <w:t>To determine if two or more confinement feeding operations are adjacent, for the purpose of determining the separation distance requirements, the animal unit capacity of each individual operation shall be used. If two or more confinement feeding operations do not have the same animal unit capacity, the greater animal unit capacity shall be used to determine the separation distance.</w:t>
      </w:r>
    </w:p>
    <w:p>
      <w:pPr>
        <w:spacing w:before="0" w:after="0"/>
        <w:ind w:left="120"/>
        <w:jc w:val="both"/>
      </w:pPr>
      <w:r>
        <w:rPr>
          <w:rFonts w:ascii="Times New Roman" w:hAnsi="Times New Roman"/>
          <w:b w:val="false"/>
          <w:i w:val="false"/>
          <w:color w:val="000000"/>
          <w:sz w:val="22"/>
        </w:rPr>
        <w:t>Dry manure that is stockpiled within a distance of 1,250 feet from another stockpile shall be considered part of the same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“Adjacent—water quality” </w:t>
      </w:r>
      <w:r>
        <w:rPr>
          <w:rFonts w:ascii="Times New Roman" w:hAnsi="Times New Roman"/>
          <w:b w:val="false"/>
          <w:i w:val="false"/>
          <w:color w:val="000000"/>
          <w:sz w:val="22"/>
        </w:rPr>
        <w:t xml:space="preserve">for confinement feeding operations means, for the purpose of determining the construction permit requirements pursuant to rule </w:t>
      </w:r>
      <w:hyperlink r:id="rId12">
        <w:r>
          <w:rPr>
            <w:rStyle w:val="Hyperlink"/>
            <w:rFonts w:ascii="Times New Roman" w:hAnsi="Times New Roman"/>
            <w:b w:val="false"/>
            <w:i w:val="false"/>
            <w:color w:val="000000"/>
            <w:sz w:val="22"/>
          </w:rPr>
          <w:t>567—65.103</w:t>
        </w:r>
      </w:hyperlink>
      <w:r>
        <w:rPr>
          <w:rFonts w:ascii="Times New Roman" w:hAnsi="Times New Roman"/>
          <w:b w:val="false"/>
          <w:i w:val="false"/>
          <w:color w:val="000000"/>
          <w:sz w:val="22"/>
        </w:rPr>
        <w:t xml:space="preserve">(455B,459,459B) and MMP requirements pursuant to rule </w:t>
      </w:r>
      <w:hyperlink r:id="rId13">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 that two or more confinement feeding operations are adjacent if they have confinement feeding operation structures that are separated at their closest points by less than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1,250 feet for confinement feeding operations having a combined animal unit capacity of less than 1,000 animal units.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2,500 feet for confinement feeding operations having a combined animal unit capacity of 1,000 or more animal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distances in paragraphs “1” and “2” above shall only be used to determine that two or more confinement feeding operations are adjacent if at least one confinement feeding operation structure is constructed or expanded on or after May 21,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“Aerobic structure” </w:t>
      </w:r>
      <w:r>
        <w:rPr>
          <w:rFonts w:ascii="Times New Roman" w:hAnsi="Times New Roman"/>
          <w:b w:val="false"/>
          <w:i w:val="false"/>
          <w:color w:val="000000"/>
          <w:sz w:val="22"/>
        </w:rPr>
        <w:t>means an AFO structure other than an egg washwater storage structure which relies on aerobic bacterial action which is maintained by the utilization of air or oxygen and which includes aeration equipment to digest organic matter. Aeration equipment shall be used and shall be capable of providing oxygen at a rate sufficient to maintain an average of 2 milligrams per liter dissolved oxygen concentration in the upper 30 percent of the depth of manure in the structure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“AFO structure” </w:t>
      </w:r>
      <w:r>
        <w:rPr>
          <w:rFonts w:ascii="Times New Roman" w:hAnsi="Times New Roman"/>
          <w:b w:val="false"/>
          <w:i w:val="false"/>
          <w:color w:val="000000"/>
          <w:sz w:val="22"/>
        </w:rPr>
        <w:t>means a confinement building, manure storage structure, dry bedded confinement feeding operation structure, or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w:t>
      </w:r>
      <w:r>
        <w:rPr>
          <w:rFonts w:ascii="Times New Roman" w:hAnsi="Times New Roman"/>
          <w:b w:val="false"/>
          <w:i w:val="false"/>
          <w:color w:val="000000"/>
          <w:sz w:val="22"/>
        </w:rPr>
        <w:t>means a vertical opening to an aquifer or permeable substratum which is constructed by any means including but not limited to drilling, driving, digging, coring, augering, jetting, or washing and which is capable of intercepting or receiving surface or subsurface drainage water from land directly or by a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area” </w:t>
      </w:r>
      <w:r>
        <w:rPr>
          <w:rFonts w:ascii="Times New Roman" w:hAnsi="Times New Roman"/>
          <w:b w:val="false"/>
          <w:i w:val="false"/>
          <w:color w:val="000000"/>
          <w:sz w:val="22"/>
        </w:rPr>
        <w:t>means an area of land where surface or subsurface water drains into an agricultural drainage well directly or through a drainage system connecting to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“Alluvial aquifer area” </w:t>
      </w:r>
      <w:r>
        <w:rPr>
          <w:rFonts w:ascii="Times New Roman" w:hAnsi="Times New Roman"/>
          <w:b w:val="false"/>
          <w:i w:val="false"/>
          <w:color w:val="000000"/>
          <w:sz w:val="22"/>
        </w:rPr>
        <w:t>means an area underlaid by sand or gravel aquifers situated beneath floodplains along stream valleys and includes alluvial deposits associated with stream terraces and benches, contiguous windblown sand deposits, and glacial outwash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“Alluvial soils” </w:t>
      </w:r>
      <w:r>
        <w:rPr>
          <w:rFonts w:ascii="Times New Roman" w:hAnsi="Times New Roman"/>
          <w:b w:val="false"/>
          <w:i w:val="false"/>
          <w:color w:val="000000"/>
          <w:sz w:val="22"/>
        </w:rPr>
        <w:t>means soils formed in materials deposited by moving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technology settled open feedlot effluent control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“AT system” </w:t>
      </w:r>
      <w:r>
        <w:rPr>
          <w:rFonts w:ascii="Times New Roman" w:hAnsi="Times New Roman"/>
          <w:b w:val="false"/>
          <w:i w:val="false"/>
          <w:color w:val="000000"/>
          <w:sz w:val="22"/>
        </w:rPr>
        <w:t xml:space="preserve">means use of an open feedlot effluent control technology other than a conventional runoff containment system to control and dispose of settled open feedlot effluent.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digester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“digester” </w:t>
      </w:r>
      <w:r>
        <w:rPr>
          <w:rFonts w:ascii="Times New Roman" w:hAnsi="Times New Roman"/>
          <w:b w:val="false"/>
          <w:i w:val="false"/>
          <w:color w:val="000000"/>
          <w:sz w:val="22"/>
        </w:rPr>
        <w:t>means a manure storage structure that is covered if the primary function of the manure storage structure is to process manure by employing environmental conditions including bacteria to break down organic matter in the absence of oxygen, and the structure is used for producing, collecting, and utilizing a biogas.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means an unformed manure storage structure if the primary function of the structure is to store and stabilize manure, the structure is designed to receive manure on a regular basis, and the structure’s design waste loading rates provide that the predominant biological activity is anaerobic. An anaerobic lagoon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or a settled open feedlot effluent basin that collects and stores only precipitation-induced runoff from an open feedlot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anaerobic treatment system that includes collection and treatment facilities for all off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t>
      </w:r>
      <w:r>
        <w:rPr>
          <w:rFonts w:ascii="Times New Roman" w:hAnsi="Times New Roman"/>
          <w:b w:val="false"/>
          <w:i w:val="false"/>
          <w:color w:val="000000"/>
          <w:sz w:val="22"/>
        </w:rPr>
        <w:t xml:space="preserve">means cattle, swine, horses, sheep, chickens, turkeys, goats, fish, or ducks.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capacity” </w:t>
      </w:r>
      <w:r>
        <w:rPr>
          <w:rFonts w:ascii="Times New Roman" w:hAnsi="Times New Roman"/>
          <w:b w:val="false"/>
          <w:i w:val="false"/>
          <w:color w:val="000000"/>
          <w:sz w:val="22"/>
        </w:rPr>
        <w:t xml:space="preserve">means the maximum number of animals that the owner or operator will confine in an AFO at any one time. The animal capacity shall be what is currently approved or permitted on the site and is listed in the MMP or NMP, unless a portion of the facility has been properly closed or taken out of operation through the small AFO election as provided in paragraph </w:t>
      </w:r>
      <w:hyperlink r:id="rId14">
        <w:r>
          <w:rPr>
            <w:rStyle w:val="Hyperlink"/>
            <w:rFonts w:ascii="Times New Roman" w:hAnsi="Times New Roman"/>
            <w:b w:val="false"/>
            <w:i w:val="false"/>
            <w:color w:val="000000"/>
            <w:sz w:val="22"/>
          </w:rPr>
          <w:t>65.110(1)</w:t>
        </w:r>
      </w:hyperlink>
      <w:r>
        <w:rPr>
          <w:rFonts w:ascii="Times New Roman" w:hAnsi="Times New Roman"/>
          <w:b w:val="false"/>
          <w:i/>
          <w:color w:val="000000"/>
          <w:sz w:val="22"/>
        </w:rPr>
        <w:t>“f.”</w:t>
      </w:r>
      <w:r>
        <w:rPr>
          <w:rFonts w:ascii="Times New Roman" w:hAnsi="Times New Roman"/>
          <w:b w:val="false"/>
          <w:i w:val="false"/>
          <w:color w:val="000000"/>
          <w:sz w:val="22"/>
        </w:rPr>
        <w:t xml:space="preserve"> In a confinement feeding operation, the animal capacity of all confinement buildings will be included in the determination of the animal capacity of the operation, unless the building has been abandoned, in accordance with the definition of “abandoned AFO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feeding operation”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“AFO” </w:t>
      </w:r>
      <w:r>
        <w:rPr>
          <w:rFonts w:ascii="Times New Roman" w:hAnsi="Times New Roman"/>
          <w:b w:val="false"/>
          <w:i w:val="false"/>
          <w:color w:val="000000"/>
          <w:sz w:val="22"/>
        </w:rPr>
        <w:t>means a lot, yard, corral, building, or other area in which animals are confined and fed and maintained for 45 days or more in any 12-month period, and all structures used for the storage of manure from animals in the operation. Except as required for an NPDES permit required pursuant to the Act, an AFO does not include a livestock market. Open feedlot operations and confinement feeding operations are considered to be separate AFOs.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truck wash effluent” </w:t>
      </w:r>
      <w:r>
        <w:rPr>
          <w:rFonts w:ascii="Times New Roman" w:hAnsi="Times New Roman"/>
          <w:b w:val="false"/>
          <w:i w:val="false"/>
          <w:color w:val="000000"/>
          <w:sz w:val="22"/>
        </w:rPr>
        <w:t xml:space="preserve">means a combination of manure, washwater-induced runoff, or other runoff derived from an animal truck wash facility, which may include solids.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truck wash effluent structure” </w:t>
      </w:r>
      <w:r>
        <w:rPr>
          <w:rFonts w:ascii="Times New Roman" w:hAnsi="Times New Roman"/>
          <w:b w:val="false"/>
          <w:i w:val="false"/>
          <w:color w:val="000000"/>
          <w:sz w:val="22"/>
        </w:rPr>
        <w:t>means an impoundment that is part of an animal truck wash facility, if the primary function of the impoundment is to collect and store animal truck wash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truck wash facility” </w:t>
      </w:r>
      <w:r>
        <w:rPr>
          <w:rFonts w:ascii="Times New Roman" w:hAnsi="Times New Roman"/>
          <w:b w:val="false"/>
          <w:i w:val="false"/>
          <w:color w:val="000000"/>
          <w:sz w:val="22"/>
        </w:rPr>
        <w:t>means an operation engaged solely in washing single-unit trucks, truck-tractors, semitrailers, or trailers used to transport animals. An animal truck wash facility is considered to be part of an AFO if the animal truck wash facility and the AFO are under common ownership or management and the animal truck wash facility is located within 1,250 feet of the 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unit” </w:t>
      </w:r>
      <w:r>
        <w:rPr>
          <w:rFonts w:ascii="Times New Roman" w:hAnsi="Times New Roman"/>
          <w:b w:val="false"/>
          <w:i w:val="false"/>
          <w:color w:val="000000"/>
          <w:sz w:val="22"/>
        </w:rPr>
        <w:t>means a unit of measurement based upon the product of multiplying the number of animals of each category by a special equivalency factor, as follows:</w:t>
      </w:r>
    </w:p>
    <w:tbl>
      <w:tblPr>
        <w:tblW w:w="0" w:type="auto"/>
        <w:tblCellSpacing w:w="0" w:type="auto"/>
        <w:tblBorders>
          <w:top w:val="none"/>
          <w:left w:val="none"/>
          <w:bottom w:val="none"/>
          <w:right w:val="none"/>
          <w:insideH w:val="none"/>
          <w:insideV w:val="none"/>
        </w:tblBorders>
        <w:tblLayout w:type="fixed"/>
      </w:tblPr>
      <w:tblGrid>
        <w:gridCol w:w="11520"/>
      </w:tblGrid>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Slaughter and feeder cattle </w:t>
            </w:r>
            <w:r>
              <w:rPr>
                <w:rFonts w:ascii="Times New Roman" w:hAnsi="Times New Roman"/>
                <w:b w:val="false"/>
                <w:i w:val="false"/>
                <w:color w:val="000000"/>
                <w:sz w:val="21"/>
              </w:rPr>
              <w:t>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 Immature dairy cattle </w:t>
            </w:r>
            <w:r>
              <w:rPr>
                <w:rFonts w:ascii="Times New Roman" w:hAnsi="Times New Roman"/>
                <w:b w:val="false"/>
                <w:i w:val="false"/>
                <w:color w:val="000000"/>
                <w:sz w:val="21"/>
              </w:rPr>
              <w:t>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 Mature dairy cattle </w:t>
            </w:r>
            <w:r>
              <w:rPr>
                <w:rFonts w:ascii="Times New Roman" w:hAnsi="Times New Roman"/>
                <w:b w:val="false"/>
                <w:i w:val="false"/>
                <w:color w:val="000000"/>
                <w:sz w:val="21"/>
              </w:rPr>
              <w:t>1.400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4. Butcher or breeding swine weighing more than 55 pounds </w:t>
            </w:r>
            <w:r>
              <w:rPr>
                <w:rFonts w:ascii="Times New Roman" w:hAnsi="Times New Roman"/>
                <w:b w:val="false"/>
                <w:i w:val="false"/>
                <w:color w:val="000000"/>
                <w:sz w:val="21"/>
              </w:rPr>
              <w:t>0.400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5. Swine weighing 15 pounds or more but not more than 55 pounds </w:t>
            </w:r>
            <w:r>
              <w:rPr>
                <w:rFonts w:ascii="Times New Roman" w:hAnsi="Times New Roman"/>
                <w:b w:val="false"/>
                <w:i w:val="false"/>
                <w:color w:val="000000"/>
                <w:sz w:val="21"/>
              </w:rPr>
              <w:t>0.100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 Sheep or lambs </w:t>
            </w:r>
            <w:r>
              <w:rPr>
                <w:rFonts w:ascii="Times New Roman" w:hAnsi="Times New Roman"/>
                <w:b w:val="false"/>
                <w:i w:val="false"/>
                <w:color w:val="000000"/>
                <w:sz w:val="21"/>
              </w:rPr>
              <w:t>0.100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7. Goats </w:t>
            </w:r>
            <w:r>
              <w:rPr>
                <w:rFonts w:ascii="Times New Roman" w:hAnsi="Times New Roman"/>
                <w:b w:val="false"/>
                <w:i w:val="false"/>
                <w:color w:val="000000"/>
                <w:sz w:val="21"/>
              </w:rPr>
              <w:t>0.100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 Horses </w:t>
            </w:r>
            <w:r>
              <w:rPr>
                <w:rFonts w:ascii="Times New Roman" w:hAnsi="Times New Roman"/>
                <w:b w:val="false"/>
                <w:i w:val="false"/>
                <w:color w:val="000000"/>
                <w:sz w:val="21"/>
              </w:rPr>
              <w:t>2.00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9. Turkeys weighing 7 pounds or more </w:t>
            </w:r>
            <w:r>
              <w:rPr>
                <w:rFonts w:ascii="Times New Roman" w:hAnsi="Times New Roman"/>
                <w:b w:val="false"/>
                <w:i w:val="false"/>
                <w:color w:val="000000"/>
                <w:sz w:val="21"/>
              </w:rPr>
              <w:t>0.018</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 Turkeys weighing less than 7 pounds </w:t>
            </w:r>
            <w:r>
              <w:rPr>
                <w:rFonts w:ascii="Times New Roman" w:hAnsi="Times New Roman"/>
                <w:b w:val="false"/>
                <w:i w:val="false"/>
                <w:color w:val="000000"/>
                <w:sz w:val="21"/>
              </w:rPr>
              <w:t>0.0085</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11. Broiler or layer chickens weighing 3 pounds or more </w:t>
            </w:r>
            <w:r>
              <w:rPr>
                <w:rFonts w:ascii="Times New Roman" w:hAnsi="Times New Roman"/>
                <w:b w:val="false"/>
                <w:i w:val="false"/>
                <w:color w:val="000000"/>
                <w:sz w:val="21"/>
              </w:rPr>
              <w:t>0.010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12. Broiler or layer chickens weighing less than 3 pounds </w:t>
            </w:r>
            <w:r>
              <w:rPr>
                <w:rFonts w:ascii="Times New Roman" w:hAnsi="Times New Roman"/>
                <w:b w:val="false"/>
                <w:i w:val="false"/>
                <w:color w:val="000000"/>
                <w:sz w:val="21"/>
              </w:rPr>
              <w:t>0.0025</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13. Ducks </w:t>
            </w:r>
            <w:r>
              <w:rPr>
                <w:rFonts w:ascii="Times New Roman" w:hAnsi="Times New Roman"/>
                <w:b w:val="false"/>
                <w:i w:val="false"/>
                <w:color w:val="000000"/>
                <w:sz w:val="21"/>
              </w:rPr>
              <w:t>0.040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14. Fish weighing 25 grams or more</w:t>
            </w:r>
            <w:r>
              <w:rPr>
                <w:rFonts w:ascii="Times New Roman" w:hAnsi="Times New Roman"/>
                <w:b w:val="false"/>
                <w:i w:val="false"/>
                <w:color w:val="000000"/>
                <w:sz w:val="21"/>
              </w:rPr>
              <w:t>0.001</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 Fish weighing less than 25 grams</w:t>
            </w:r>
            <w:r>
              <w:rPr>
                <w:rFonts w:ascii="Times New Roman" w:hAnsi="Times New Roman"/>
                <w:b w:val="false"/>
                <w:i w:val="false"/>
                <w:color w:val="000000"/>
                <w:sz w:val="21"/>
              </w:rPr>
              <w:t>0.00006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unit capacity” </w:t>
      </w:r>
      <w:r>
        <w:rPr>
          <w:rFonts w:ascii="Times New Roman" w:hAnsi="Times New Roman"/>
          <w:b w:val="false"/>
          <w:i w:val="false"/>
          <w:color w:val="000000"/>
          <w:sz w:val="22"/>
        </w:rPr>
        <w:t xml:space="preserve">means a measurement used to determine the maximum number of animal units that may be maintained as part of an AFO at any one time, including as provided in Iowa Code sections </w:t>
      </w:r>
      <w:hyperlink r:id="rId15">
        <w:r>
          <w:rPr>
            <w:rStyle w:val="Hyperlink"/>
            <w:rFonts w:ascii="Times New Roman" w:hAnsi="Times New Roman"/>
            <w:b w:val="false"/>
            <w:i w:val="false"/>
            <w:color w:val="000000"/>
            <w:sz w:val="22"/>
          </w:rPr>
          <w:t>459.201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459A.103</w:t>
        </w:r>
      </w:hyperlink>
      <w:r>
        <w:rPr>
          <w:rFonts w:ascii="Times New Roman" w:hAnsi="Times New Roman"/>
          <w:b w:val="false"/>
          <w:i w:val="false"/>
          <w:color w:val="000000"/>
          <w:sz w:val="22"/>
        </w:rPr>
        <w:t>. For dry bedded confinement feeding operations, “animal unit capacity” means the maximum number of animal units that the owner or operator confines in a dry bedded confinement feeding operation at any one time, including the animal unit capacity of all dry bedded confinement feeding operation buildings that are used to house cattle or swine in the dry bedded confinement feeding operation. For purposes of determining whether an open feedlot operation must obtain an NPDES permit, the animal unit capacity of the AFO shall include the animal unit capacities of both the open feedlot operation and any adjacent confinement feeding operation if all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animals in the open feedlot operation and any adjacent confinement feeding operation are all in the same category of animals as used in the definitions of “large CAFO” and “medium CAFO” in 40 CFR Part 122;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closest open feedlot operation structure is separated by less than 1,250 feet from the closest confinement feeding operation structure;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open feedlot operation and the confinement feeding operation are under common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weight capacity” </w:t>
      </w:r>
      <w:r>
        <w:rPr>
          <w:rFonts w:ascii="Times New Roman" w:hAnsi="Times New Roman"/>
          <w:b w:val="false"/>
          <w:i w:val="false"/>
          <w:color w:val="000000"/>
          <w:sz w:val="22"/>
        </w:rPr>
        <w:t>means the sum of the average weight of all animals in a confinement feeding operation when the operation is at full animal capacity. For confinement feeding operations with only one species, the animal weight capacity is the product of multiplying the animal capacity by the average weight during a production cycle. For operations with more than one species, the animal weight capacity of the operation is the sum of the animal weight capacities for all species. This definition applies to confinement feeding operations constructed prior to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person applying for a construction permit or an NPDES permit for an 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“Bedding” </w:t>
      </w:r>
      <w:r>
        <w:rPr>
          <w:rFonts w:ascii="Times New Roman" w:hAnsi="Times New Roman"/>
          <w:b w:val="false"/>
          <w:i w:val="false"/>
          <w:color w:val="000000"/>
          <w:sz w:val="22"/>
        </w:rPr>
        <w:t>means crop, vegetation, sand, or forage residue or similar materials placed in a dry bedded confinement building for the care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commercial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“Cemetery” </w:t>
      </w:r>
      <w:r>
        <w:rPr>
          <w:rFonts w:ascii="Times New Roman" w:hAnsi="Times New Roman"/>
          <w:b w:val="false"/>
          <w:i w:val="false"/>
          <w:color w:val="000000"/>
          <w:sz w:val="22"/>
        </w:rPr>
        <w:t xml:space="preserve">means a space held for the purpose of permanent burial, entombment or interment of human remains that is owned or managed by a political subdivision or private entity or a cemetery regulated pursuant to Iowa Code chapter </w:t>
      </w:r>
      <w:hyperlink r:id="rId18">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A cemetery does not include a pioneer cemetery as defined by Iowa Code section </w:t>
      </w:r>
      <w:hyperlink r:id="rId19">
        <w:r>
          <w:rPr>
            <w:rStyle w:val="Hyperlink"/>
            <w:rFonts w:ascii="Times New Roman" w:hAnsi="Times New Roman"/>
            <w:b w:val="false"/>
            <w:i w:val="false"/>
            <w:color w:val="000000"/>
            <w:sz w:val="22"/>
          </w:rPr>
          <w:t>331.325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“Church” </w:t>
      </w:r>
      <w:r>
        <w:rPr>
          <w:rFonts w:ascii="Times New Roman" w:hAnsi="Times New Roman"/>
          <w:b w:val="false"/>
          <w:i w:val="false"/>
          <w:color w:val="000000"/>
          <w:sz w:val="22"/>
        </w:rPr>
        <w:t>means a religious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enterprise” </w:t>
      </w:r>
      <w:r>
        <w:rPr>
          <w:rFonts w:ascii="Times New Roman" w:hAnsi="Times New Roman"/>
          <w:b w:val="false"/>
          <w:i w:val="false"/>
          <w:color w:val="000000"/>
          <w:sz w:val="22"/>
        </w:rPr>
        <w:t>means a building which is used as a part of a business that manufactures goods, delivers services, or sells goods or services, which is customarily and regularly used by the general public during the entire calendar year and which is connected to electric, water, and sewer systems. A commercial enterprise does not include a farm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w:t>
      </w:r>
      <w:r>
        <w:rPr>
          <w:rFonts w:ascii="Times New Roman" w:hAnsi="Times New Roman"/>
          <w:b w:val="false"/>
          <w:i w:val="false"/>
          <w:color w:val="000000"/>
          <w:sz w:val="22"/>
        </w:rPr>
        <w:t>means a sole proprietor or business association engaged in the business of transporting, handling, storing, or applying manure for a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representative” </w:t>
      </w:r>
      <w:r>
        <w:rPr>
          <w:rFonts w:ascii="Times New Roman" w:hAnsi="Times New Roman"/>
          <w:b w:val="false"/>
          <w:i w:val="false"/>
          <w:color w:val="000000"/>
          <w:sz w:val="22"/>
        </w:rPr>
        <w:t>means a manager, employee, agent, or contractor of a commercial manure service, if the person is engaged in transporting, handling, storing, or applying manure on behalf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management” </w:t>
      </w:r>
      <w:r>
        <w:rPr>
          <w:rFonts w:ascii="Times New Roman" w:hAnsi="Times New Roman"/>
          <w:b w:val="false"/>
          <w:i w:val="false"/>
          <w:color w:val="000000"/>
          <w:sz w:val="22"/>
        </w:rPr>
        <w:t xml:space="preserve">means significant control by an individual of the management of the day-to-day operations of each of two or more AFOs. “Common management” does not include control over a contract livestock facility by a contractor as defined in Iowa Code section </w:t>
      </w:r>
      <w:hyperlink r:id="rId20">
        <w:r>
          <w:rPr>
            <w:rStyle w:val="Hyperlink"/>
            <w:rFonts w:ascii="Times New Roman" w:hAnsi="Times New Roman"/>
            <w:b w:val="false"/>
            <w:i w:val="false"/>
            <w:color w:val="000000"/>
            <w:sz w:val="22"/>
          </w:rPr>
          <w:t>202.1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ownership” </w:t>
      </w:r>
      <w:r>
        <w:rPr>
          <w:rFonts w:ascii="Times New Roman" w:hAnsi="Times New Roman"/>
          <w:b w:val="false"/>
          <w:i w:val="false"/>
          <w:color w:val="000000"/>
          <w:sz w:val="22"/>
        </w:rPr>
        <w:t>for confinement feeding operations means the ownership of a confinement feeding operation as a sole proprietor, or a 10 percent or more ownership interest held by a person, in each of two or more confinement feeding operations as a joint tenant, tenant in common, shareholder, partner, member, beneficiary, or other equity interest holder. The ownership interest is a common ownership interest when it is held directly, indirectly through a spouse or dependent child, or both. The following exceptions shall apply to this definition: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confinement feeding operation structure constructed before June 19, 2024, that has not been expanded, “common ownership” means the ownership of a confinement feeding operation as a sole proprietor, or a majority ownership interest held by a person, in each of two or more confinement feeding operations as a joint tenant, tenant in common, shareholder, partner, member, beneficiary, or other equity interest holder. The majority ownership interest is a common ownership interest when it is held directly, indirectly through a spouse or dependent child, or both. This exception shall not apply to a confinement feeding structure or operation expanded after June 19, 2024; instead, the 10 percent or more ownership interest standard shall apply.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This definition shall not apply to a dry bedded confinement feeding operation that is subject to the common ownership requirements in Iowa Code section </w:t>
      </w:r>
      <w:hyperlink r:id="rId21">
        <w:r>
          <w:rPr>
            <w:rStyle w:val="Hyperlink"/>
            <w:rFonts w:ascii="Times New Roman" w:hAnsi="Times New Roman"/>
            <w:b w:val="false"/>
            <w:i w:val="false"/>
            <w:color w:val="000000"/>
            <w:sz w:val="22"/>
          </w:rPr>
          <w:t>459B.103(3)</w:t>
        </w:r>
      </w:hyperlink>
      <w:r>
        <w:rPr>
          <w:rFonts w:ascii="Times New Roman" w:hAnsi="Times New Roman"/>
          <w:b w:val="false"/>
          <w:i/>
          <w:color w:val="000000"/>
          <w:sz w:val="22"/>
        </w:rPr>
        <w:t>“a”</w:t>
      </w:r>
      <w:r>
        <w:rPr>
          <w:rFonts w:ascii="Times New Roman" w:hAnsi="Times New Roman"/>
          <w:b w:val="false"/>
          <w:i w:val="false"/>
          <w:color w:val="000000"/>
          <w:sz w:val="22"/>
        </w:rPr>
        <w:t>(3) nor to an open feedlot operation as defined in this rule.</w:t>
      </w:r>
    </w:p>
    <w:p>
      <w:pPr>
        <w:spacing w:before="0" w:after="0"/>
        <w:ind w:left="120"/>
        <w:jc w:val="both"/>
      </w:pPr>
      <w:r>
        <w:rPr>
          <w:rFonts w:ascii="Times New Roman" w:hAnsi="Times New Roman"/>
          <w:b w:val="false"/>
          <w:i w:val="false"/>
          <w:color w:val="000000"/>
          <w:sz w:val="22"/>
        </w:rPr>
        <w:t>“Common ownership” for open feedlot operations means to hold an interest in each of two or more open feedlot operations as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sole proprietor;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joint tenant or tenant in common;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holder of a majority equity interest in a business association as defined in Iowa Code section </w:t>
      </w:r>
      <w:hyperlink r:id="rId22">
        <w:r>
          <w:rPr>
            <w:rStyle w:val="Hyperlink"/>
            <w:rFonts w:ascii="Times New Roman" w:hAnsi="Times New Roman"/>
            <w:b w:val="false"/>
            <w:i w:val="false"/>
            <w:color w:val="000000"/>
            <w:sz w:val="22"/>
          </w:rPr>
          <w:t>202B.102</w:t>
        </w:r>
      </w:hyperlink>
      <w:r>
        <w:rPr>
          <w:rFonts w:ascii="Times New Roman" w:hAnsi="Times New Roman"/>
          <w:b w:val="false"/>
          <w:i w:val="false"/>
          <w:color w:val="000000"/>
          <w:sz w:val="22"/>
        </w:rPr>
        <w:t>, including as a shareholder, partner, member, beneficiary, or other equity interest holder.</w:t>
      </w:r>
    </w:p>
    <w:p>
      <w:pPr>
        <w:spacing w:before="0" w:after="0"/>
        <w:ind w:left="120"/>
        <w:jc w:val="both"/>
      </w:pPr>
      <w:r>
        <w:rPr>
          <w:rFonts w:ascii="Times New Roman" w:hAnsi="Times New Roman"/>
          <w:b w:val="false"/>
          <w:i w:val="false"/>
          <w:color w:val="000000"/>
          <w:sz w:val="22"/>
        </w:rPr>
        <w:t>An interest in an open feedlot operation under paragraph “2” or “3” is a common ownership interest when it is held directly or indirectly through a spouse or dependent child,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w:t>
      </w:r>
      <w:r>
        <w:rPr>
          <w:rFonts w:ascii="Times New Roman" w:hAnsi="Times New Roman"/>
          <w:b w:val="false"/>
          <w:i w:val="false"/>
          <w:color w:val="000000"/>
          <w:sz w:val="22"/>
        </w:rPr>
        <w:t>means an application that is substantially complete and approvable when all necessary questions on the application forms have been completed, the application is signed and all applicable portions of the application, including the application form, required attachments, and application fees, have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“Concentrated AFO”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“CAFO” </w:t>
      </w:r>
      <w:r>
        <w:rPr>
          <w:rFonts w:ascii="Times New Roman" w:hAnsi="Times New Roman"/>
          <w:b w:val="false"/>
          <w:i w:val="false"/>
          <w:color w:val="000000"/>
          <w:sz w:val="22"/>
        </w:rPr>
        <w:t>means an AFO that is a designated CAFO, or that is defined as a large CAFO or a medium CAFO as defined in 40 CFR 122.23(b).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w:t>
      </w:r>
      <w:r>
        <w:rPr>
          <w:rFonts w:ascii="Times New Roman" w:hAnsi="Times New Roman"/>
          <w:b w:val="false"/>
          <w:i w:val="false"/>
          <w:color w:val="000000"/>
          <w:sz w:val="22"/>
        </w:rPr>
        <w:t>means an AFO in which animals are confined to areas that are totally roofed and includes an AFO that is not an open feedlot operation as defined in this chapter.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purposes of water quality regulation, Iowa Code section </w:t>
      </w:r>
      <w:hyperlink r:id="rId23">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provides that two or more AFOs under common ownership or management are deemed to be a single AFO if they are adjacent or utilize a common area or system for manure disposal. For purposes of the air quality-related separation distances in Iowa Code section </w:t>
      </w:r>
      <w:hyperlink r:id="rId24">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Iowa Code section </w:t>
      </w:r>
      <w:hyperlink r:id="rId25">
        <w:r>
          <w:rPr>
            <w:rStyle w:val="Hyperlink"/>
            <w:rFonts w:ascii="Times New Roman" w:hAnsi="Times New Roman"/>
            <w:b w:val="false"/>
            <w:i w:val="false"/>
            <w:color w:val="000000"/>
            <w:sz w:val="22"/>
          </w:rPr>
          <w:t>459.201</w:t>
        </w:r>
      </w:hyperlink>
      <w:r>
        <w:rPr>
          <w:rFonts w:ascii="Times New Roman" w:hAnsi="Times New Roman"/>
          <w:b w:val="false"/>
          <w:i w:val="false"/>
          <w:color w:val="000000"/>
          <w:sz w:val="22"/>
        </w:rPr>
        <w:t xml:space="preserve"> provides that two or more AFOs under common ownership or management are deemed to be a single AFO if they are adjacent or utilize a common system for manure storage. The distinction is due to regulation of AFOs for water quality purposes under the Act. 40 CFR 122.23 sets out the requirements for an AFO and requires that two or more AFOs under common ownership be considered a single operation if they adjoin each other or if they use a common area or system for disposal of wastes. However, this federal regulation does not control regulation of AFOs for the purposes of the separation distances in Iowa Code section </w:t>
      </w:r>
      <w:hyperlink r:id="rId26">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and therefore the definition is not required by federal law to include common areas for manure disposal.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To determine if two or more AFOs are deemed to be one AFO, the first test is whether the AFOs are under common ownership or management. If they are not under common ownership or management, they are not one AFO. For purposes of water quality regulation, the second test is whether the two AFOs are adjacent or utilize a common area or system for manure disposal. If the two operations are not adjacent and do not use a common area or system for manure disposal, they are not one AFO. For purposes of the air quality-related separation distances in Iowa Code section </w:t>
      </w:r>
      <w:hyperlink r:id="rId2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the second test is whether the two AFOs are adjacent or utilize a common system for manure storage. If the two operations are not adjacent and do not use the same system for manure storage, they are not one AFO.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common area or system for manure disposal includes but is not limited to use of the same manure storage structure, confinement feeding operation structure, egg washwater storage structure, stockpile, permanent manure transfer piping system or center pivot irrigation system. A common area or system for manure disposal does not include manure application fields included in a manure management plan or anaerobic digester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“confinement building” </w:t>
      </w:r>
      <w:r>
        <w:rPr>
          <w:rFonts w:ascii="Times New Roman" w:hAnsi="Times New Roman"/>
          <w:b w:val="false"/>
          <w:i w:val="false"/>
          <w:color w:val="000000"/>
          <w:sz w:val="22"/>
        </w:rPr>
        <w:t>means a building used in conjunction with a confinement feeding operation to house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structure” </w:t>
      </w:r>
      <w:r>
        <w:rPr>
          <w:rFonts w:ascii="Times New Roman" w:hAnsi="Times New Roman"/>
          <w:b w:val="false"/>
          <w:i w:val="false"/>
          <w:color w:val="000000"/>
          <w:sz w:val="22"/>
        </w:rPr>
        <w:t>means an AFO structure that is part of a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site” </w:t>
      </w:r>
      <w:r>
        <w:rPr>
          <w:rFonts w:ascii="Times New Roman" w:hAnsi="Times New Roman"/>
          <w:b w:val="false"/>
          <w:i w:val="false"/>
          <w:color w:val="000000"/>
          <w:sz w:val="22"/>
        </w:rPr>
        <w:t>means a site where there is located a manure storage structure which is part of a confinement feeding operation, other than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site manure applicator” </w:t>
      </w:r>
      <w:r>
        <w:rPr>
          <w:rFonts w:ascii="Times New Roman" w:hAnsi="Times New Roman"/>
          <w:b w:val="false"/>
          <w:i w:val="false"/>
          <w:color w:val="000000"/>
          <w:sz w:val="22"/>
        </w:rPr>
        <w:t>means a person, other than a commercial manure service or a commercial manure service representative, who applies manure on land if the manure originates from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approval letter” </w:t>
      </w:r>
      <w:r>
        <w:rPr>
          <w:rFonts w:ascii="Times New Roman" w:hAnsi="Times New Roman"/>
          <w:b w:val="false"/>
          <w:i w:val="false"/>
          <w:color w:val="000000"/>
          <w:sz w:val="22"/>
        </w:rPr>
        <w:t xml:space="preserve">means a written document of the department to acknowledge that the preconstruction submittal requirements of rule </w:t>
      </w:r>
      <w:hyperlink r:id="rId28">
        <w:r>
          <w:rPr>
            <w:rStyle w:val="Hyperlink"/>
            <w:rFonts w:ascii="Times New Roman" w:hAnsi="Times New Roman"/>
            <w:b w:val="false"/>
            <w:i w:val="false"/>
            <w:color w:val="000000"/>
            <w:sz w:val="22"/>
          </w:rPr>
          <w:t>567—65.104</w:t>
        </w:r>
      </w:hyperlink>
      <w:r>
        <w:rPr>
          <w:rFonts w:ascii="Times New Roman" w:hAnsi="Times New Roman"/>
          <w:b w:val="false"/>
          <w:i w:val="false"/>
          <w:color w:val="000000"/>
          <w:sz w:val="22"/>
        </w:rPr>
        <w:t xml:space="preserve">(455B,459,459B) have been met for a confinement feeding operation that is not required to obtain a construction permit pursuant to rule </w:t>
      </w:r>
      <w:hyperlink r:id="rId29">
        <w:r>
          <w:rPr>
            <w:rStyle w:val="Hyperlink"/>
            <w:rFonts w:ascii="Times New Roman" w:hAnsi="Times New Roman"/>
            <w:b w:val="false"/>
            <w:i w:val="false"/>
            <w:color w:val="000000"/>
            <w:sz w:val="22"/>
          </w:rPr>
          <w:t>567—65.103</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design statement” </w:t>
      </w:r>
      <w:r>
        <w:rPr>
          <w:rFonts w:ascii="Times New Roman" w:hAnsi="Times New Roman"/>
          <w:b w:val="false"/>
          <w:i w:val="false"/>
          <w:color w:val="000000"/>
          <w:sz w:val="22"/>
        </w:rPr>
        <w:t>means a document required to be submitted by a confinement feeding operation prior to constructing a formed manure storage structure, other than a SAFO, but that does not meet the threshold engineering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r>
        <w:rPr>
          <w:rFonts w:ascii="Times New Roman" w:hAnsi="Times New Roman"/>
          <w:b w:val="false"/>
          <w:i w:val="false"/>
          <w:color w:val="000000"/>
          <w:sz w:val="22"/>
        </w:rPr>
        <w:t xml:space="preserve">means a written approval of the department to construct, modify or alter the use of an AFO structure as required by rules </w:t>
      </w:r>
      <w:hyperlink r:id="rId30">
        <w:r>
          <w:rPr>
            <w:rStyle w:val="Hyperlink"/>
            <w:rFonts w:ascii="Times New Roman" w:hAnsi="Times New Roman"/>
            <w:b w:val="false"/>
            <w:i w:val="false"/>
            <w:color w:val="000000"/>
            <w:sz w:val="22"/>
          </w:rPr>
          <w:t>567—65.103</w:t>
        </w:r>
      </w:hyperlink>
      <w:r>
        <w:rPr>
          <w:rFonts w:ascii="Times New Roman" w:hAnsi="Times New Roman"/>
          <w:b w:val="false"/>
          <w:i w:val="false"/>
          <w:color w:val="000000"/>
          <w:sz w:val="22"/>
        </w:rPr>
        <w:t xml:space="preserve">(455B,459,459B) and </w:t>
      </w:r>
      <w:hyperlink r:id="rId31">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“Controlling interest” </w:t>
      </w:r>
      <w:r>
        <w:rPr>
          <w:rFonts w:ascii="Times New Roman" w:hAnsi="Times New Roman"/>
          <w:b w:val="false"/>
          <w:i w:val="false"/>
          <w:color w:val="000000"/>
          <w:sz w:val="22"/>
        </w:rPr>
        <w:t>means ownership of a confinement feeding operation as a sole proprietor or a majority ownership interest held by a person in a confinement feeding operation as a joint tenant, tenant in common, shareholder, partner, member, beneficiary, or other equity interest holder. The majority ownership interest is a controlling interest when it is held directly, indirectly through a spouse or dependent child, or both. The majority ownership interest must be a voting interest or otherwise control management of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w:t>
      </w:r>
      <w:r>
        <w:rPr>
          <w:rFonts w:ascii="Times New Roman" w:hAnsi="Times New Roman"/>
          <w:b w:val="false"/>
          <w:i w:val="false"/>
          <w:color w:val="000000"/>
          <w:sz w:val="22"/>
        </w:rPr>
        <w:t>means organic or inorganic material, placed upon an AFO structure used to store manure, which significantly reduces the exchange of gases between the stored manure and the outside air. Organic materials include but are not limited to a layer of chopped straw, other crop residue, or a naturally occurring crust on the surface of the stored manure. Inorganic materials include but are not limited to wood, steel, aluminum, rubber, plastic, or Styrofoam. The materials shall shield at least 90 percent of the surface area of the stored manure from the outside air. Cover shall include an organic or inorganic material which current scientific research shows reduces detectable odor by at least 75 percent. A formed manure storage structure directly beneath a floor where animals are housed in a confinement feeding operation is deemed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public area” </w:t>
      </w:r>
      <w:r>
        <w:rPr>
          <w:rFonts w:ascii="Times New Roman" w:hAnsi="Times New Roman"/>
          <w:b w:val="false"/>
          <w:i w:val="false"/>
          <w:color w:val="000000"/>
          <w:sz w:val="22"/>
        </w:rPr>
        <w:t>means land that is owned or managed by the federal government, by the department, or by a political subdivision and that has unique scenic, cultural, archaeological, scientific, or historic significance or contains a rare or valuable ecological system. Critical public areas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State wildlife and waterfowl refuges listed in </w:t>
      </w:r>
      <w:hyperlink r:id="rId32">
        <w:r>
          <w:rPr>
            <w:rStyle w:val="Hyperlink"/>
            <w:rFonts w:ascii="Times New Roman" w:hAnsi="Times New Roman"/>
            <w:b w:val="false"/>
            <w:i w:val="false"/>
            <w:color w:val="000000"/>
            <w:sz w:val="22"/>
          </w:rPr>
          <w:t>571—subrules 52.1(2)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Recreation areas, state parks, state parks managed by another governmental agency, and state preserves as listed in rule </w:t>
      </w:r>
      <w:hyperlink r:id="rId34">
        <w:r>
          <w:rPr>
            <w:rStyle w:val="Hyperlink"/>
            <w:rFonts w:ascii="Times New Roman" w:hAnsi="Times New Roman"/>
            <w:b w:val="false"/>
            <w:i w:val="false"/>
            <w:color w:val="000000"/>
            <w:sz w:val="22"/>
          </w:rPr>
          <w:t>571—61.2</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County parks and recreation areas as provided in subrule </w:t>
      </w:r>
      <w:hyperlink r:id="rId35">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National wildlife refuges listed as follows: Union Slough National Wildlife Refuge, DeSoto National Wildlife Refuge, Boyer Chute National Wildlife Refuge, Upper Mississippi River National Wildlife and Fish Refuge, Driftless Area National Wildlife Refuge, Neal Smith National Wildlife Refuge, and Port Louisa National Wildlife Refuge;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National monuments and national historic sites listed as follows: Effigy Mounds National Monument and Herbert Hoover National Historic Site;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Parks in Iowa that are under the federal jurisdiction listed with the United States Army Corps of Engineers as provided in subrule </w:t>
      </w:r>
      <w:hyperlink r:id="rId36">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“Cropland” </w:t>
      </w:r>
      <w:r>
        <w:rPr>
          <w:rFonts w:ascii="Times New Roman" w:hAnsi="Times New Roman"/>
          <w:b w:val="false"/>
          <w:i w:val="false"/>
          <w:color w:val="000000"/>
          <w:sz w:val="22"/>
        </w:rPr>
        <w:t>means any land suitable for use in agricultural production including but not limited to feed, grain and seed crops, fruits, vegetables, forages, sod, trees, grassland, pasture and other similar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well” </w:t>
      </w:r>
      <w:r>
        <w:rPr>
          <w:rFonts w:ascii="Times New Roman" w:hAnsi="Times New Roman"/>
          <w:b w:val="false"/>
          <w:i w:val="false"/>
          <w:color w:val="000000"/>
          <w:sz w:val="22"/>
        </w:rPr>
        <w:t>means a well located and constructed in such a manner that there is a continuous layer of low permeability soil or rock at least 5 feet thick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area” </w:t>
      </w:r>
      <w:r>
        <w:rPr>
          <w:rFonts w:ascii="Times New Roman" w:hAnsi="Times New Roman"/>
          <w:b w:val="false"/>
          <w:i w:val="false"/>
          <w:color w:val="000000"/>
          <w:sz w:val="22"/>
        </w:rPr>
        <w:t>means a known sinkhole, abandoned well, unplugged agricultural drainage well, agricultural drainage well cistern, agricultural drainage well surface tile inlet, drinking water well, designated wetland, or water source. “Designated area” does not include a terrace tile inlet or surface tile inlet other than an agricultural drainage well surface tile inlet.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CAFO” </w:t>
      </w:r>
      <w:r>
        <w:rPr>
          <w:rFonts w:ascii="Times New Roman" w:hAnsi="Times New Roman"/>
          <w:b w:val="false"/>
          <w:i w:val="false"/>
          <w:color w:val="000000"/>
          <w:sz w:val="22"/>
        </w:rPr>
        <w:t xml:space="preserve">means an AFO that has been designated as a CAFO pursuant to rule </w:t>
      </w:r>
      <w:hyperlink r:id="rId37">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wetland” </w:t>
      </w:r>
      <w:r>
        <w:rPr>
          <w:rFonts w:ascii="Times New Roman" w:hAnsi="Times New Roman"/>
          <w:b w:val="false"/>
          <w:i w:val="false"/>
          <w:color w:val="000000"/>
          <w:sz w:val="22"/>
        </w:rPr>
        <w:t xml:space="preserve">means land designated as a protected wetland by the United States Department of the Interior or the department, including but not limited to a protected wetland as defined in Iowa Code section </w:t>
      </w:r>
      <w:hyperlink r:id="rId38">
        <w:r>
          <w:rPr>
            <w:rStyle w:val="Hyperlink"/>
            <w:rFonts w:ascii="Times New Roman" w:hAnsi="Times New Roman"/>
            <w:b w:val="false"/>
            <w:i w:val="false"/>
            <w:color w:val="000000"/>
            <w:sz w:val="22"/>
          </w:rPr>
          <w:t>456B.1</w:t>
        </w:r>
      </w:hyperlink>
      <w:r>
        <w:rPr>
          <w:rFonts w:ascii="Times New Roman" w:hAnsi="Times New Roman"/>
          <w:b w:val="false"/>
          <w:i w:val="false"/>
          <w:color w:val="000000"/>
          <w:sz w:val="22"/>
        </w:rPr>
        <w:t xml:space="preserve">, if the land is owned and managed by the federal government or the department. However, a designated wetland does not include land where an agricultural drainage well has been plugged causing a temporary wetland or land within a drainage district or levee district. Designated wetlands in the state are listed in the department’s “Designated Wetlands in Iowa” (more information is contained in subrule </w:t>
      </w:r>
      <w:hyperlink r:id="rId39">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 incorporation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“Discontinued AFO” </w:t>
      </w:r>
      <w:r>
        <w:rPr>
          <w:rFonts w:ascii="Times New Roman" w:hAnsi="Times New Roman"/>
          <w:b w:val="false"/>
          <w:i w:val="false"/>
          <w:color w:val="000000"/>
          <w:sz w:val="22"/>
        </w:rPr>
        <w:t>means an AFO whose structures have been abandoned or whose use has been discontinued as evidenced by the removal of all animals and the owner or operator has no immediate plans to repopulate.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“Discontinued AFO structure” </w:t>
      </w:r>
      <w:r>
        <w:rPr>
          <w:rFonts w:ascii="Times New Roman" w:hAnsi="Times New Roman"/>
          <w:b w:val="false"/>
          <w:i w:val="false"/>
          <w:color w:val="000000"/>
          <w:sz w:val="22"/>
        </w:rPr>
        <w:t>means an AFO structure that has been abandoned or whose use has been discontinued as evidenced by the removal of all animals from the structure and the owner or operator has no immediate plans to repopulate.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 </w:t>
      </w:r>
      <w:r>
        <w:rPr>
          <w:rFonts w:ascii="Times New Roman" w:hAnsi="Times New Roman"/>
          <w:b w:val="false"/>
          <w:i w:val="false"/>
          <w:color w:val="000000"/>
          <w:sz w:val="22"/>
        </w:rPr>
        <w:t xml:space="preserve">means any form required to be processed by the department under this chapter regulating AFOs, including but not limited to applications or related materials for permits as provided in Iowa Code section </w:t>
      </w:r>
      <w:hyperlink r:id="rId40">
        <w:r>
          <w:rPr>
            <w:rStyle w:val="Hyperlink"/>
            <w:rFonts w:ascii="Times New Roman" w:hAnsi="Times New Roman"/>
            <w:b w:val="false"/>
            <w:i w:val="false"/>
            <w:color w:val="000000"/>
            <w:sz w:val="22"/>
          </w:rPr>
          <w:t>459.303</w:t>
        </w:r>
      </w:hyperlink>
      <w:r>
        <w:rPr>
          <w:rFonts w:ascii="Times New Roman" w:hAnsi="Times New Roman"/>
          <w:b w:val="false"/>
          <w:i w:val="false"/>
          <w:color w:val="000000"/>
          <w:sz w:val="22"/>
        </w:rPr>
        <w:t xml:space="preserve">, MMPs as provided in Iowa Code section </w:t>
      </w:r>
      <w:hyperlink r:id="rId41">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xml:space="preserve">, comment or evaluation by a county board of supervisors considering an application for a construction permit, the department’s analysis of the application including using and responding to a master matrix pursuant to Iowa Code section </w:t>
      </w:r>
      <w:hyperlink r:id="rId42">
        <w:r>
          <w:rPr>
            <w:rStyle w:val="Hyperlink"/>
            <w:rFonts w:ascii="Times New Roman" w:hAnsi="Times New Roman"/>
            <w:b w:val="false"/>
            <w:i w:val="false"/>
            <w:color w:val="000000"/>
            <w:sz w:val="22"/>
          </w:rPr>
          <w:t>459.304</w:t>
        </w:r>
      </w:hyperlink>
      <w:r>
        <w:rPr>
          <w:rFonts w:ascii="Times New Roman" w:hAnsi="Times New Roman"/>
          <w:b w:val="false"/>
          <w:i w:val="false"/>
          <w:color w:val="000000"/>
          <w:sz w:val="22"/>
        </w:rPr>
        <w:t>, and notices required under those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confinement feeding operation” </w:t>
      </w:r>
      <w:r>
        <w:rPr>
          <w:rFonts w:ascii="Times New Roman" w:hAnsi="Times New Roman"/>
          <w:b w:val="false"/>
          <w:i w:val="false"/>
          <w:color w:val="000000"/>
          <w:sz w:val="22"/>
        </w:rPr>
        <w:t>means a confinement feeding operation in which cattle or swine are confined to areas which are totally roofed and in which all manure is stored as dry bedded manure. Unless specifically stated otherwise, all requirements in Divisions I and II of this chapter do apply to dry bedded confinement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confinement feeding operation structure” </w:t>
      </w:r>
      <w:r>
        <w:rPr>
          <w:rFonts w:ascii="Times New Roman" w:hAnsi="Times New Roman"/>
          <w:b w:val="false"/>
          <w:i w:val="false"/>
          <w:color w:val="000000"/>
          <w:sz w:val="22"/>
        </w:rPr>
        <w:t>means a dry bedded confinement feeding operation building or a dry bedded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manure” </w:t>
      </w:r>
      <w:r>
        <w:rPr>
          <w:rFonts w:ascii="Times New Roman" w:hAnsi="Times New Roman"/>
          <w:b w:val="false"/>
          <w:i w:val="false"/>
          <w:color w:val="000000"/>
          <w:sz w:val="22"/>
        </w:rPr>
        <w:t>means manure from cattle or swine that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does not flow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is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manure contains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manure confinement feeding operation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 building used in conjunction with a confinement feeding operation to house cattle or swine and in which any manure from the animals is stored as dry bedded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manure storage structure” </w:t>
      </w:r>
      <w:r>
        <w:rPr>
          <w:rFonts w:ascii="Times New Roman" w:hAnsi="Times New Roman"/>
          <w:b w:val="false"/>
          <w:i w:val="false"/>
          <w:color w:val="000000"/>
          <w:sz w:val="22"/>
        </w:rPr>
        <w:t>means a covered or uncovered structure, other than a building, used to store dry bedded manure originating from a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manure” </w:t>
      </w:r>
      <w:r>
        <w:rPr>
          <w:rFonts w:ascii="Times New Roman" w:hAnsi="Times New Roman"/>
          <w:b w:val="false"/>
          <w:i w:val="false"/>
          <w:color w:val="000000"/>
          <w:sz w:val="22"/>
        </w:rPr>
        <w:t>means manure that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does not flow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is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constituent molecules of the manure do not flow freely among themselves but may show a tendency to separate under stress.</w:t>
      </w:r>
    </w:p>
    <w:p>
      <w:pPr>
        <w:spacing w:before="0" w:after="0"/>
        <w:ind w:left="120"/>
        <w:jc w:val="both"/>
      </w:pPr>
      <w:r>
        <w:rPr>
          <w:rFonts w:ascii="Times New Roman" w:hAnsi="Times New Roman"/>
          <w:b w:val="false"/>
          <w:i w:val="false"/>
          <w:color w:val="000000"/>
          <w:sz w:val="22"/>
        </w:rPr>
        <w:t>“Dry manure” includes manure marketed as a bulk dry animal nutrient product that is stored 1,250 feet or less from the confinement animal feeding structure from which it originated.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manure storage basin” </w:t>
      </w:r>
      <w:r>
        <w:rPr>
          <w:rFonts w:ascii="Times New Roman" w:hAnsi="Times New Roman"/>
          <w:b w:val="false"/>
          <w:i w:val="false"/>
          <w:color w:val="000000"/>
          <w:sz w:val="22"/>
        </w:rPr>
        <w:t>means an earthen cavity, either covered or uncovered, that, on a regular basis, receives manure discharges from a confinement feeding operation if accumulated manure from the basin is completely removed at least once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waste slurry storage basin” </w:t>
      </w:r>
      <w:r>
        <w:rPr>
          <w:rFonts w:ascii="Times New Roman" w:hAnsi="Times New Roman"/>
          <w:b w:val="false"/>
          <w:i w:val="false"/>
          <w:color w:val="000000"/>
          <w:sz w:val="22"/>
        </w:rPr>
        <w:t>means an uncovered and exclusively earthen cavity that, on a regular basis, receives manure discharges from a confinement AFO if accumulated manure from the basin is completely removed at least twice each year and that was issued a permit, constructed or expanded on or after July 1, 1990, but prior to May 31,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institution” </w:t>
      </w:r>
      <w:r>
        <w:rPr>
          <w:rFonts w:ascii="Times New Roman" w:hAnsi="Times New Roman"/>
          <w:b w:val="false"/>
          <w:i w:val="false"/>
          <w:color w:val="000000"/>
          <w:sz w:val="22"/>
        </w:rPr>
        <w:t>means a building in which an organized course of study or training is offered to students enrolled in kindergarten through grade 12 and served by local school districts, accredited or approved nonpublic schools, area education agencies, community colleges, institutions of higher education under the control of the state board of regents, and accredited independent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“Egg washwater storage structure” </w:t>
      </w:r>
      <w:r>
        <w:rPr>
          <w:rFonts w:ascii="Times New Roman" w:hAnsi="Times New Roman"/>
          <w:b w:val="false"/>
          <w:i w:val="false"/>
          <w:color w:val="000000"/>
          <w:sz w:val="22"/>
        </w:rPr>
        <w:t>means an aerobic or anaerobic structure used to store the wastewater resulting from the washing and in-shell packaging of eggs. It does not include a structure also used as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 xml:space="preserve">means an action against a person with a controlling interest in a confinement feeding operation initiated by the department or the attorney general to enforce the provisions of Iowa Code chapter </w:t>
      </w:r>
      <w:hyperlink r:id="rId4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or 459B or rules adopted pursuant to either chapter. An enforcement action begins when the attorney general institutes proceedings in district court pursuant to Iowa Code section </w:t>
      </w:r>
      <w:hyperlink r:id="rId44">
        <w:r>
          <w:rPr>
            <w:rStyle w:val="Hyperlink"/>
            <w:rFonts w:ascii="Times New Roman" w:hAnsi="Times New Roman"/>
            <w:b w:val="false"/>
            <w:i w:val="false"/>
            <w:color w:val="000000"/>
            <w:sz w:val="22"/>
          </w:rPr>
          <w:t>455B.112</w:t>
        </w:r>
      </w:hyperlink>
      <w:r>
        <w:rPr>
          <w:rFonts w:ascii="Times New Roman" w:hAnsi="Times New Roman"/>
          <w:b w:val="false"/>
          <w:i w:val="false"/>
          <w:color w:val="000000"/>
          <w:sz w:val="22"/>
        </w:rPr>
        <w:t>. An enforcement action is pending until final resolution of the action by satisfaction of a court order, for which all judicial appeal rights are exhausted, expired, or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member” </w:t>
      </w:r>
      <w:r>
        <w:rPr>
          <w:rFonts w:ascii="Times New Roman" w:hAnsi="Times New Roman"/>
          <w:b w:val="false"/>
          <w:i w:val="false"/>
          <w:color w:val="000000"/>
          <w:sz w:val="22"/>
        </w:rPr>
        <w:t>means a person related to another person as parent, grandparent, child, grandchild, sibling, or a spouse of such related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“Feed storage runoff basin” </w:t>
      </w:r>
      <w:r>
        <w:rPr>
          <w:rFonts w:ascii="Times New Roman" w:hAnsi="Times New Roman"/>
          <w:b w:val="false"/>
          <w:i w:val="false"/>
          <w:color w:val="000000"/>
          <w:sz w:val="22"/>
        </w:rPr>
        <w:t>means a covered or uncovered impoundment with the primary function to collect and store runoff from a feed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animal truck wash effluent structure” </w:t>
      </w:r>
      <w:r>
        <w:rPr>
          <w:rFonts w:ascii="Times New Roman" w:hAnsi="Times New Roman"/>
          <w:b w:val="false"/>
          <w:i w:val="false"/>
          <w:color w:val="000000"/>
          <w:sz w:val="22"/>
        </w:rPr>
        <w:t>means a covered or uncovered impoundment used to store effluent from an animal truck wash facility, which has walls and a floor constructed of concrete, concrete block, wood, steel,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manure storage structure” </w:t>
      </w:r>
      <w:r>
        <w:rPr>
          <w:rFonts w:ascii="Times New Roman" w:hAnsi="Times New Roman"/>
          <w:b w:val="false"/>
          <w:i w:val="false"/>
          <w:color w:val="000000"/>
          <w:sz w:val="22"/>
        </w:rPr>
        <w:t>means a covered or uncovered impoundment used to store manure from an AFO, which has walls and a floor constructed of concrete, concrete block, wood, steel, or similar materials. Subject to department approval, similar materials may include but are not limited to plastic, rubber, fiberglass, or other synthetic materials. Materials used in a formed manure storage structure shall have the structural integrity to withstand expected internal and external load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settled open feedlot effluent basin” </w:t>
      </w:r>
      <w:r>
        <w:rPr>
          <w:rFonts w:ascii="Times New Roman" w:hAnsi="Times New Roman"/>
          <w:b w:val="false"/>
          <w:i w:val="false"/>
          <w:color w:val="000000"/>
          <w:sz w:val="22"/>
        </w:rPr>
        <w:t>means a settled open feedlot effluent basin which has walls and a floor constructed of concrete, concrete block, wood, steel, or similar materials. Similar materials may include but are not limited to plastic, rubber, fiberglass, or other synthetic materials. Materials used in a formed settled open feedlot effluent basin shall have the structural integrity to withstand expected internal and external load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means the difference in elevation between the liquid level and the confinement feeding operation structure’s overflow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“Frozen ground” </w:t>
      </w:r>
      <w:r>
        <w:rPr>
          <w:rFonts w:ascii="Times New Roman" w:hAnsi="Times New Roman"/>
          <w:b w:val="false"/>
          <w:i w:val="false"/>
          <w:color w:val="000000"/>
          <w:sz w:val="22"/>
        </w:rPr>
        <w:t>means soil that is impenetrable due to frozen soil moisture but does not include soil that is only frozen to a depth of two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“Grassed waterway” </w:t>
      </w:r>
      <w:r>
        <w:rPr>
          <w:rFonts w:ascii="Times New Roman" w:hAnsi="Times New Roman"/>
          <w:b w:val="false"/>
          <w:i w:val="false"/>
          <w:color w:val="000000"/>
          <w:sz w:val="22"/>
        </w:rPr>
        <w:t>means a natural or constructed channel that is shaped or graded to required dimensions and established in suitable vegetation for the stable conveyance of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erodible land” </w:t>
      </w:r>
      <w:r>
        <w:rPr>
          <w:rFonts w:ascii="Times New Roman" w:hAnsi="Times New Roman"/>
          <w:b w:val="false"/>
          <w:i w:val="false"/>
          <w:color w:val="000000"/>
          <w:sz w:val="22"/>
        </w:rPr>
        <w:t>means a field that has one-third or more of its acres or 50 acres, whichever is less, with soils that have an erodibility index of eight or more, as determined by rules promulgated by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sanitary waste” </w:t>
      </w:r>
      <w:r>
        <w:rPr>
          <w:rFonts w:ascii="Times New Roman" w:hAnsi="Times New Roman"/>
          <w:b w:val="false"/>
          <w:i w:val="false"/>
          <w:color w:val="000000"/>
          <w:sz w:val="22"/>
        </w:rPr>
        <w:t>means wastewater derived from domestic uses including bathroom and laundry facilities generating wastewater from toilets, baths, showers, lavatories and clothes washing.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w:t>
      </w:r>
      <w:r>
        <w:rPr>
          <w:rFonts w:ascii="Times New Roman" w:hAnsi="Times New Roman"/>
          <w:b w:val="false"/>
          <w:i w:val="false"/>
          <w:color w:val="000000"/>
          <w:sz w:val="22"/>
        </w:rPr>
        <w:t>means a duty which is secondary or subordinate to a primary job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“Incorporation” </w:t>
      </w:r>
      <w:r>
        <w:rPr>
          <w:rFonts w:ascii="Times New Roman" w:hAnsi="Times New Roman"/>
          <w:b w:val="false"/>
          <w:i w:val="false"/>
          <w:color w:val="000000"/>
          <w:sz w:val="22"/>
        </w:rPr>
        <w:t>means a soil tillage operation following the surface application of manure which mixes the manure into the upper four inches or more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“Indemnity fund” </w:t>
      </w:r>
      <w:r>
        <w:rPr>
          <w:rFonts w:ascii="Times New Roman" w:hAnsi="Times New Roman"/>
          <w:b w:val="false"/>
          <w:i w:val="false"/>
          <w:color w:val="000000"/>
          <w:sz w:val="22"/>
        </w:rPr>
        <w:t xml:space="preserve">means the livestock remediation fund created in Iowa Code section </w:t>
      </w:r>
      <w:hyperlink r:id="rId45">
        <w:r>
          <w:rPr>
            <w:rStyle w:val="Hyperlink"/>
            <w:rFonts w:ascii="Times New Roman" w:hAnsi="Times New Roman"/>
            <w:b w:val="false"/>
            <w:i w:val="false"/>
            <w:color w:val="000000"/>
            <w:sz w:val="22"/>
          </w:rPr>
          <w:t>459.501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“Injection” </w:t>
      </w:r>
      <w:r>
        <w:rPr>
          <w:rFonts w:ascii="Times New Roman" w:hAnsi="Times New Roman"/>
          <w:b w:val="false"/>
          <w:i w:val="false"/>
          <w:color w:val="000000"/>
          <w:sz w:val="22"/>
        </w:rPr>
        <w:t>means the application of manure into the soil surface using equipment that discharges it beneath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means ownership of a confinement feeding operation as a sole proprietor or a 10 percent or more ownership interest held by a person in a confinement feeding operation as a joint tenant, tenant in common, shareholder, partner, member, beneficiary, or other equity interest holder. The ownership interest is an interest when it is held directly, indirectly through a spouse or dependent child,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“Karst terrain” </w:t>
      </w:r>
      <w:r>
        <w:rPr>
          <w:rFonts w:ascii="Times New Roman" w:hAnsi="Times New Roman"/>
          <w:b w:val="false"/>
          <w:i w:val="false"/>
          <w:color w:val="000000"/>
          <w:sz w:val="22"/>
        </w:rPr>
        <w:t xml:space="preserve">means land having karst formations that exhibit surface and subterranean features of a type produced by the dissolution of limestone, dolomite, or other soluble rock and characterized by closed depressions, sinkholes, or caves.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“Known sinkhole” </w:t>
      </w:r>
      <w:r>
        <w:rPr>
          <w:rFonts w:ascii="Times New Roman" w:hAnsi="Times New Roman"/>
          <w:b w:val="false"/>
          <w:i w:val="false"/>
          <w:color w:val="000000"/>
          <w:sz w:val="22"/>
        </w:rPr>
        <w:t>means a sinkhole that has been included in the department’s sinkhole coverage and displayed in the AFO Siting Atlas or a sinkhole known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 manure” </w:t>
      </w:r>
      <w:r>
        <w:rPr>
          <w:rFonts w:ascii="Times New Roman" w:hAnsi="Times New Roman"/>
          <w:b w:val="false"/>
          <w:i w:val="false"/>
          <w:color w:val="000000"/>
          <w:sz w:val="22"/>
        </w:rPr>
        <w:t>means manure that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flows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is capable of being transported through a mechanical pumping device designated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constituent molecules of the liquid manure flow freely among themselves and show a tendency to separate under stress. </w:t>
      </w:r>
    </w:p>
    <w:p>
      <w:pPr>
        <w:spacing w:before="0" w:after="0"/>
        <w:ind w:left="120"/>
        <w:jc w:val="both"/>
      </w:pPr>
      <w:r>
        <w:rPr>
          <w:rFonts w:ascii="Times New Roman" w:hAnsi="Times New Roman"/>
          <w:b w:val="false"/>
          <w:i w:val="false"/>
          <w:color w:val="000000"/>
          <w:sz w:val="22"/>
        </w:rPr>
        <w:t>Liquid manure that is frozen or partially frozen is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market” </w:t>
      </w:r>
      <w:r>
        <w:rPr>
          <w:rFonts w:ascii="Times New Roman" w:hAnsi="Times New Roman"/>
          <w:b w:val="false"/>
          <w:i w:val="false"/>
          <w:color w:val="000000"/>
          <w:sz w:val="22"/>
        </w:rPr>
        <w:t>means any place where animals are assembled from two or more sources for public auction, private sale, or on a commission basis, which is under state or federal supervision, including a livestock sale barn or auction market, if such animals are kept for ten days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stockpile location” </w:t>
      </w:r>
      <w:r>
        <w:rPr>
          <w:rFonts w:ascii="Times New Roman" w:hAnsi="Times New Roman"/>
          <w:b w:val="false"/>
          <w:i w:val="false"/>
          <w:color w:val="000000"/>
          <w:sz w:val="22"/>
        </w:rPr>
        <w:t>means an area where a person stockpiles manure for more than a total of six months in any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“Low-pressure irrigation system” </w:t>
      </w:r>
      <w:r>
        <w:rPr>
          <w:rFonts w:ascii="Times New Roman" w:hAnsi="Times New Roman"/>
          <w:b w:val="false"/>
          <w:i w:val="false"/>
          <w:color w:val="000000"/>
          <w:sz w:val="22"/>
        </w:rPr>
        <w:t>means spray irrigation equipment that discharges manure from a maximum height of nine feet in a downward direction and that utilizes spray nozzles that discharge manure at a maximum pressure of 25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water source” </w:t>
      </w:r>
      <w:r>
        <w:rPr>
          <w:rFonts w:ascii="Times New Roman" w:hAnsi="Times New Roman"/>
          <w:b w:val="false"/>
          <w:i w:val="false"/>
          <w:color w:val="000000"/>
          <w:sz w:val="22"/>
        </w:rPr>
        <w:t xml:space="preserve">means a water source that is a lake, reservoir, river or stream located within the territorial limits of the state, or any marginal river area adjacent to the state, if the water source is capable of supporting a floating vessel capable of carrying one or more persons during a total of a six-month period in one out of ten years, excluding periods of flooding. Major water sources in the state are listed in Table 1 and Table 2 at </w:t>
      </w:r>
      <w:hyperlink r:id="rId4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(more information is contained in subrule </w:t>
      </w:r>
      <w:hyperlink r:id="rId47">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 incorporation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“Manager” </w:t>
      </w:r>
      <w:r>
        <w:rPr>
          <w:rFonts w:ascii="Times New Roman" w:hAnsi="Times New Roman"/>
          <w:b w:val="false"/>
          <w:i w:val="false"/>
          <w:color w:val="000000"/>
          <w:sz w:val="22"/>
        </w:rPr>
        <w:t>means a person who is actively involved in the operation of the commercial manure service and makes management decisions in the operation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“Man-made manure drainage system” </w:t>
      </w:r>
      <w:r>
        <w:rPr>
          <w:rFonts w:ascii="Times New Roman" w:hAnsi="Times New Roman"/>
          <w:b w:val="false"/>
          <w:i w:val="false"/>
          <w:color w:val="000000"/>
          <w:sz w:val="22"/>
        </w:rPr>
        <w:t>means a drainage ditch, flushing system, or other drainage device which was constructed by human beings and is used for the purpose of transporting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“Manure” </w:t>
      </w:r>
      <w:r>
        <w:rPr>
          <w:rFonts w:ascii="Times New Roman" w:hAnsi="Times New Roman"/>
          <w:b w:val="false"/>
          <w:i w:val="false"/>
          <w:color w:val="000000"/>
          <w:sz w:val="22"/>
        </w:rPr>
        <w:t>means animal excreta or other commonly associated wastes of animals including but not limited to bedding, litter, or feed losses. Manure does not include wastewater resulting from the washing and in-shell packaging of eggs. For the purposes of NPDES permitting, “manure” includes manure, bedding, compost and raw materials or other materials commingled with manure or set aside for disposal. If a manure storage structure or animal truck wash effluent structure contains both manure from an AFO and animal truck wash effluent from an animal truck wash facility, the effluent shall be deemed to be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“Manure storage structure” </w:t>
      </w:r>
      <w:r>
        <w:rPr>
          <w:rFonts w:ascii="Times New Roman" w:hAnsi="Times New Roman"/>
          <w:b w:val="false"/>
          <w:i w:val="false"/>
          <w:color w:val="000000"/>
          <w:sz w:val="22"/>
        </w:rPr>
        <w:t>means a formed manure storage structure, an unformed manure storage structure, digester, or a dry bedded manure storage structure. A manure storage structure does not include the following: (1) egg washwater storage structure, (2) areas of a confinement building where no manure is stored, and (3) areas of a confinement building where the animals have direct contact with the manure and the manure is removed regularly during the production cycle or at the conclusion of the production cycle (referred to as the “animal production area”). An animal truck wash effluent structure may be the same as a manure storage structure that is part of the confinement feeding operation, so long as the primary function of such impoundment is to collect and store both effluent from the animal truck wash facility and manure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“NPDES permit” </w:t>
      </w:r>
      <w:r>
        <w:rPr>
          <w:rFonts w:ascii="Times New Roman" w:hAnsi="Times New Roman"/>
          <w:b w:val="false"/>
          <w:i w:val="false"/>
          <w:color w:val="000000"/>
          <w:sz w:val="22"/>
        </w:rPr>
        <w:t xml:space="preserve">means a written permit of the department, pursuant to the National Pollutant Discharge Elimination System (NPDES) program, to authorize and regulate the operation of a CAFO.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“NRCS” </w:t>
      </w:r>
      <w:r>
        <w:rPr>
          <w:rFonts w:ascii="Times New Roman" w:hAnsi="Times New Roman"/>
          <w:b w:val="false"/>
          <w:i w:val="false"/>
          <w:color w:val="000000"/>
          <w:sz w:val="22"/>
        </w:rPr>
        <w:t>means United States Department of Agriculture Natural Resources Conservation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“Nutrient management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“NMP” </w:t>
      </w:r>
      <w:r>
        <w:rPr>
          <w:rFonts w:ascii="Times New Roman" w:hAnsi="Times New Roman"/>
          <w:b w:val="false"/>
          <w:i w:val="false"/>
          <w:color w:val="000000"/>
          <w:sz w:val="22"/>
        </w:rPr>
        <w:t xml:space="preserve">means a plan that provides for the management of manure, process wastewater, settled open feedlot effluent, settleable solids, open feedlot effluent, animal truck wash effluent, including the application of effluent, as provided in rule </w:t>
      </w:r>
      <w:hyperlink r:id="rId48">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“One hundred year floodplain” </w:t>
      </w:r>
      <w:r>
        <w:rPr>
          <w:rFonts w:ascii="Times New Roman" w:hAnsi="Times New Roman"/>
          <w:b w:val="false"/>
          <w:i w:val="false"/>
          <w:color w:val="000000"/>
          <w:sz w:val="22"/>
        </w:rPr>
        <w:t>means the land adjacent to a major water source, if there is at least a 1 percent chance that the land will be inundated in any one year. In making the calculations, the department shall consider available maps or data compiled by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w:t>
      </w:r>
      <w:r>
        <w:rPr>
          <w:rFonts w:ascii="Times New Roman" w:hAnsi="Times New Roman"/>
          <w:b w:val="false"/>
          <w:i w:val="false"/>
          <w:color w:val="000000"/>
          <w:sz w:val="22"/>
        </w:rPr>
        <w:t>means a lot, yard, corral, building, or other area used to house animals in conjunction with an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effluent” </w:t>
      </w:r>
      <w:r>
        <w:rPr>
          <w:rFonts w:ascii="Times New Roman" w:hAnsi="Times New Roman"/>
          <w:b w:val="false"/>
          <w:i w:val="false"/>
          <w:color w:val="000000"/>
          <w:sz w:val="22"/>
        </w:rPr>
        <w:t>means a combination of manure, precipitation-induced runoff, or other runoff from an open feedlot before its settleable solids have been removed. If an open feedlot operation structure or animal truck wash effluent structure contains effluent from both an open feedlot operation and an animal truck wash facility, the animal truck wash effluent shall be deemed to be open feedlot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effluent basin” </w:t>
      </w:r>
      <w:r>
        <w:rPr>
          <w:rFonts w:ascii="Times New Roman" w:hAnsi="Times New Roman"/>
          <w:b w:val="false"/>
          <w:i w:val="false"/>
          <w:color w:val="000000"/>
          <w:sz w:val="22"/>
        </w:rPr>
        <w:t>means an open feedlot basin that does not settle solids before the effluent goes to the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operation” </w:t>
      </w:r>
      <w:r>
        <w:rPr>
          <w:rFonts w:ascii="Times New Roman" w:hAnsi="Times New Roman"/>
          <w:b w:val="false"/>
          <w:i w:val="false"/>
          <w:color w:val="000000"/>
          <w:sz w:val="22"/>
        </w:rPr>
        <w:t xml:space="preserve">means an unroofed or partially roofed AFO if crop, vegetation, or forage growth or residue is not maintained as part of the AFO during the period that animals are confined in the AFO. “Open feedlot operation” includes a “partially roofed AFO” as defined in this rule. Iowa Code section </w:t>
      </w:r>
      <w:hyperlink r:id="rId49">
        <w:r>
          <w:rPr>
            <w:rStyle w:val="Hyperlink"/>
            <w:rFonts w:ascii="Times New Roman" w:hAnsi="Times New Roman"/>
            <w:b w:val="false"/>
            <w:i w:val="false"/>
            <w:color w:val="000000"/>
            <w:sz w:val="22"/>
          </w:rPr>
          <w:t>459A.103</w:t>
        </w:r>
      </w:hyperlink>
      <w:r>
        <w:rPr>
          <w:rFonts w:ascii="Times New Roman" w:hAnsi="Times New Roman"/>
          <w:b w:val="false"/>
          <w:i w:val="false"/>
          <w:color w:val="000000"/>
          <w:sz w:val="22"/>
        </w:rPr>
        <w:t xml:space="preserve"> provides that two or more open feedlot operations under common ownership or management are deemed to be a single open feedlot operation if they are adjacent or utilize a common area or system for open feedlot effluent disposal. To determine if two or more open feedlot operations are deemed to be one open feedlot operation, the first test is whether the open feedlot operations are under common ownership or management. If they are not under common ownership or management, they are not one open feedlot operation. The second test is whether the two open feedlot operations are adjacent or utilize a common area or system for open feedlot effluent disposal. If the two operations are not adjacent and do not use a common area or system for open feedlot effluent disposal, they are not one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operation structure” </w:t>
      </w:r>
      <w:r>
        <w:rPr>
          <w:rFonts w:ascii="Times New Roman" w:hAnsi="Times New Roman"/>
          <w:b w:val="false"/>
          <w:i w:val="false"/>
          <w:color w:val="000000"/>
          <w:sz w:val="22"/>
        </w:rPr>
        <w:t xml:space="preserve">means an open feedlot, an open feedlot effluent basin, a settled open feedlot effluent basin, a solids settling facility, or an AT system. “Open feedlot operation structure” does not include a manure storage structure as defined in Iowa Code section </w:t>
      </w:r>
      <w:hyperlink r:id="rId50">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who has legal or equitable title to the property where the AFO is located or a person who has legal or equitable title to the AFO structures. “Owner” does not include a person who has a lease to use the land where the AFO is located or to use the AFO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“Partially roofed AFO” </w:t>
      </w:r>
      <w:r>
        <w:rPr>
          <w:rFonts w:ascii="Times New Roman" w:hAnsi="Times New Roman"/>
          <w:b w:val="false"/>
          <w:i w:val="false"/>
          <w:color w:val="000000"/>
          <w:sz w:val="22"/>
        </w:rPr>
        <w:t>means an AFO in which the animals are confined under a roof and there exists unroofed areas located on the perimeter of the roofed structure, where the animals have unrestricted access at all times. The square footage of the unroofed area shall be at least 10 percent of the square footage of the attached roofed production area. Openings or vents in the roofed portion shall not be included in the 10 percent unroofed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vegetation cover” </w:t>
      </w:r>
      <w:r>
        <w:rPr>
          <w:rFonts w:ascii="Times New Roman" w:hAnsi="Times New Roman"/>
          <w:b w:val="false"/>
          <w:i w:val="false"/>
          <w:color w:val="000000"/>
          <w:sz w:val="22"/>
        </w:rPr>
        <w:t>means land that is maintained in perennial vegetative cover consisting of grasses, legumes, or both, and includes but is not limited to pastures, grasslands or forages.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wastewater” </w:t>
      </w:r>
      <w:r>
        <w:rPr>
          <w:rFonts w:ascii="Times New Roman" w:hAnsi="Times New Roman"/>
          <w:b w:val="false"/>
          <w:i w:val="false"/>
          <w:color w:val="000000"/>
          <w:sz w:val="22"/>
        </w:rPr>
        <w:t>means water directly or indirectly used in the operation of the AFO for any or all of the following: spillage or overflow from animal or poultry watering systems; washing, cleaning, or flushing of pens, barns, manure pits, or other AFO facilities; direct contact swimming, washing, or spray cooling of animals; or dust control. Process wastewater also includes any water which comes into contact with any raw materials, products, or byproducts, including manure, litter, feed, milk, eggs or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“Production area” </w:t>
      </w:r>
      <w:r>
        <w:rPr>
          <w:rFonts w:ascii="Times New Roman" w:hAnsi="Times New Roman"/>
          <w:b w:val="false"/>
          <w:i w:val="false"/>
          <w:color w:val="000000"/>
          <w:sz w:val="22"/>
        </w:rPr>
        <w:t>means that part of an AFO that includes the area in which animals are confined, the manure storage area, the raw materials storage area, egg washing and egg processing facilities, and the waste containment areas. The area in which animals are confined includes but is not limited to open lots, housed lots, feedlots, stall barns, free stall barns, milk rooms, milking centers, cow yards, barnyards, medication pens, walkers, animal walkways, confinement houses, and stables. The manure storage area includes but is not limited to lagoons, solids settling facilities, settled open feedlot effluent basins, storage sheds, stockpiles, under house or pit storages, liquid impoundments, static piles, and composting piles. The raw materials storage area includes but is not limited to feed silos, silage bunkers, and bedding materials. The waste containment area includes but is not limited to settling basins and areas within berms and diversions that separate uncontaminated storm water. Also included in the definition of production area is any area used in the storage, handling, treatment, or disposal of mortalities.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 </w:t>
      </w:r>
      <w:r>
        <w:rPr>
          <w:rFonts w:ascii="Times New Roman" w:hAnsi="Times New Roman"/>
          <w:b w:val="false"/>
          <w:i w:val="false"/>
          <w:color w:val="000000"/>
          <w:sz w:val="22"/>
        </w:rPr>
        <w:t xml:space="preserve">means a person engaged in the practice of engineering as defined in Iowa Code section </w:t>
      </w:r>
      <w:hyperlink r:id="rId51">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who is issued a certificate of licensure as a PE pursuant to Iowa Code section </w:t>
      </w:r>
      <w:hyperlink r:id="rId52">
        <w:r>
          <w:rPr>
            <w:rStyle w:val="Hyperlink"/>
            <w:rFonts w:ascii="Times New Roman" w:hAnsi="Times New Roman"/>
            <w:b w:val="false"/>
            <w:i w:val="false"/>
            <w:color w:val="000000"/>
            <w:sz w:val="22"/>
          </w:rPr>
          <w:t>542B.17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thoroughfare” </w:t>
      </w:r>
      <w:r>
        <w:rPr>
          <w:rFonts w:ascii="Times New Roman" w:hAnsi="Times New Roman"/>
          <w:b w:val="false"/>
          <w:i w:val="false"/>
          <w:color w:val="000000"/>
          <w:sz w:val="22"/>
        </w:rPr>
        <w:t>means a road, street, or bridge that is constructed or maintained by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use area” </w:t>
      </w:r>
      <w:r>
        <w:rPr>
          <w:rFonts w:ascii="Times New Roman" w:hAnsi="Times New Roman"/>
          <w:b w:val="false"/>
          <w:i w:val="false"/>
          <w:color w:val="000000"/>
          <w:sz w:val="22"/>
        </w:rPr>
        <w:t>means that portion of land owned by the United States, the state, or a political subdivision with facilities that attract the public to congregate and remain in the area for significant periods of time. Facilities include but are not limited to picnic grounds, campgrounds, cemeteries, lodges and cabins, shelter houses, playground equipment, swimming beaches at lakes, and fishing docks, fishing houses, fishing jetties or fishing piers at lakes. It does not include a highway, road right-of-way, parking areas, recreational trails or other areas where the public passes through but does not congregate or remain in the area for significant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(also referred to as a system or a water system) means a system for the provision to the public of piped water for human consumption, if such system has at least 15 service connections or regularly serves an average of at least 25 individuals daily at least 60 days out of the year. Such term includes (1) any collection, treatment, storage, and distribution facilities under control of the supplier of water and used primarily in connection with such system, and (2) any collection (including wells) or pretreatment storage facilities not under such control that are used primarily in connection with such system. A public water supply system is either a “community water system” or a “noncommunity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“Q100,” </w:t>
      </w:r>
      <w:r>
        <w:rPr>
          <w:rFonts w:ascii="Times New Roman" w:hAnsi="Times New Roman"/>
          <w:b w:val="false"/>
          <w:i w:val="false"/>
          <w:color w:val="000000"/>
          <w:sz w:val="22"/>
        </w:rPr>
        <w:t xml:space="preserve">as defined in rule </w:t>
      </w:r>
      <w:hyperlink r:id="rId53">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(455B,481A), means a flood having a 1 percent chance of being equaled or exceeded in any one year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confinement feeding operation” </w:t>
      </w:r>
      <w:r>
        <w:rPr>
          <w:rFonts w:ascii="Times New Roman" w:hAnsi="Times New Roman"/>
          <w:b w:val="false"/>
          <w:i w:val="false"/>
          <w:color w:val="000000"/>
          <w:sz w:val="22"/>
        </w:rPr>
        <w:t>means a confinement feeding operation that has an animal unit capacity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5,333 or more for animals other than swine as part of a farrowing and gestating operation or farrow-to-finish operation or cattle as part of a cattle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2,500 or more for a swine farrowing and gestating operation, not including replacement breeding swine if the following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replacement breeding swine are raised at the confinement feeding operation;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replacement breeding swine are used in the farrowing and gestation operation.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5,400 or more for a swine farrow-to-finish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8,500 or more for a confinement feeding operation maintaining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stockpile cover” </w:t>
      </w:r>
      <w:r>
        <w:rPr>
          <w:rFonts w:ascii="Times New Roman" w:hAnsi="Times New Roman"/>
          <w:b w:val="false"/>
          <w:i w:val="false"/>
          <w:color w:val="000000"/>
          <w:sz w:val="22"/>
        </w:rPr>
        <w:t>means a barrier impermeable to precipitation that is used to protect a stockpile from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stockpile structure” </w:t>
      </w:r>
      <w:r>
        <w:rPr>
          <w:rFonts w:ascii="Times New Roman" w:hAnsi="Times New Roman"/>
          <w:b w:val="false"/>
          <w:i w:val="false"/>
          <w:color w:val="000000"/>
          <w:sz w:val="22"/>
        </w:rPr>
        <w:t>means a building or roofed structure that is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Impermeable to precipitation.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Constructed using wood, steel, aluminum, vinyl, plastic, or other similar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Constructed with walls or other means to prevent precipitation-induced surface runoff from contacting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w:t>
      </w:r>
      <w:r>
        <w:rPr>
          <w:rFonts w:ascii="Times New Roman" w:hAnsi="Times New Roman"/>
          <w:b w:val="false"/>
          <w:i w:val="false"/>
          <w:color w:val="000000"/>
          <w:sz w:val="22"/>
        </w:rPr>
        <w:t>means an actual, imminent or probable discharge of manure, process wastewater, open feedlot effluent, settled open feedlot effluent, or settleable solids from an AFO or animal truck wash facility to surface water, groundwater, drainage tile line or intake or to a designated area resulting from storing, handling, transporting or land-applying manure, process wastewater, open feedlot effluent, settled open feedlot effluent, or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“Religious institution” </w:t>
      </w:r>
      <w:r>
        <w:rPr>
          <w:rFonts w:ascii="Times New Roman" w:hAnsi="Times New Roman"/>
          <w:b w:val="false"/>
          <w:i w:val="false"/>
          <w:color w:val="000000"/>
          <w:sz w:val="22"/>
        </w:rPr>
        <w:t>means a building in which an active congregation is devoted to worship.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college” </w:t>
      </w:r>
      <w:r>
        <w:rPr>
          <w:rFonts w:ascii="Times New Roman" w:hAnsi="Times New Roman"/>
          <w:b w:val="false"/>
          <w:i w:val="false"/>
          <w:color w:val="000000"/>
          <w:sz w:val="22"/>
        </w:rPr>
        <w:t xml:space="preserve">means an accredited public or private college or university, including but not limited to a university under control of the state board of regents as provided in Iowa Code chapter </w:t>
      </w:r>
      <w:hyperlink r:id="rId5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or a community college under the jurisdiction of a board of directors for a merged area as provided in Iowa Code chapter </w:t>
      </w:r>
      <w:hyperlink r:id="rId5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if the college or university performs research or experimental activities regarding animal agriculture or agronomy.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means a house or other building, including all structures attached to the building, not owned by the owner of the AFO that meets all of the following criteria at the location of the intended residence: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Used as a place of habitation for humans on a permanent and frequent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readily mobile.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Connected to a permanent source of electricity, a permanent private water supply or a public water supply system and a permanent domestic sewage disposal system including a private, semipublic or public sewage disposal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Assessed and taxed as real property.</w:t>
      </w:r>
    </w:p>
    <w:p>
      <w:pPr>
        <w:spacing w:before="0" w:after="0"/>
        <w:ind w:left="120"/>
        <w:jc w:val="both"/>
      </w:pPr>
      <w:r>
        <w:rPr>
          <w:rFonts w:ascii="Times New Roman" w:hAnsi="Times New Roman"/>
          <w:b w:val="false"/>
          <w:i w:val="false"/>
          <w:color w:val="000000"/>
          <w:sz w:val="22"/>
        </w:rPr>
        <w:t xml:space="preserve">If a house or other building has not been occupied by humans for more than six months in the last two years, or if a house or other building has been constructed or moved to its current location within the past six months, the owner of the intended residence has the burden of proving that the house or other building is a residence. Paragraph “3” shall not apply to a house or other building inhabited by persons who are exempt from the compulsory education standards of Iowa Code section </w:t>
      </w:r>
      <w:hyperlink r:id="rId56">
        <w:r>
          <w:rPr>
            <w:rStyle w:val="Hyperlink"/>
            <w:rFonts w:ascii="Times New Roman" w:hAnsi="Times New Roman"/>
            <w:b w:val="false"/>
            <w:i w:val="false"/>
            <w:color w:val="000000"/>
            <w:sz w:val="22"/>
          </w:rPr>
          <w:t>299.24</w:t>
        </w:r>
      </w:hyperlink>
      <w:r>
        <w:rPr>
          <w:rFonts w:ascii="Times New Roman" w:hAnsi="Times New Roman"/>
          <w:b w:val="false"/>
          <w:i w:val="false"/>
          <w:color w:val="000000"/>
          <w:sz w:val="22"/>
        </w:rPr>
        <w:t xml:space="preserve"> and whose religious principles or tenets prohibit the use of the utilities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spray irrigation equipment” </w:t>
      </w:r>
      <w:r>
        <w:rPr>
          <w:rFonts w:ascii="Times New Roman" w:hAnsi="Times New Roman"/>
          <w:b w:val="false"/>
          <w:i w:val="false"/>
          <w:color w:val="000000"/>
          <w:sz w:val="22"/>
        </w:rPr>
        <w:t>means spray irrigation equipment that disperses manure through an orifice at a rate of 80 pounds per square inch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“Seasonal high-water table” </w:t>
      </w:r>
      <w:r>
        <w:rPr>
          <w:rFonts w:ascii="Times New Roman" w:hAnsi="Times New Roman"/>
          <w:b w:val="false"/>
          <w:i w:val="false"/>
          <w:color w:val="000000"/>
          <w:sz w:val="22"/>
        </w:rPr>
        <w:t>means the part of the soil profile closest to the soil surface that becomes saturated (usually in the spring) as observed in a monitoring well or determined by recognition of soil redoxomorphic features.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“Redoxomorphic features” refers to the gleying or mottling or both that occur under saturated conditions within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barrier” </w:t>
      </w:r>
      <w:r>
        <w:rPr>
          <w:rFonts w:ascii="Times New Roman" w:hAnsi="Times New Roman"/>
          <w:b w:val="false"/>
          <w:i w:val="false"/>
          <w:color w:val="000000"/>
          <w:sz w:val="22"/>
        </w:rPr>
        <w:t>means a structure used to retain accidental manure overflow from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“Settleable solids,” “scraped solids,”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“solids” </w:t>
      </w:r>
      <w:r>
        <w:rPr>
          <w:rFonts w:ascii="Times New Roman" w:hAnsi="Times New Roman"/>
          <w:b w:val="false"/>
          <w:i w:val="false"/>
          <w:color w:val="000000"/>
          <w:sz w:val="22"/>
        </w:rPr>
        <w:t>means that portion of the effluent that meets all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solids do not flow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solids are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constituent molecules of the solids do not flow freely among themselves but do show the tendency to separate under 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“Settled open feedlot effluent” </w:t>
      </w:r>
      <w:r>
        <w:rPr>
          <w:rFonts w:ascii="Times New Roman" w:hAnsi="Times New Roman"/>
          <w:b w:val="false"/>
          <w:i w:val="false"/>
          <w:color w:val="000000"/>
          <w:sz w:val="22"/>
        </w:rPr>
        <w:t>means a combination of manure, precipitation-induced runoff, or other runoff originating from an open feedlot operation after its settleable solids have been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“Settled open feedlot effluent basin”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“runoff control basin” </w:t>
      </w:r>
      <w:r>
        <w:rPr>
          <w:rFonts w:ascii="Times New Roman" w:hAnsi="Times New Roman"/>
          <w:b w:val="false"/>
          <w:i w:val="false"/>
          <w:color w:val="000000"/>
          <w:sz w:val="22"/>
        </w:rPr>
        <w:t>means a covered or uncovered impoundment that is part of an open feedlot operation, if the primary function of the impoundment is to collect and store settled open feedlot effluent. An animal truck wash facility may be part of an open feedlot operation. An animal truck wash effluent structure may be the same as a settled open feedlot effluent basin that is part of the open feedlot operation, so long as the primary function of such impoundment is to collect and store effluent from both the animal truck wash facility and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well” </w:t>
      </w:r>
      <w:r>
        <w:rPr>
          <w:rFonts w:ascii="Times New Roman" w:hAnsi="Times New Roman"/>
          <w:b w:val="false"/>
          <w:i w:val="false"/>
          <w:color w:val="000000"/>
          <w:sz w:val="22"/>
        </w:rPr>
        <w:t>means a well located and constructed in such a manner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“Sinkhole” </w:t>
      </w:r>
      <w:r>
        <w:rPr>
          <w:rFonts w:ascii="Times New Roman" w:hAnsi="Times New Roman"/>
          <w:b w:val="false"/>
          <w:i w:val="false"/>
          <w:color w:val="000000"/>
          <w:sz w:val="22"/>
        </w:rPr>
        <w:t>means any closed depression that was caused by the dissolution or collapse of subterranean materials in a carbonate formation or in gypsum or rock salt deposits through which water may drain to the local groundwater system. Such depressions may or may not be open to the surface at times. Intermittently, sinkholes may hold water forming a 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AFO”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“SAFO” </w:t>
      </w:r>
      <w:r>
        <w:rPr>
          <w:rFonts w:ascii="Times New Roman" w:hAnsi="Times New Roman"/>
          <w:b w:val="false"/>
          <w:i w:val="false"/>
          <w:color w:val="000000"/>
          <w:sz w:val="22"/>
        </w:rPr>
        <w:t>means an AFO that has an animal unit capacity of 500 or fewer animal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animal truck wash facility” </w:t>
      </w:r>
      <w:r>
        <w:rPr>
          <w:rFonts w:ascii="Times New Roman" w:hAnsi="Times New Roman"/>
          <w:b w:val="false"/>
          <w:i w:val="false"/>
          <w:color w:val="000000"/>
          <w:sz w:val="22"/>
        </w:rPr>
        <w:t>means an animal truck wash facility, if all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animal truck wash facility and all single-unit trucks, truck-tractors, semitrailers, or trailers that are washed at the facility are owned by the same person;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total per-day volume of washwater used by the animal truck wash facility does not exceed 2,000 gallons as calculated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“Snow-covered ground” </w:t>
      </w:r>
      <w:r>
        <w:rPr>
          <w:rFonts w:ascii="Times New Roman" w:hAnsi="Times New Roman"/>
          <w:b w:val="false"/>
          <w:i w:val="false"/>
          <w:color w:val="000000"/>
          <w:sz w:val="22"/>
        </w:rPr>
        <w:t>means soil covered by one inch or more of snow or soil covered by one-half inch or more of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“Solids settling facility” </w:t>
      </w:r>
      <w:r>
        <w:rPr>
          <w:rFonts w:ascii="Times New Roman" w:hAnsi="Times New Roman"/>
          <w:b w:val="false"/>
          <w:i w:val="false"/>
          <w:color w:val="000000"/>
          <w:sz w:val="22"/>
        </w:rPr>
        <w:t>means a basin, terrace, diversion, or other structure or solids removal method that is part of an open feedlot operation and which is designed and operated to remove settleable solids from open feedlot effluent. A “solids settling facility” does not include a basin, terrace, diversion, or other structure or solids removal method that retains the liquid portion of open feedlot effluent for more than seven consecutive days following a precipitation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“Spray irrigation equipment” </w:t>
      </w:r>
      <w:r>
        <w:rPr>
          <w:rFonts w:ascii="Times New Roman" w:hAnsi="Times New Roman"/>
          <w:b w:val="false"/>
          <w:i w:val="false"/>
          <w:color w:val="000000"/>
          <w:sz w:val="22"/>
        </w:rPr>
        <w:t>means mechanical equipment used for the aerial application of manure, if the equipment receives manure from a manure storage structure during application via a pipe or hose connected to the structure, and includes a type of equipment customarily used for aerial application of water to aid the growing of general farm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“Stockpile” </w:t>
      </w:r>
      <w:r>
        <w:rPr>
          <w:rFonts w:ascii="Times New Roman" w:hAnsi="Times New Roman"/>
          <w:b w:val="false"/>
          <w:i w:val="false"/>
          <w:color w:val="000000"/>
          <w:sz w:val="22"/>
        </w:rPr>
        <w:t>means dry manure or dry bedded manure originating from a confinement feeding operation that is stored at a particular location outside a confinement feeding operation building or a manure storage structure. For open feedlot operations and animal truck washes, “stockpile” means any accumulation of manure, scraped solids, settleable solids or combination of manure and solids located outside of the open feedlot or animal truck wash facility or outside of an area that drains to an open feedlot or animal truck wash facility, where the scraped manure or solids are stored for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“Stockpile dry bedded manure” </w:t>
      </w:r>
      <w:r>
        <w:rPr>
          <w:rFonts w:ascii="Times New Roman" w:hAnsi="Times New Roman"/>
          <w:b w:val="false"/>
          <w:i w:val="false"/>
          <w:color w:val="000000"/>
          <w:sz w:val="22"/>
        </w:rPr>
        <w:t>means to store dry bedded manure outside a dry bedded manure confinement feeding operation building or a dry bedded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“Stockpile dry manure” </w:t>
      </w:r>
      <w:r>
        <w:rPr>
          <w:rFonts w:ascii="Times New Roman" w:hAnsi="Times New Roman"/>
          <w:b w:val="false"/>
          <w:i w:val="false"/>
          <w:color w:val="000000"/>
          <w:sz w:val="22"/>
        </w:rPr>
        <w:t>means to create or add to a dry manure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drain tile intake” </w:t>
      </w:r>
      <w:r>
        <w:rPr>
          <w:rFonts w:ascii="Times New Roman" w:hAnsi="Times New Roman"/>
          <w:b w:val="false"/>
          <w:i w:val="false"/>
          <w:color w:val="000000"/>
          <w:sz w:val="22"/>
        </w:rPr>
        <w:t>means an opening to a drain tile, including intake pipes and French drains, which allows surface water to enter the drain tile without filtration through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“Swine farrow-to-finish operation” </w:t>
      </w:r>
      <w:r>
        <w:rPr>
          <w:rFonts w:ascii="Times New Roman" w:hAnsi="Times New Roman"/>
          <w:b w:val="false"/>
          <w:i w:val="false"/>
          <w:color w:val="000000"/>
          <w:sz w:val="22"/>
        </w:rPr>
        <w:t>means a confinement feeding operation in which porcine animals are produced and in which a primary portion of the phases of the production cycle is conducted at one confinement feeding operation. Phases of the production cycle include but are not limited to gestation, farrowing, growing and finishing. At a minimum, farrowing, growing, and finishing shall be conducted at the operation with a majority of the pigs farrowed at the site finished to market weight in order to qualify as a farrow-to-finish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“Threshold requirements for an engineer” </w:t>
      </w:r>
      <w:r>
        <w:rPr>
          <w:rFonts w:ascii="Times New Roman" w:hAnsi="Times New Roman"/>
          <w:b w:val="false"/>
          <w:i w:val="false"/>
          <w:color w:val="000000"/>
          <w:sz w:val="22"/>
        </w:rPr>
        <w:t xml:space="preserve">means the limits, pursuant to Iowa Code section </w:t>
      </w:r>
      <w:hyperlink r:id="rId57">
        <w:r>
          <w:rPr>
            <w:rStyle w:val="Hyperlink"/>
            <w:rFonts w:ascii="Times New Roman" w:hAnsi="Times New Roman"/>
            <w:b w:val="false"/>
            <w:i w:val="false"/>
            <w:color w:val="000000"/>
            <w:sz w:val="22"/>
          </w:rPr>
          <w:t>459.303</w:t>
        </w:r>
      </w:hyperlink>
      <w:r>
        <w:rPr>
          <w:rFonts w:ascii="Times New Roman" w:hAnsi="Times New Roman"/>
          <w:b w:val="false"/>
          <w:i w:val="false"/>
          <w:color w:val="000000"/>
          <w:sz w:val="22"/>
        </w:rPr>
        <w:t>, that require that the design of a formed manure storage structure or egg washwater storage structure be prepared and signed by a PE licensed in the state of Iowa or by an engineer working for the NRCS. A confinement feeding operation that utilizes a formed manure storage structure meets threshold requirements for an engineer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confinement feeding operation with an animal unit capacity of 1,250 or more animal units for swine maintained as part of a swine farrowing and gestating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confinement feeding operation with an animal unit capacity of 2,750 or more animal units for swine maintained as part of a swine farrow-to-finish operation.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confinement feeding operation with an animal unit capacity of 4,000 or more animal units for cattle maintained as part of a cattle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other confinement feeding operation with an animal unit capacity of 3,000 or more animal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“Unformed animal truck wash effluent structure” </w:t>
      </w:r>
      <w:r>
        <w:rPr>
          <w:rFonts w:ascii="Times New Roman" w:hAnsi="Times New Roman"/>
          <w:b w:val="false"/>
          <w:i w:val="false"/>
          <w:color w:val="000000"/>
          <w:sz w:val="22"/>
        </w:rPr>
        <w:t>means a covered or uncovered impoundment used to store animal truck wash effluent, other than a 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“Unformed manure storage structure” </w:t>
      </w:r>
      <w:r>
        <w:rPr>
          <w:rFonts w:ascii="Times New Roman" w:hAnsi="Times New Roman"/>
          <w:b w:val="false"/>
          <w:i w:val="false"/>
          <w:color w:val="000000"/>
          <w:sz w:val="22"/>
        </w:rPr>
        <w:t>means a covered or uncovered impoundment used to store manure, other than a formed manure storage structure, which includes an anaerobic lagoon, aerobic structure, or earthen manure storage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“Unformed settled open feedlot effluent basin” </w:t>
      </w:r>
      <w:r>
        <w:rPr>
          <w:rFonts w:ascii="Times New Roman" w:hAnsi="Times New Roman"/>
          <w:b w:val="false"/>
          <w:i w:val="false"/>
          <w:color w:val="000000"/>
          <w:sz w:val="22"/>
        </w:rPr>
        <w:t>means a settled open feedlot effluent basin, other than a formed settled open feedlot effluent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“Vegetative infiltration basin”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“VIB” </w:t>
      </w:r>
      <w:r>
        <w:rPr>
          <w:rFonts w:ascii="Times New Roman" w:hAnsi="Times New Roman"/>
          <w:b w:val="false"/>
          <w:i w:val="false"/>
          <w:color w:val="000000"/>
          <w:sz w:val="22"/>
        </w:rPr>
        <w:t>means an open feedlot operation structure in which settled open feedlot effluent is discharged into a relatively flat basin area which is bermed to prevent entry or discharge of surface water flows and is planted to permanent vegetation. An extensive tile system installed at a depth of three to five feet is used to collect infiltrated settled open feedlot effluent from the VIB and discharge it into a VTA for further treatment. As opposed to wetlands, which are designed to maintain a permanent water level, a VIB is designed to maximize water infiltration into the soil and thus normally will have standing water for only short periods of time. Removal of settleable solids is required prior to discharge of open feedlot effluent into the VIB. Soil suitability is essential to ensure adequate filtration and treatment of pollutants. Periodic harvesting of vegetation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“Vegetative treatment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“VTA” </w:t>
      </w:r>
      <w:r>
        <w:rPr>
          <w:rFonts w:ascii="Times New Roman" w:hAnsi="Times New Roman"/>
          <w:b w:val="false"/>
          <w:i w:val="false"/>
          <w:color w:val="000000"/>
          <w:sz w:val="22"/>
        </w:rPr>
        <w:t>means an open feedlot operation structure in which settled open feedlot effluent is discharged into areas that are level in one dimension and have a slight slope (less than 5 percent) in the other dimension and are planted to relatively dense permanent vegetation. Settled open feedlot effluent must be discharged evenly across the top width of the VTA and allowed to slowly flow downslope through the VTA. Level spreaders or other practices may be required to maintain even flow throughout the length of the VTA. Management to maintain a dense vegetation cover is required, as is periodic harvesting of vegetation.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of the state” </w:t>
      </w:r>
      <w:r>
        <w:rPr>
          <w:rFonts w:ascii="Times New Roman" w:hAnsi="Times New Roman"/>
          <w:b w:val="false"/>
          <w:i w:val="false"/>
          <w:color w:val="000000"/>
          <w:sz w:val="22"/>
        </w:rPr>
        <w:t>means any stream, lake, pond, marsh, watercourse, waterway, well, spring, reservoir, aquifer, irrigation system, drainage system, and any other body or accumulation of water, surface or underground, natural or artificial, public or private, that are contained within, flow through or border upon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source” </w:t>
      </w:r>
      <w:r>
        <w:rPr>
          <w:rFonts w:ascii="Times New Roman" w:hAnsi="Times New Roman"/>
          <w:b w:val="false"/>
          <w:i w:val="false"/>
          <w:color w:val="000000"/>
          <w:sz w:val="22"/>
        </w:rPr>
        <w:t>means a lake, river, reservoir, creek, stream, ditch, or other body of water or channel having definite banks and a bed with water flow, except lakes or ponds without outlet to which only one landowner is riparian.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well” </w:t>
      </w:r>
      <w:r>
        <w:rPr>
          <w:rFonts w:ascii="Times New Roman" w:hAnsi="Times New Roman"/>
          <w:b w:val="false"/>
          <w:i w:val="false"/>
          <w:color w:val="000000"/>
          <w:sz w:val="22"/>
        </w:rPr>
        <w:t>means an excavation that is drilled, cored, augered, washed, driven, dug, jetted, or otherwise constructed for the purpose of exploring for groundwater, monitoring groundwater, utilizing the geothermal properties of the ground, or extracting water from or injecting water into the aquifer. “Water well” does not include an open ditch or drain tiles or an excavation made for obtaining or prospecting for oil, natural gas, minerals, or products mined or quarried.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“Wetted perimeter” </w:t>
      </w:r>
      <w:r>
        <w:rPr>
          <w:rFonts w:ascii="Times New Roman" w:hAnsi="Times New Roman"/>
          <w:b w:val="false"/>
          <w:i w:val="false"/>
          <w:color w:val="000000"/>
          <w:sz w:val="22"/>
        </w:rPr>
        <w:t>means the outside edge of land where the direct discharge of manure occurs from spray irrigation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The text of the following incorporated materials is not included in this chapter. The materials are provided at </w:t>
      </w:r>
      <w:hyperlink r:id="rId58">
        <w:r>
          <w:rPr>
            <w:rStyle w:val="Hyperlink"/>
            <w:rFonts w:ascii="Times New Roman" w:hAnsi="Times New Roman"/>
            <w:b w:val="false"/>
            <w:i w:val="false"/>
            <w:color w:val="000000"/>
            <w:sz w:val="22"/>
            <w:u w:val="single"/>
          </w:rPr>
          <w:t>www.iowadnr.gov/environmental-protection/animal-feeding-operations/afo-rules-regulations</w:t>
        </w:r>
      </w:hyperlink>
      <w:r>
        <w:rPr>
          <w:rFonts w:ascii="Times New Roman" w:hAnsi="Times New Roman"/>
          <w:b w:val="false"/>
          <w:i w:val="false"/>
          <w:color w:val="000000"/>
          <w:sz w:val="22"/>
        </w:rPr>
        <w:t>. The materials listed below are hereby made a part of this chapter. For material subject to change, only the specific version specified in this subrule is incorporated. Any amendment or revision to a reference document is not incorporated until this subrule has been amended to specify the new 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 means the federal Water Pollution Control Act, also known as the Clean Water Act, as defined by 40 CFR 403.3 as amended through July 19,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“AFO Siting Atlas” means an online mapping tool to assist in determining compliance of potential building sites to meet regulatory requirements. The AFO Siting Atlas is located on the department’s website, and the regulatory layers are effective as of June 19, 2024. Any changes to the regulatory layers of the AFO Siting Atlas shall be done through rulemaking. Regulatory layers include: karst, one hundred year floodplains in major water sources, and sinkholes;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“CFR” or “Code of Federal Regulations” means the federal administrative rules adopted by the United States as amended through July 19,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County Parks and Recreation Areas listed in Iowa’s County Conservation System Guide to Outdoor Adventure – effective June 19,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Parks in Iowa under the federal jurisdiction of the United States Army Corps of Engineers listed on the United States Army Corps of Engineers’ website – effective June 19,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Designated Wetlands in Iowa – effective August 23,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spill line telephone number is 515.725.8694 – effective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Appendix A: Open feedlot effluent control alternatives for open feedlot operations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Appendix B: Master matrix – effective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Appendix C: Design specifications—formed manure storage structures – effective March 24,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Table 1: Major water sources—Rivers and Streams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Table 2: Major water sources—Lakes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Table 3: Annual pounds of nitrogen per space of capacity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Table 4: Crop nitrogen usage rate factors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Table 5: Manure production per space of capacity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Table 6: Required separation distances for confinement feeding operations construction on or after March 1, 2003—swine, sheep, horses, poultry, and beef and dairy cattle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Table 6a: Required separation distances for confinement feeding operations constructed on or after January 1, 1999, but prior to March 1, 2003—swine, sheep, horses and poultry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Table 6b: Required separation distances for confinement feeding operations constructed on or after January 1, 1999, but prior to March 1, 2003—beef and dairy cattle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Table 6c: Required separation distances for confinement feeding operations constructed prior to January 1, 1999—swine, sheep, horses and poultry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6d: Required separation distances for confinement feeding operations constructed prior to January 1, 1999—beef and dairy cattle – effective September 15, 2010;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Table 7: Required separation distances for open feedlot operations, stockpiles from open feedlot operations, stockpiles from dry manure confinement operations and stockpiles from dry bedded confinement operations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8: Summary of credit for mechanical aeration – effective September 15, 2010;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List of high-quality water resources in </w:t>
      </w:r>
      <w:hyperlink r:id="rId59">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 effective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NRCS Iowa Technical Note No. 25 Iowa Phosphorus Index – published March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 and Outreach publication PM 1688, “A General Guide for Crop Nutrient and Limestone Recommendations in Iowa” – published February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 and Outreach publication PMR 1003, “Using Manure Nutrients for Crop Production”– published April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State University Extension and Outreach publication AE 3550, “How to Sample Manure for Nutrient Analysis” – published January 2021;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 and Outreach publication CROP 31-8, “Take a Good Soil Sample to Help Make Good Fertilization Decisions” – published December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NRCS Iowa Agronomy Technical Note No. 29 Dominant Critical Area – published April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Reporting of releases. </w:t>
      </w:r>
      <w:r>
        <w:rPr>
          <w:rFonts w:ascii="Times New Roman" w:hAnsi="Times New Roman"/>
          <w:b w:val="false"/>
          <w:i w:val="false"/>
          <w:color w:val="000000"/>
          <w:sz w:val="22"/>
        </w:rPr>
        <w:t xml:space="preserve">A release, as defined in rule </w:t>
      </w:r>
      <w:hyperlink r:id="rId6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shall be reported to the department as provided in this subrule. This rule does not apply to land application of manure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person storing, handling, transporting, or land-applying manure from an AFO or animal truck wash facility who becomes aware of a release shall notify the department of the occurrence of release as soon as possible but not later than six hours after the onset or discovery of the release by contacting the department’s spill line. The local police department or the office of the sheriff of the affected county shall also be contacted within the same time period if the spill involves a public roadway and public safety could be threatened. Reports made pursuant to this rule shall be confirmed in writing as provided in paragraph </w:t>
      </w:r>
      <w:hyperlink r:id="rId61">
        <w:r>
          <w:rPr>
            <w:rStyle w:val="Hyperlink"/>
            <w:rFonts w:ascii="Times New Roman" w:hAnsi="Times New Roman"/>
            <w:b w:val="false"/>
            <w:i w:val="false"/>
            <w:color w:val="000000"/>
            <w:sz w:val="22"/>
          </w:rPr>
          <w:t>65.2(1)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color w:val="000000"/>
          <w:sz w:val="22"/>
        </w:rPr>
        <w:t xml:space="preserve">Verbal report. </w:t>
      </w:r>
      <w:r>
        <w:rPr>
          <w:rFonts w:ascii="Times New Roman" w:hAnsi="Times New Roman"/>
          <w:b w:val="false"/>
          <w:i w:val="false"/>
          <w:color w:val="000000"/>
          <w:sz w:val="22"/>
        </w:rPr>
        <w:t xml:space="preserve">The verbal report of such a release should provide information on as many items listed in paragraph </w:t>
      </w:r>
      <w:hyperlink r:id="rId62">
        <w:r>
          <w:rPr>
            <w:rStyle w:val="Hyperlink"/>
            <w:rFonts w:ascii="Times New Roman" w:hAnsi="Times New Roman"/>
            <w:b w:val="false"/>
            <w:i w:val="false"/>
            <w:color w:val="000000"/>
            <w:sz w:val="22"/>
          </w:rPr>
          <w:t>65.2(1)</w:t>
        </w:r>
      </w:hyperlink>
      <w:r>
        <w:rPr>
          <w:rFonts w:ascii="Times New Roman" w:hAnsi="Times New Roman"/>
          <w:b w:val="false"/>
          <w:i/>
          <w:color w:val="000000"/>
          <w:sz w:val="22"/>
        </w:rPr>
        <w:t>“c”</w:t>
      </w:r>
      <w:r>
        <w:rPr>
          <w:rFonts w:ascii="Times New Roman" w:hAnsi="Times New Roman"/>
          <w:b w:val="false"/>
          <w:i w:val="false"/>
          <w:color w:val="000000"/>
          <w:sz w:val="22"/>
        </w:rPr>
        <w:t xml:space="preserve"> as available information will allow.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written report of a release shall be submitted at the request of the department within 30 days after the verbal report of the release and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approximate location of the alleged release (including at a minimum the quarter-quarter section, township and county in which the release occurred or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onset of the alleged release, if known, and the time and date of the discovery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verbal report to the department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person reporting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any other person with knowledge of the event who can be contacted for further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source of the manure allegedly released (e.g., formed storage, earthen storage) and the form of the manure or process water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estimated or known volume of manure allegedly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weather conditions at the time of the onset or discovery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known, the circumstances under which the alleged release occurred or exists (e.g., overflow, storage structure breach, equipment malfunction or breakdown, land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approximate location of the nearest stream or other water body that is or could be impacted by the alleged release and the approximate location to the alleged release of any known tile intakes or tile lines that could be a direct conveyance to a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any containment or remedial measures taken to minimize the impact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information that may assist the department in evaluating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w:t>
      </w:r>
      <w:r>
        <w:rPr>
          <w:rFonts w:ascii="Times New Roman" w:hAnsi="Times New Roman"/>
          <w:b w:val="false"/>
          <w:i w:val="false"/>
          <w:color w:val="000000"/>
          <w:sz w:val="22"/>
        </w:rPr>
        <w:t>All subsequent findings and laboratory results should be reported and submitted in writing to the department as soon as they become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CAFOs and NPDES permits. </w:t>
      </w:r>
      <w:r>
        <w:rPr>
          <w:rFonts w:ascii="Times New Roman" w:hAnsi="Times New Roman"/>
          <w:b w:val="false"/>
          <w:i w:val="false"/>
          <w:color w:val="000000"/>
          <w:sz w:val="22"/>
        </w:rPr>
        <w:t xml:space="preserve">Iowa Code sections </w:t>
      </w:r>
      <w:hyperlink r:id="rId63">
        <w:r>
          <w:rPr>
            <w:rStyle w:val="Hyperlink"/>
            <w:rFonts w:ascii="Times New Roman" w:hAnsi="Times New Roman"/>
            <w:b w:val="false"/>
            <w:i w:val="false"/>
            <w:color w:val="000000"/>
            <w:sz w:val="22"/>
          </w:rPr>
          <w:t>459B.306</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459.311(2)</w:t>
        </w:r>
      </w:hyperlink>
      <w:r>
        <w:rPr>
          <w:rFonts w:ascii="Times New Roman" w:hAnsi="Times New Roman"/>
          <w:b w:val="false"/>
          <w:i w:val="false"/>
          <w:color w:val="000000"/>
          <w:sz w:val="22"/>
        </w:rPr>
        <w:t xml:space="preserve"> require a confinement feeding operation and Iowa Code section </w:t>
      </w:r>
      <w:hyperlink r:id="rId65">
        <w:r>
          <w:rPr>
            <w:rStyle w:val="Hyperlink"/>
            <w:rFonts w:ascii="Times New Roman" w:hAnsi="Times New Roman"/>
            <w:b w:val="false"/>
            <w:i w:val="false"/>
            <w:color w:val="000000"/>
            <w:sz w:val="22"/>
          </w:rPr>
          <w:t>459A.401(2)</w:t>
        </w:r>
      </w:hyperlink>
      <w:r>
        <w:rPr>
          <w:rFonts w:ascii="Times New Roman" w:hAnsi="Times New Roman"/>
          <w:b w:val="false"/>
          <w:i w:val="false"/>
          <w:color w:val="000000"/>
          <w:sz w:val="22"/>
        </w:rPr>
        <w:t xml:space="preserve"> requires an open feedlot operation that is a CAFO as defined in 40 CFR 122.23(b) to comply with applicable NPDES permit requirements pursuant to rules adopted by the commission. The following regulations are adopted by reference: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40 CFR 122.21, application for a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40 CFR 122.23, CAFOs.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40 CFR 122.42(e), additional conditions applicable to specified categories of NPDES permits.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40 CFR 122.63(h), minor modification of permits.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40 CFR Part 412, CAFO point source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567—65.4</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Complaint investigations. </w:t>
      </w:r>
      <w:r>
        <w:rPr>
          <w:rFonts w:ascii="Times New Roman" w:hAnsi="Times New Roman"/>
          <w:b w:val="false"/>
          <w:i w:val="false"/>
          <w:color w:val="000000"/>
          <w:sz w:val="22"/>
        </w:rPr>
        <w:t xml:space="preserve">Complaints of violations of Iowa Code chapters </w:t>
      </w:r>
      <w:hyperlink r:id="rId6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and this rule, which are received by the department or are forwarded to the department by a county, following a county board of supervisors’ determination that a complainant’s allegation constitutes a violation, shall be investigated by the department if it is determined that the complaint is legally sufficient and an investigation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If after evaluating a complaint to determine whether the allegation may constitute a violation, without investigating whether the facts supporting the allegation related to violations of the Iowa Code or this chapter are true or untrue, the county board of supervisors shall forward its finding to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is legally sufficient if it contains adequate information to investigate the complaint and if the allegation constitutes a violation, without investigating whether the facts supporting the allegation are true or untrue, of rules adopted by the department; Iowa Code chapters </w:t>
      </w:r>
      <w:hyperlink r:id="rId7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or environmental standards in regulations subject to federal law and enforced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The department in its discretion shall determine the urgency of the investigation, and the time and resources required to complete the investigation, based upon the circumstances of the case, including the severity of the threat to the quality of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complainant and the alleged violator if an investigation is not conducted specifying the reason for the decision not to investigate.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65.4(5)</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county board of supervisors where the violation is alleged to have occurred before doing a site investigation unless the department determines that a clear, present and impending danger to the public health or environment requires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w:t>
      </w:r>
      <w:r>
        <w:rPr>
          <w:rFonts w:ascii="Times New Roman" w:hAnsi="Times New Roman"/>
          <w:b w:val="false"/>
          <w:i w:val="false"/>
          <w:color w:val="000000"/>
          <w:sz w:val="22"/>
        </w:rPr>
        <w:t> </w:t>
      </w:r>
      <w:r>
        <w:rPr>
          <w:rFonts w:ascii="Times New Roman" w:hAnsi="Times New Roman"/>
          <w:b w:val="false"/>
          <w:i w:val="false"/>
          <w:color w:val="000000"/>
          <w:sz w:val="22"/>
        </w:rPr>
        <w:t>The county board of supervisors may designate a county employee to accompany the department on the investigation of any site as a result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employee accompanying the department on a site investigation has the same right of access to the site as the department official conducting the investigation during the period that the county designee accompanies the department official. The county shall not have access to records required in subrule </w:t>
      </w:r>
      <w:hyperlink r:id="rId74">
        <w:r>
          <w:rPr>
            <w:rStyle w:val="Hyperlink"/>
            <w:rFonts w:ascii="Times New Roman" w:hAnsi="Times New Roman"/>
            <w:b w:val="false"/>
            <w:i w:val="false"/>
            <w:color w:val="000000"/>
            <w:sz w:val="22"/>
          </w:rPr>
          <w:t>65.111(9)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65.4(8)</w:t>
      </w:r>
      <w:r>
        <w:rPr>
          <w:rFonts w:ascii="Times New Roman" w:hAnsi="Times New Roman"/>
          <w:b w:val="false"/>
          <w:i w:val="false"/>
          <w:color w:val="000000"/>
          <w:sz w:val="22"/>
        </w:rPr>
        <w:t> </w:t>
      </w:r>
      <w:r>
        <w:rPr>
          <w:rFonts w:ascii="Times New Roman" w:hAnsi="Times New Roman"/>
          <w:b w:val="false"/>
          <w:i w:val="false"/>
          <w:color w:val="000000"/>
          <w:sz w:val="22"/>
        </w:rPr>
        <w:t>Upon completion of an investigation, the department shall notify the complainant of the results of the investigation, including any anticipated, pending or complete enforcement action arising from the investigation. The department shall deliver a copy of the notice to the AFO or animal truck wash facility that is the subject of the complaint, any alleged violators if different from the AFO or animal truck wash facility and the county board of supervisors of the county where the violation is alleged to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65.4(9)</w:t>
      </w:r>
      <w:r>
        <w:rPr>
          <w:rFonts w:ascii="Times New Roman" w:hAnsi="Times New Roman"/>
          <w:b w:val="false"/>
          <w:i w:val="false"/>
          <w:color w:val="000000"/>
          <w:sz w:val="22"/>
        </w:rPr>
        <w:t> </w:t>
      </w:r>
      <w:r>
        <w:rPr>
          <w:rFonts w:ascii="Times New Roman" w:hAnsi="Times New Roman"/>
          <w:b w:val="false"/>
          <w:i w:val="false"/>
          <w:color w:val="000000"/>
          <w:sz w:val="22"/>
        </w:rPr>
        <w:t>When a person who is a department official, an agent of the department, or a person accompanying the department official or agent enters the premises of an AFO or animal truck wash facility, both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enter at any reasonable time in and upon any private or public property to investigate any actual or possible violation of this chapter or the rules or standards adopted under this chapter. However, the owner or person in charge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owner or occupant of any property refuses admittance to the operation, or if prior to such refusal the director demonstrates the necessity for a warrant, the director may make application under oath or affirmation to the district court of the county in which the property is located for the issuance of a search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application, the director shall state that an inspection of the premises is mandated by the laws of this state or that a search of certain premises, areas, or things designated in the application may result in evidence tending to reveal the existence of violations of public health, safety, or welfare requirements imposed by statutes, rules or ordinances established by the state or a political subdivision thereof. The application shall describe the area, premises, or thing to be searched; give the date of the last inspection if known; give the date and time of the proposed inspection; declare the need for such inspection; recite that notice of desire to make an inspection has been given to affected persons and that admission was refused if that be the fact; and state that the inspection has no purpose other than to carry out the purpose of the statute, ordinance, or regulation pursuant to which inspection is to be made. If an item of property is sought by the director, it shall be identified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is satisfied from the examination of the applicant, and of other witnesses, if any, and of the allegations of the application of the existence of the grounds of the application, or that there is probable cause to believe their existence, the court may issue such search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making inspections and searches pursuant to the authority of this rule, the director must execute the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ten days after its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reasonable manner, and any property seized shall be treated in accordance with the provisions of Iowa Code chapters </w:t>
      </w:r>
      <w:hyperlink r:id="rId75">
        <w:r>
          <w:rPr>
            <w:rStyle w:val="Hyperlink"/>
            <w:rFonts w:ascii="Times New Roman" w:hAnsi="Times New Roman"/>
            <w:b w:val="false"/>
            <w:i w:val="false"/>
            <w:color w:val="000000"/>
            <w:sz w:val="22"/>
          </w:rPr>
          <w:t>808</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Subject to any restrictions imposed by the statute, ordinance or regulation pursuant to which inspection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comply with standard biosecurity requirements customarily required by the AFO or animal truck wash facility which are necessary in order to control the spread of disease among an animal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567—65.5</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Transfer of legal responsibilities or title. </w:t>
      </w:r>
      <w:r>
        <w:rPr>
          <w:rFonts w:ascii="Times New Roman" w:hAnsi="Times New Roman"/>
          <w:b w:val="false"/>
          <w:i w:val="false"/>
          <w:color w:val="000000"/>
          <w:sz w:val="22"/>
        </w:rPr>
        <w:t xml:space="preserve">If title or legal responsibility for a permitted AFO or an animal truck wash facility is transferred, the person to whom title or legal responsibility is transferred shall be subject to all terms and conditions of the construction permit and these rules. The person to whom the construction permit was issued and the person to whom title or legal responsibility is transferred shall notify the department, in writing, of the transfer of legal responsibility or title of the operation within 30 days of the transfer. Within 30 days of receiving a written request from the department, the person to whom legal responsibility is transferred shall submit to the department all information needed to modify the construction permit to reflect the transfer of legal responsibility. A person who has been classified as a habitual violator under Iowa Code section </w:t>
      </w:r>
      <w:hyperlink r:id="rId78">
        <w:r>
          <w:rPr>
            <w:rStyle w:val="Hyperlink"/>
            <w:rFonts w:ascii="Times New Roman" w:hAnsi="Times New Roman"/>
            <w:b w:val="false"/>
            <w:i w:val="false"/>
            <w:color w:val="000000"/>
            <w:sz w:val="22"/>
          </w:rPr>
          <w:t>459.604</w:t>
        </w:r>
      </w:hyperlink>
      <w:r>
        <w:rPr>
          <w:rFonts w:ascii="Times New Roman" w:hAnsi="Times New Roman"/>
          <w:b w:val="false"/>
          <w:i w:val="false"/>
          <w:color w:val="000000"/>
          <w:sz w:val="22"/>
        </w:rPr>
        <w:t xml:space="preserve"> shall not acquire legal responsibility or a controlling interest to any additional permitted confinement feeding operations for the period that the person is classified as a habitual violator.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567—65.6</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Construction. </w:t>
      </w:r>
      <w:r>
        <w:rPr>
          <w:rFonts w:ascii="Times New Roman" w:hAnsi="Times New Roman"/>
          <w:b w:val="false"/>
          <w:i w:val="false"/>
          <w:color w:val="000000"/>
          <w:sz w:val="22"/>
        </w:rPr>
        <w:t>For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Construction of an AFO structure, open feedlot operation structure, or animal truck effluent structure begins or an AFO structure, open feedlot operation structure, or animal truck wash effluent structure is constructed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Excavation for a proposed AFO structure, open feedlot operation structure, or animal truck wash effluent structure; excavation for footings; or filling or compacting of the soil or soil amendments for a proposed AFO structure, open feedlot operation structure, or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Installation of forms for concrete for an AFO structure, open feedlot operation structure, or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Installation of piping for movement of manure within, from or between AFO structures, open feedlot operation structures, or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Construction does not begin upon occurrence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Removal of trees, brush, or other vegetative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of driveways or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earth moving for leveling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Installation of temporary utility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Installation of temporary or permanent groundwater lowering tiles.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Prohibition on construction for confinement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not construct or expand an AFO structure that is part of a confinement feeding operation, if the person is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a pending action for a violation of this chapter concerning a confinement feeding operation in which the person has a controlling interest and the action is commenced in district court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construct or expand a confinement feeding operation structure for five years after the date of the last violation committed by a person or a confinement feeding operation in which the person holds a controlling interest during which the person or operation was classified as a habitual violator under Iowa Code sections </w:t>
      </w:r>
      <w:hyperlink r:id="rId79">
        <w:r>
          <w:rPr>
            <w:rStyle w:val="Hyperlink"/>
            <w:rFonts w:ascii="Times New Roman" w:hAnsi="Times New Roman"/>
            <w:b w:val="false"/>
            <w:i w:val="false"/>
            <w:color w:val="000000"/>
            <w:sz w:val="22"/>
          </w:rPr>
          <w:t>459.317</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459.604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81">
        <w:r>
          <w:rPr>
            <w:rStyle w:val="Hyperlink"/>
            <w:rFonts w:ascii="Times New Roman" w:hAnsi="Times New Roman"/>
            <w:b w:val="false"/>
            <w:i w:val="false"/>
            <w:color w:val="000000"/>
            <w:sz w:val="22"/>
          </w:rPr>
          <w:t>65.6(3)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not prohibit a person from completing the construction or expansion of an AFO structure,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an unexpired permit for the construction or expansion of the AFO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not required to obtain a permit for the construction or expansion of the AFO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construct or expand an unformed manure storage structure within an agricultural drainage well area as specified in Iowa Code sections </w:t>
      </w:r>
      <w:hyperlink r:id="rId82">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460.205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567—65.7</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Karst terrain. </w:t>
      </w:r>
      <w:r>
        <w:rPr>
          <w:rFonts w:ascii="Times New Roman" w:hAnsi="Times New Roman"/>
          <w:b w:val="false"/>
          <w:i w:val="false"/>
          <w:color w:val="000000"/>
          <w:sz w:val="22"/>
        </w:rPr>
        <w:t xml:space="preserve">Except as provided for in subrules </w:t>
      </w:r>
      <w:hyperlink r:id="rId84">
        <w:r>
          <w:rPr>
            <w:rStyle w:val="Hyperlink"/>
            <w:rFonts w:ascii="Times New Roman" w:hAnsi="Times New Roman"/>
            <w:b w:val="false"/>
            <w:i w:val="false"/>
            <w:color w:val="000000"/>
            <w:sz w:val="22"/>
          </w:rPr>
          <w:t>65.7(4)</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65.7(5)</w:t>
        </w:r>
      </w:hyperlink>
      <w:r>
        <w:rPr>
          <w:rFonts w:ascii="Times New Roman" w:hAnsi="Times New Roman"/>
          <w:b w:val="false"/>
          <w:i w:val="false"/>
          <w:color w:val="000000"/>
          <w:sz w:val="22"/>
        </w:rPr>
        <w:t>, the provisions of this rule shall apply to the following structures: (1) confinement feeding operation structures at confinement feeding operations with over 500 animal units, (2) settled open feedlot effluent basins at open feedlot operations requiring a construction permit, (3) egg washwater structures, (4) AT systems, and (5)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color w:val="000000"/>
          <w:sz w:val="22"/>
        </w:rPr>
        <w:t xml:space="preserve">Karst terrain submittal requirements. </w:t>
      </w:r>
      <w:r>
        <w:rPr>
          <w:rFonts w:ascii="Times New Roman" w:hAnsi="Times New Roman"/>
          <w:b w:val="false"/>
          <w:i w:val="false"/>
          <w:color w:val="000000"/>
          <w:sz w:val="22"/>
        </w:rPr>
        <w:t xml:space="preserve">Prior to beginning construction of a structure identified in the introductory paragraph of this rule, the person planning the construction shall determine whether the proposed structure will be located in potential “karst terrain,” as defined in subrule </w:t>
      </w:r>
      <w:hyperlink r:id="rId86">
        <w:r>
          <w:rPr>
            <w:rStyle w:val="Hyperlink"/>
            <w:rFonts w:ascii="Times New Roman" w:hAnsi="Times New Roman"/>
            <w:b w:val="false"/>
            <w:i w:val="false"/>
            <w:color w:val="000000"/>
            <w:sz w:val="22"/>
          </w:rPr>
          <w:t>65.1(1)</w:t>
        </w:r>
      </w:hyperlink>
      <w:r>
        <w:rPr>
          <w:rFonts w:ascii="Times New Roman" w:hAnsi="Times New Roman"/>
          <w:b w:val="false"/>
          <w:i w:val="false"/>
          <w:color w:val="000000"/>
          <w:sz w:val="22"/>
        </w:rPr>
        <w:t>. The AFO Siting Atlas shall be used to determine if the proposed structure is in potential karst terrain. The results of the karst terrain determination shall be submitted to the department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proposed structure is not in potential karst terrain, the person planning the construction shall submit a printed map from the AFO Siting Atlas indicating the location of the structure, with the potential karst layer turned on, with the construction permit application documents or with the construction design statement if a construction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proposed formed manure storage structure is located in potential karst terrain, a PE licensed in Iowa, an NRCS-qualified staff person or a qualified organization shall submit a soil report, based on the results from soil corings, test pits or acceptable well log data, describing the subsurface materials and vertical separation distance from the bottom of the proposed structure to the underlying limestone, dolomite or soluble rock. A minimum of two soil corings spaced equally within the structure or two test pits located within five feet of the outside of the structure are required if acceptable well log data is not available. The soil corings shall be taken to a minimum depth of seven feet below the bottom elevation of the proposed structure or into bedrock, whichever is shallower. Any limestone, dolomite, or soluble bedrock in the corings or test pits shall be considered the bedrock surface rather than augur refusal. After the soil exploration is complete, each coring or test pit shall be properly plugged with concrete grout, bentonite or similar materials, and completion of this activity shall be documented in the soil report. If a 25-foot vertical separation distance can be maintained between the bottom of the proposed formed manure storage structure and limestone, dolomite, or other soluble rock, then the structure is not considered to be in karst terrain.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color w:val="000000"/>
          <w:sz w:val="22"/>
        </w:rPr>
        <w:t xml:space="preserve">Construction standards for formed manure storage structures. </w:t>
      </w:r>
      <w:r>
        <w:rPr>
          <w:rFonts w:ascii="Times New Roman" w:hAnsi="Times New Roman"/>
          <w:b w:val="false"/>
          <w:i w:val="false"/>
          <w:color w:val="000000"/>
          <w:sz w:val="22"/>
        </w:rPr>
        <w:t xml:space="preserve">A formed manure storage structure shall be constructed in accordance with the minimum concrete standards set forth in subrule </w:t>
      </w:r>
      <w:hyperlink r:id="rId87">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 xml:space="preserve"> or Iowa Code section </w:t>
      </w:r>
      <w:hyperlink r:id="rId88">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if the structure is not constructed of concrete. No intact or weathered bedrock, including sandstone, shale, limestone, dolomite, or soluble rock, shall be removed or excavated during the construction of a storage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w:t>
      </w:r>
      <w:r>
        <w:rPr>
          <w:rFonts w:ascii="Times New Roman" w:hAnsi="Times New Roman"/>
          <w:b w:val="false"/>
          <w:i w:val="false"/>
          <w:color w:val="000000"/>
          <w:sz w:val="22"/>
        </w:rPr>
        <w:t> </w:t>
      </w:r>
      <w:r>
        <w:rPr>
          <w:rFonts w:ascii="Times New Roman" w:hAnsi="Times New Roman"/>
          <w:b w:val="false"/>
          <w:i/>
          <w:color w:val="000000"/>
          <w:sz w:val="22"/>
        </w:rPr>
        <w:t xml:space="preserve">Vertical separation distance requirements for formed manure storage structures. </w:t>
      </w:r>
      <w:r>
        <w:rPr>
          <w:rFonts w:ascii="Times New Roman" w:hAnsi="Times New Roman"/>
          <w:b w:val="false"/>
          <w:i w:val="false"/>
          <w:color w:val="000000"/>
          <w:sz w:val="22"/>
        </w:rPr>
        <w:t xml:space="preserve">Except as provided for in subrule </w:t>
      </w:r>
      <w:hyperlink r:id="rId89">
        <w:r>
          <w:rPr>
            <w:rStyle w:val="Hyperlink"/>
            <w:rFonts w:ascii="Times New Roman" w:hAnsi="Times New Roman"/>
            <w:b w:val="false"/>
            <w:i w:val="false"/>
            <w:color w:val="000000"/>
            <w:sz w:val="22"/>
          </w:rPr>
          <w:t>65.7(5)</w:t>
        </w:r>
      </w:hyperlink>
      <w:r>
        <w:rPr>
          <w:rFonts w:ascii="Times New Roman" w:hAnsi="Times New Roman"/>
          <w:b w:val="false"/>
          <w:i w:val="false"/>
          <w:color w:val="000000"/>
          <w:sz w:val="22"/>
        </w:rPr>
        <w:t xml:space="preserve"> related to the construction of a dry bedded confinement feeding operation structure, in addition to the concrete standards set forth in subrule </w:t>
      </w:r>
      <w:hyperlink r:id="rId90">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 xml:space="preserve"> or Iowa Code section </w:t>
      </w:r>
      <w:hyperlink r:id="rId91">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if not constructed of concrete, a person constructing a formed manure storage structure on karst terrain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five-foot layer of low permeability soil (1 × 10-6 cm/sec) or rock between the bottom of a formed manure storage structure and limestone, dolomite, or other soluble rock is required if the formed manure storage structure is not designed by a PE or NRCS-qualified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vertical separation distance between the bottom of the proposed formed manure storage structure and limestone, dolomite, or other soluble rock is less than five feet, the structure shall be designed and sealed by a PE or NRCS-qualified staff person who certifies the structural integrity of the structure. A two-foot-thick layer of compacted clay liner material shall be constructed underneath the floor of the formed manure storage structure. However, it is recommended that any formed manure storage structure be constructed aboveground if the vertical separation distance between the bottom of the structure and the limestone, dolomite, or other soluble rock is less than five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monitoring shall be performed as specified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Backfilling shall not start until the floor slats have been placed or permanent bracing has been installed and grouted and shall be performed with material free of vegetation, large rocks, or debris.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65.7(4)</w:t>
      </w:r>
      <w:r>
        <w:rPr>
          <w:rFonts w:ascii="Times New Roman" w:hAnsi="Times New Roman"/>
          <w:b w:val="false"/>
          <w:i w:val="false"/>
          <w:color w:val="000000"/>
          <w:sz w:val="22"/>
        </w:rPr>
        <w:t> </w:t>
      </w:r>
      <w:r>
        <w:rPr>
          <w:rFonts w:ascii="Times New Roman" w:hAnsi="Times New Roman"/>
          <w:b w:val="false"/>
          <w:i/>
          <w:color w:val="000000"/>
          <w:sz w:val="22"/>
        </w:rPr>
        <w:t xml:space="preserve">Unformed manure storage structures. </w:t>
      </w:r>
      <w:r>
        <w:rPr>
          <w:rFonts w:ascii="Times New Roman" w:hAnsi="Times New Roman"/>
          <w:b w:val="false"/>
          <w:i w:val="false"/>
          <w:color w:val="000000"/>
          <w:sz w:val="22"/>
        </w:rPr>
        <w:t>The construction of unformed manure storage structures, including unformed manure storage structures at SAFOs, is prohibited in karst terrain or an area that drains into a known sinkhole. In potential karst, at least one coring shall be taken to a minimum depth of 25 feet below the bottom elevation of the proposed unformed manure storage structure or into bedrock, whichever is shallower. If a 25-foot vertical separation distance can be maintained between the bottom of the unformed manure storage structure and limestone, dolomite, or other soluble rock, then the structure is not considered to be in karst terrain. No intact or weathered bedrock, including sandstone, shale, limestone, dolomite, or soluble rock, shall be removed or excavated during the construction of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65.7(5)</w:t>
      </w:r>
      <w:r>
        <w:rPr>
          <w:rFonts w:ascii="Times New Roman" w:hAnsi="Times New Roman"/>
          <w:b w:val="false"/>
          <w:i w:val="false"/>
          <w:color w:val="000000"/>
          <w:sz w:val="22"/>
        </w:rPr>
        <w:t> </w:t>
      </w:r>
      <w:r>
        <w:rPr>
          <w:rFonts w:ascii="Times New Roman" w:hAnsi="Times New Roman"/>
          <w:b w:val="false"/>
          <w:i/>
          <w:color w:val="000000"/>
          <w:sz w:val="22"/>
        </w:rPr>
        <w:t xml:space="preserve">Dry bedded confinement feeding operation structure. </w:t>
      </w:r>
      <w:r>
        <w:rPr>
          <w:rFonts w:ascii="Times New Roman" w:hAnsi="Times New Roman"/>
          <w:b w:val="false"/>
          <w:i w:val="false"/>
          <w:color w:val="000000"/>
          <w:sz w:val="22"/>
        </w:rPr>
        <w:t>A person constructing any dry bedded confinement feeding operation structure, including structures at SAFOs, on karst terrain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must construct the structure at a location where there is a vertical separation distance of at least five feet between the bottom of the floor of the structure and the underlying limestone, dolomite, or other soluble rock in karst terrain or the underlying sand and gravel aquifer in an alluvial aquifer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must construct the structure with a floor consisting of reinforced concrete at least five inches thick.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567—65.8</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Karst terrain—stockpile requirements. </w:t>
      </w:r>
      <w:r>
        <w:rPr>
          <w:rFonts w:ascii="Times New Roman" w:hAnsi="Times New Roman"/>
          <w:b w:val="false"/>
          <w:i w:val="false"/>
          <w:color w:val="000000"/>
          <w:sz w:val="22"/>
        </w:rPr>
        <w:t>The provisions of this rule shall apply to locations at confinement feeding operations where dry manure or dry bedded manure is stockpiled.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Karst terrain submittal requirements. </w:t>
      </w:r>
      <w:r>
        <w:rPr>
          <w:rFonts w:ascii="Times New Roman" w:hAnsi="Times New Roman"/>
          <w:b w:val="false"/>
          <w:i w:val="false"/>
          <w:color w:val="000000"/>
          <w:sz w:val="22"/>
        </w:rPr>
        <w:t xml:space="preserve">Prior to stockpiling dry manure or dry bedded manure, the person planning to stockpile shall determine whether the proposed stockpile location will be located in potential “karst terrain,” as defined in subrule </w:t>
      </w:r>
      <w:hyperlink r:id="rId92">
        <w:r>
          <w:rPr>
            <w:rStyle w:val="Hyperlink"/>
            <w:rFonts w:ascii="Times New Roman" w:hAnsi="Times New Roman"/>
            <w:b w:val="false"/>
            <w:i w:val="false"/>
            <w:color w:val="000000"/>
            <w:sz w:val="22"/>
          </w:rPr>
          <w:t>65.1(1)</w:t>
        </w:r>
      </w:hyperlink>
      <w:r>
        <w:rPr>
          <w:rFonts w:ascii="Times New Roman" w:hAnsi="Times New Roman"/>
          <w:b w:val="false"/>
          <w:i w:val="false"/>
          <w:color w:val="000000"/>
          <w:sz w:val="22"/>
        </w:rPr>
        <w:t>. The AFO Siting Atlas shall be used to determine if the proposed stockpile location is in potential karst terrain. The results of the karst terrain determination shall be submitted to the department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proposed stockpile location is not in potential karst terrain, the person planning the stockpiling shall submit a printed map from the AFO Siting Atlas indicating the location of the stockpile location, with the potential karst layer turned 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stockpile is located in potential karst terrain, a PE licensed in Iowa, NRCS-qualified staff person or a qualified organization shall submit a soil report to the department, based on the results from soil corings, test pits or acceptable well log data, describing the subsurface materials and vertical separation distance from the proposed bottom of the stockpile to the underlying limestone, dolomite or soluble rock. A minimum of two soil corings spaced equally within the stockpile location or two test pits located within five feet of the outside of the stockpile location are required if acceptable well log data is not available. The soil corings shall be taken to a minimum depth of 25 feet below the bottom elevation of the proposed stockpile or into bedrock, whichever is shallower. After the soil exploration is complete, each coring or test pit shall be properly plugged with concrete grout, bentonite or similar materials and completion of this activity shall be documented in the soil report. If a 25-foot vertical separation distance can be maintained between the bottom of the proposed stockpile and limestone, dolomite, or other soluble rock, then the structure is not considered to be in karst terrain.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Dry manure stockpiling. </w:t>
      </w:r>
      <w:r>
        <w:rPr>
          <w:rFonts w:ascii="Times New Roman" w:hAnsi="Times New Roman"/>
          <w:b w:val="false"/>
          <w:i w:val="false"/>
          <w:color w:val="000000"/>
          <w:sz w:val="22"/>
        </w:rPr>
        <w:t>A person shall comply with all of the following when stockpiling dry manure on karst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minimum five-foot vertical separation distance between the bottom of the stockpile and the underlying limestone, dolomite, or other soluble rock.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stockpiles dry manure for more than 15 days shall use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stockpile structure;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stockpile cover. However, a person shall not stockpile dry manure using a qualified stockpile cover at a long-term stockpile location unless the stockpile is located on a reinforced concrete slab at least five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65.8(3)</w:t>
      </w:r>
      <w:r>
        <w:rPr>
          <w:rFonts w:ascii="Times New Roman" w:hAnsi="Times New Roman"/>
          <w:b w:val="false"/>
          <w:i w:val="false"/>
          <w:color w:val="000000"/>
          <w:sz w:val="22"/>
        </w:rPr>
        <w:t> </w:t>
      </w:r>
      <w:r>
        <w:rPr>
          <w:rFonts w:ascii="Times New Roman" w:hAnsi="Times New Roman"/>
          <w:b w:val="false"/>
          <w:i/>
          <w:color w:val="000000"/>
          <w:sz w:val="22"/>
        </w:rPr>
        <w:t xml:space="preserve">Dry bedded manure stockpiling. </w:t>
      </w:r>
      <w:r>
        <w:rPr>
          <w:rFonts w:ascii="Times New Roman" w:hAnsi="Times New Roman"/>
          <w:b w:val="false"/>
          <w:i w:val="false"/>
          <w:color w:val="000000"/>
          <w:sz w:val="22"/>
        </w:rPr>
        <w:t>A person shall comply with all of the following when stockpiling dry bedded manure on karst terrain or above an alluvial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minimum five-foot vertical separation distance between the bottom of the stockpile and the underlying limestone, dolomite, or other soluble rock in karst terrain or the underlying sand and gravel aquifer in an alluvial aquifer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Stockpiles shall be placed on a reinforced concrete slab that is a minimum of five inches thick.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567—65.9</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Floodplains. </w:t>
      </w:r>
      <w:r>
        <w:rPr>
          <w:rFonts w:ascii="Times New Roman" w:hAnsi="Times New Roman"/>
          <w:b w:val="false"/>
          <w:i w:val="false"/>
          <w:color w:val="000000"/>
          <w:sz w:val="22"/>
        </w:rPr>
        <w:t>The provisions of this rule shall apply to the following structures: (1) confinement feeding operation structures, (2) settled open feedlot effluent basins at open feedlot operations requiring a construction permit, (3) egg washwater structures, (4) AT systems, and (5)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 xml:space="preserve">A person shall not construct a manure storage structure in the one hundred year floodplain of a major water source. The one hundred year floodplain of major water source designations are included on the AFO Siting Atlas. For construction of facilities located in the counties that do not have a Federal Emergency Management Agency (FEMA) flood insurance rate map (FIRM), which are Black Hawk, Johnson, Louisa, Winneshiek, and Woodbury, a person shall have the ability to contest the one hundred year floodplain determination by supplying supporting documents to the department for further evaluation. Placing fill material on floodplain land to elevate the land above the one hundred year flood elevation will not be considered as removing the land from the one hundred year floodplain for the purpose of this subrule. Even if the proposed location of the manure storage structure is not on the one hundred year floodplain of a major water source, the site may be on the floodplain of a nonmajor water source and the department may require a floodplain development permit pursuant to </w:t>
      </w:r>
      <w:hyperlink r:id="rId93">
        <w:r>
          <w:rPr>
            <w:rStyle w:val="Hyperlink"/>
            <w:rFonts w:ascii="Times New Roman" w:hAnsi="Times New Roman"/>
            <w:b w:val="false"/>
            <w:i w:val="false"/>
            <w:color w:val="000000"/>
            <w:sz w:val="22"/>
          </w:rPr>
          <w:t>567—Chapters 70 through 76</w:t>
        </w:r>
      </w:hyperlink>
      <w:r>
        <w:rPr>
          <w:rFonts w:ascii="Times New Roman" w:hAnsi="Times New Roman"/>
          <w:b w:val="false"/>
          <w:i w:val="false"/>
          <w:color w:val="000000"/>
          <w:sz w:val="22"/>
        </w:rPr>
        <w:t xml:space="preserve"> if the drainage area of the nonmajor water source adjacent to the proposed structure is greater than ten square miles in a rural location or two square miles in an urban location. The proposed construction can be screened through the department’s online floodplain database siting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Flooding protection. </w:t>
      </w:r>
      <w:r>
        <w:rPr>
          <w:rFonts w:ascii="Times New Roman" w:hAnsi="Times New Roman"/>
          <w:b w:val="false"/>
          <w:i w:val="false"/>
          <w:color w:val="000000"/>
          <w:sz w:val="22"/>
        </w:rPr>
        <w:t xml:space="preserve">A confinement feeding operation or open feedlot structure proposed to be constructed on land that would be inundated by Q100 shall meet requirements as specified in </w:t>
      </w:r>
      <w:hyperlink r:id="rId94">
        <w:r>
          <w:rPr>
            <w:rStyle w:val="Hyperlink"/>
            <w:rFonts w:ascii="Times New Roman" w:hAnsi="Times New Roman"/>
            <w:b w:val="false"/>
            <w:i w:val="false"/>
            <w:color w:val="000000"/>
            <w:sz w:val="22"/>
          </w:rPr>
          <w:t>567—Chapters 70 through 76</w:t>
        </w:r>
      </w:hyperlink>
      <w:r>
        <w:rPr>
          <w:rFonts w:ascii="Times New Roman" w:hAnsi="Times New Roman"/>
          <w:b w:val="false"/>
          <w:i w:val="false"/>
          <w:color w:val="000000"/>
          <w:sz w:val="22"/>
        </w:rPr>
        <w:t xml:space="preserve">, unless otherwise prohibited according to subrule </w:t>
      </w:r>
      <w:hyperlink r:id="rId95">
        <w:r>
          <w:rPr>
            <w:rStyle w:val="Hyperlink"/>
            <w:rFonts w:ascii="Times New Roman" w:hAnsi="Times New Roman"/>
            <w:b w:val="false"/>
            <w:i w:val="false"/>
            <w:color w:val="000000"/>
            <w:sz w:val="22"/>
          </w:rPr>
          <w:t>65.9(1)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r>
        <w:rPr>
          <w:rFonts w:ascii="Times New Roman" w:hAnsi="Times New Roman"/>
          <w:b w:val="false"/>
          <w:i w:val="false"/>
          <w:color w:val="000000"/>
          <w:sz w:val="22"/>
        </w:rPr>
        <w:t>The person planning the construction shall submit a printed map from the AFO Siting Atlas indicating the location of the structure, with the one hundred year floodplain layer turned on, with the construction permit application documents or with the construction design statement if a construction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color w:val="000000"/>
          <w:sz w:val="22"/>
        </w:rPr>
        <w:t xml:space="preserve">Exemptions to prohibition on one hundred year floodplain construction and separation distance requirements from water sources, major water sources, known sinkholes, agricultural drainage wells, designated wetlands confinement structures and animal truck wash effluent structures. </w:t>
      </w:r>
      <w:r>
        <w:rPr>
          <w:rFonts w:ascii="Times New Roman" w:hAnsi="Times New Roman"/>
          <w:b w:val="false"/>
          <w:i w:val="false"/>
          <w:color w:val="000000"/>
          <w:sz w:val="22"/>
        </w:rPr>
        <w:t xml:space="preserve">As specified in Iowa Code sections </w:t>
      </w:r>
      <w:hyperlink r:id="rId96">
        <w:r>
          <w:rPr>
            <w:rStyle w:val="Hyperlink"/>
            <w:rFonts w:ascii="Times New Roman" w:hAnsi="Times New Roman"/>
            <w:b w:val="false"/>
            <w:i w:val="false"/>
            <w:color w:val="000000"/>
            <w:sz w:val="22"/>
          </w:rPr>
          <w:t>459.310(4)</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459A.404(3)</w:t>
        </w:r>
      </w:hyperlink>
      <w:r>
        <w:rPr>
          <w:rFonts w:ascii="Times New Roman" w:hAnsi="Times New Roman"/>
          <w:b w:val="false"/>
          <w:i w:val="false"/>
          <w:color w:val="000000"/>
          <w:sz w:val="22"/>
        </w:rPr>
        <w:t xml:space="preserve">, a separation distance required in subrules </w:t>
      </w:r>
      <w:hyperlink r:id="rId98">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or the prohibition against construction of a confinement feeding operation structure on a one hundred year floodplain as provided in subrule </w:t>
      </w:r>
      <w:hyperlink r:id="rId100">
        <w:r>
          <w:rPr>
            <w:rStyle w:val="Hyperlink"/>
            <w:rFonts w:ascii="Times New Roman" w:hAnsi="Times New Roman"/>
            <w:b w:val="false"/>
            <w:i w:val="false"/>
            <w:color w:val="000000"/>
            <w:sz w:val="22"/>
          </w:rPr>
          <w:t>65.9(1)</w:t>
        </w:r>
      </w:hyperlink>
      <w:r>
        <w:rPr>
          <w:rFonts w:ascii="Times New Roman" w:hAnsi="Times New Roman"/>
          <w:b w:val="false"/>
          <w:i w:val="false"/>
          <w:color w:val="000000"/>
          <w:sz w:val="22"/>
        </w:rPr>
        <w:t xml:space="preserve"> shall not apply to a confinement feeding operation or animal truck wash that includes a confinement feeding operation structure or animal truck wash effluent structure that was constructed prior to March 1, 2003,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or more unformed manure storage structures or animal truck wash effluent structures that are part of the confinement feeding operation or animal truck wash are replaced with one or more formed manure storage structures or formed animal truck wash effluent structures on or after April 28, 2003,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weight capacity or animal unit capacity, whichever is applicable, is not increased for that portion of the confinement feeding operation or animal truck wash that utilizes all replacement formed manure storage structures or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each replaced unformed manure storage structure is discontinued within one year after the construction of the replacement formed manure storage structure or 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capacity of all replacement formed manure storage structures or animal truck wash effluent structures does not exceed the amount required to store manure produced by that portion of the confinement feeding operation or animal truck wash utilizing the replacement formed manure storage structures or animal truck wash effluent structures during any 18-month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replacement formed manure storage structure or animal truck wash effluent structure is closer to the location or object from which separation is required under subrules </w:t>
      </w:r>
      <w:hyperlink r:id="rId101">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than any other confinement feeding operation structure or animal truck wash effluent structure which is part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or animal truck wash effluent structure meets or exceeds the requirements of Iowa Code section </w:t>
      </w:r>
      <w:hyperlink r:id="rId103">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104">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replacement formed manure storage structure that is part of the confinement feeding operation or animal truck wash is constructed on or after April 28, 2003, if it complies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or animal truck wash effluent structure replaces the confinement feeding operation or animal truck wash’s existing manure storage and 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or animal truck wash effluent structure complies with standards adopted pursuant to Iowa Code section </w:t>
      </w:r>
      <w:hyperlink r:id="rId105">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106">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or animal truck wash effluent structure more likely than not provides a higher degree of environmental protection than the confinement feeding operation or animal truck wash’s existing manure storage and handling facilities. If the formed manure storage structure or animal truck wash effluent structure will replace any existing manure storage structure or animal truck wash effluent structure, the department shall require that the replaced manure storage structure or animal truck wash effluent structure be properly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567—65.10</w:t>
      </w:r>
      <w:r>
        <w:rPr>
          <w:rFonts w:ascii="Times New Roman" w:hAnsi="Times New Roman"/>
          <w:b w:val="false"/>
          <w:i w:val="false"/>
          <w:color w:val="000000"/>
          <w:sz w:val="22"/>
        </w:rPr>
        <w:t xml:space="preserve"> to </w:t>
      </w:r>
      <w:r>
        <w:rPr>
          <w:rFonts w:ascii="Times New Roman" w:hAnsi="Times New Roman"/>
          <w:b/>
          <w:i w:val="false"/>
          <w:color w:val="000000"/>
          <w:sz w:val="22"/>
        </w:rPr>
        <w:t>65.99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CONFINEMENT FEEDING OPERATIONS AND DRY BEDDED CONFINEMENT FEEDING OPERATIONS</w:t>
      </w:r>
    </w:p>
    <w:p>
      <w:pPr>
        <w:spacing w:before="0" w:after="0"/>
        <w:ind w:left="120"/>
        <w:jc w:val="both"/>
      </w:pPr>
      <w:r>
        <w:rPr>
          <w:rFonts w:ascii="Times New Roman" w:hAnsi="Times New Roman"/>
          <w:b/>
          <w:i w:val="false"/>
          <w:color w:val="000000"/>
          <w:sz w:val="22"/>
        </w:rPr>
        <w:t>567—65.100</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Minimum manure control requirements. </w:t>
      </w:r>
      <w:r>
        <w:rPr>
          <w:rFonts w:ascii="Times New Roman" w:hAnsi="Times New Roman"/>
          <w:b w:val="false"/>
          <w:i w:val="false"/>
          <w:color w:val="000000"/>
          <w:sz w:val="22"/>
        </w:rPr>
        <w:t xml:space="preserve">Confinement feeding operations shall be constructed, managed and maintained to meet the minimum manure control requirements stated in subrules </w:t>
      </w:r>
      <w:hyperlink r:id="rId107">
        <w:r>
          <w:rPr>
            <w:rStyle w:val="Hyperlink"/>
            <w:rFonts w:ascii="Times New Roman" w:hAnsi="Times New Roman"/>
            <w:b w:val="false"/>
            <w:i w:val="false"/>
            <w:color w:val="000000"/>
            <w:sz w:val="22"/>
          </w:rPr>
          <w:t>65.100(1) to 65.100(6)</w:t>
        </w:r>
      </w:hyperlink>
      <w:r>
        <w:rPr>
          <w:rFonts w:ascii="Times New Roman" w:hAnsi="Times New Roman"/>
          <w:b w:val="false"/>
          <w:i w:val="false"/>
          <w:color w:val="000000"/>
          <w:sz w:val="22"/>
        </w:rPr>
        <w:t xml:space="preserve">. A release shall be reported to the department as provided in subrule </w:t>
      </w:r>
      <w:hyperlink r:id="rId108">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Dry manure stockpiling requirements are stated in subrule </w:t>
      </w:r>
      <w:hyperlink r:id="rId109">
        <w:r>
          <w:rPr>
            <w:rStyle w:val="Hyperlink"/>
            <w:rFonts w:ascii="Times New Roman" w:hAnsi="Times New Roman"/>
            <w:b w:val="false"/>
            <w:i w:val="false"/>
            <w:color w:val="000000"/>
            <w:sz w:val="22"/>
          </w:rPr>
          <w:t>65.100(7)</w:t>
        </w:r>
      </w:hyperlink>
      <w:r>
        <w:rPr>
          <w:rFonts w:ascii="Times New Roman" w:hAnsi="Times New Roman"/>
          <w:b w:val="false"/>
          <w:i w:val="false"/>
          <w:color w:val="000000"/>
          <w:sz w:val="22"/>
        </w:rPr>
        <w:t xml:space="preserve">. Dry bedded manure stockpiling requirements are stated in subrule </w:t>
      </w:r>
      <w:hyperlink r:id="rId110">
        <w:r>
          <w:rPr>
            <w:rStyle w:val="Hyperlink"/>
            <w:rFonts w:ascii="Times New Roman" w:hAnsi="Times New Roman"/>
            <w:b w:val="false"/>
            <w:i w:val="false"/>
            <w:color w:val="000000"/>
            <w:sz w:val="22"/>
          </w:rPr>
          <w:t>65.100(8)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65.100(1)</w:t>
      </w:r>
      <w:r>
        <w:rPr>
          <w:rFonts w:ascii="Times New Roman" w:hAnsi="Times New Roman"/>
          <w:b w:val="false"/>
          <w:i w:val="false"/>
          <w:color w:val="000000"/>
          <w:sz w:val="22"/>
        </w:rPr>
        <w:t> </w:t>
      </w:r>
      <w:r>
        <w:rPr>
          <w:rFonts w:ascii="Times New Roman" w:hAnsi="Times New Roman"/>
          <w:b w:val="false"/>
          <w:i w:val="false"/>
          <w:color w:val="000000"/>
          <w:sz w:val="22"/>
        </w:rPr>
        <w:t>The minimum level of manure control for a confinement feeding operation shall be the retention of all manure produced in the confinement enclosures between periods of manure application and as specified in this rule. In no case shall manure from a confinement feeding operation be discharged directly into a water of the state or into a tile line that discharges to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of manure from confinement feeding operations may be accomplished through use of manure storage structures or other manure control methods. Sufficient capacity shall be provided in the manure storage structure to store all manure between periods of manure application. A confinement feeding operation, other than a SAFO, that is constructed or expanded on or after July 1, 2009, shall not surface-apply liquid manure on frozen or snow-covered ground when there is an emergency, as described in subrule </w:t>
      </w:r>
      <w:hyperlink r:id="rId111">
        <w:r>
          <w:rPr>
            <w:rStyle w:val="Hyperlink"/>
            <w:rFonts w:ascii="Times New Roman" w:hAnsi="Times New Roman"/>
            <w:b w:val="false"/>
            <w:i w:val="false"/>
            <w:color w:val="000000"/>
            <w:sz w:val="22"/>
          </w:rPr>
          <w:t>65.101(4)</w:t>
        </w:r>
      </w:hyperlink>
      <w:r>
        <w:rPr>
          <w:rFonts w:ascii="Times New Roman" w:hAnsi="Times New Roman"/>
          <w:b w:val="false"/>
          <w:i w:val="false"/>
          <w:color w:val="000000"/>
          <w:sz w:val="22"/>
        </w:rPr>
        <w:t>, unless the operation has a minimum of 180 days of manure storage capacity. Additional capacity shall be provided if precipitation, manure or wastes from other sources can enter the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Manure shall be removed from the control facilities as necessary to prevent overflow or discharge of manure from the facilities. Manure stored in unformed manure storage structures or unformed egg washwater storage structures shall be removed from the structures as necessary to maintain a minimum of two feet of freeboard in the structure, unless a greater level of freeboard is required to maintain the structural integrity of the structure or prevent manure overflow. Manure stored in unroofed formed manure storage structures or formed egg washwater storage structures shall be removed from the structures as necessary to maintain a minimum of one foot of freeboard in the structure unless a greater level of freeboard is required to maintain the structural integrity of the structure or prevent manure overflow.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ensure that adequate capacity exists in the manure storage structure to retain all manure produced during periods when manure application cannot be conducted (due to inclement weather conditions, lack of available land disposal areas, or other factors), the manure shall be removed from the manure storage structure as needed prior to these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Dry manure or dry bedded manure originating at a confinement feeding operation may be retained as a stockpile so long as the stockpiled dry manure or dry bedded manure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Dry manure stockpiling requirements provided in subrule </w:t>
      </w:r>
      <w:hyperlink r:id="rId112">
        <w:r>
          <w:rPr>
            <w:rStyle w:val="Hyperlink"/>
            <w:rFonts w:ascii="Times New Roman" w:hAnsi="Times New Roman"/>
            <w:b w:val="false"/>
            <w:i w:val="false"/>
            <w:color w:val="000000"/>
            <w:sz w:val="22"/>
          </w:rPr>
          <w:t>65.100(7)</w:t>
        </w:r>
      </w:hyperlink>
      <w:r>
        <w:rPr>
          <w:rFonts w:ascii="Times New Roman" w:hAnsi="Times New Roman"/>
          <w:b w:val="false"/>
          <w:i w:val="false"/>
          <w:color w:val="000000"/>
          <w:sz w:val="22"/>
        </w:rPr>
        <w:t xml:space="preserve"> or dry bedded manure stockpiling requirements provided in subrule </w:t>
      </w:r>
      <w:hyperlink r:id="rId113">
        <w:r>
          <w:rPr>
            <w:rStyle w:val="Hyperlink"/>
            <w:rFonts w:ascii="Times New Roman" w:hAnsi="Times New Roman"/>
            <w:b w:val="false"/>
            <w:i w:val="false"/>
            <w:color w:val="000000"/>
            <w:sz w:val="22"/>
          </w:rPr>
          <w:t>65.100(8)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Applicable NPDES requirements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dry manure or dry bedded manure is removed from the stockpile and applied in accordance with rule </w:t>
      </w:r>
      <w:hyperlink r:id="rId114">
        <w:r>
          <w:rPr>
            <w:rStyle w:val="Hyperlink"/>
            <w:rFonts w:ascii="Times New Roman" w:hAnsi="Times New Roman"/>
            <w:b w:val="false"/>
            <w:i w:val="false"/>
            <w:color w:val="000000"/>
            <w:sz w:val="22"/>
          </w:rPr>
          <w:t>567—56.101</w:t>
        </w:r>
      </w:hyperlink>
      <w:r>
        <w:rPr>
          <w:rFonts w:ascii="Times New Roman" w:hAnsi="Times New Roman"/>
          <w:b w:val="false"/>
          <w:i w:val="false"/>
          <w:color w:val="000000"/>
          <w:sz w:val="22"/>
        </w:rPr>
        <w:t>(459,459B) within six months after the dry manure or dry bedded manure is first stockpiled.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Dry manure stockpiles are not required to meet the requirements in subparagraphs </w:t>
      </w:r>
      <w:hyperlink r:id="rId115">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“d”</w:t>
      </w:r>
      <w:r>
        <w:rPr>
          <w:rFonts w:ascii="Times New Roman" w:hAnsi="Times New Roman"/>
          <w:b w:val="false"/>
          <w:i w:val="false"/>
          <w:color w:val="000000"/>
          <w:sz w:val="22"/>
        </w:rPr>
        <w:t xml:space="preserve">(1) to </w:t>
      </w:r>
      <w:hyperlink r:id="rId116">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“d”</w:t>
      </w:r>
      <w:r>
        <w:rPr>
          <w:rFonts w:ascii="Times New Roman" w:hAnsi="Times New Roman"/>
          <w:b w:val="false"/>
          <w:i w:val="false"/>
          <w:color w:val="000000"/>
          <w:sz w:val="22"/>
        </w:rPr>
        <w:t>(3) above if the dry manure originates from a confinement feeding operation that was constructed prior to January 1, 2006, unless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is expanded after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Dry manure is stockpiled in violation of subrule </w:t>
      </w:r>
      <w:hyperlink r:id="rId117">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Precipitation-induced runoff from the stockpile has drained off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65.100(2)</w:t>
      </w:r>
      <w:r>
        <w:rPr>
          <w:rFonts w:ascii="Times New Roman" w:hAnsi="Times New Roman"/>
          <w:b w:val="false"/>
          <w:i w:val="false"/>
          <w:color w:val="000000"/>
          <w:sz w:val="22"/>
        </w:rPr>
        <w:t> </w:t>
      </w:r>
      <w:r>
        <w:rPr>
          <w:rFonts w:ascii="Times New Roman" w:hAnsi="Times New Roman"/>
          <w:b w:val="false"/>
          <w:i w:val="false"/>
          <w:color w:val="000000"/>
          <w:sz w:val="22"/>
        </w:rPr>
        <w:t xml:space="preserve">If site topography, operation procedures, experience, or other factors indicate that a greater or lesser level of manure control than that specified in subrule </w:t>
      </w:r>
      <w:hyperlink r:id="rId118">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xml:space="preserve"> is required to provide an adequate level of water pollution control for a specific AFO, the department may establish different minimum manure control requirements for that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using the manure control methods specified in subrule </w:t>
      </w:r>
      <w:hyperlink r:id="rId119">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the department may allow the use of manure treatment or other methods of manure control if it determines that an adequate level of manure control will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65.100(4)</w:t>
      </w:r>
      <w:r>
        <w:rPr>
          <w:rFonts w:ascii="Times New Roman" w:hAnsi="Times New Roman"/>
          <w:b w:val="false"/>
          <w:i w:val="false"/>
          <w:color w:val="000000"/>
          <w:sz w:val="22"/>
        </w:rPr>
        <w:t> </w:t>
      </w:r>
      <w:r>
        <w:rPr>
          <w:rFonts w:ascii="Times New Roman" w:hAnsi="Times New Roman"/>
          <w:b w:val="false"/>
          <w:i w:val="false"/>
          <w:color w:val="000000"/>
          <w:sz w:val="22"/>
        </w:rPr>
        <w:t>No direct discharge shall be allowed from an AFO into a publicly owned lake, a sinkhole, or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65.100(5)</w:t>
      </w:r>
      <w:r>
        <w:rPr>
          <w:rFonts w:ascii="Times New Roman" w:hAnsi="Times New Roman"/>
          <w:b w:val="false"/>
          <w:i w:val="false"/>
          <w:color w:val="000000"/>
          <w:sz w:val="22"/>
        </w:rPr>
        <w:t> </w:t>
      </w:r>
      <w:r>
        <w:rPr>
          <w:rFonts w:ascii="Times New Roman" w:hAnsi="Times New Roman"/>
          <w:b w:val="false"/>
          <w:i w:val="false"/>
          <w:color w:val="000000"/>
          <w:sz w:val="22"/>
        </w:rPr>
        <w:t>All manure removed from an AFO or its manure control facilities shall be land-applied in a manner that will not cause surface or groundwater pollution. Application in accordance with the provisions of state law and this chapter shall be deemed as compliance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65.100(6)</w:t>
      </w:r>
      <w:r>
        <w:rPr>
          <w:rFonts w:ascii="Times New Roman" w:hAnsi="Times New Roman"/>
          <w:b w:val="false"/>
          <w:i w:val="false"/>
          <w:color w:val="000000"/>
          <w:sz w:val="22"/>
        </w:rPr>
        <w:t> </w:t>
      </w:r>
      <w:r>
        <w:rPr>
          <w:rFonts w:ascii="Times New Roman" w:hAnsi="Times New Roman"/>
          <w:b w:val="false"/>
          <w:i w:val="false"/>
          <w:color w:val="000000"/>
          <w:sz w:val="22"/>
        </w:rPr>
        <w:t>As soon as practical but not later than six months after the use of an AFO is discontinued, all manure shall be removed from the discontinued AFO and its manure control facilities and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65.100(7)</w:t>
      </w:r>
      <w:r>
        <w:rPr>
          <w:rFonts w:ascii="Times New Roman" w:hAnsi="Times New Roman"/>
          <w:b w:val="false"/>
          <w:i w:val="false"/>
          <w:color w:val="000000"/>
          <w:sz w:val="22"/>
        </w:rPr>
        <w:t> </w:t>
      </w:r>
      <w:r>
        <w:rPr>
          <w:rFonts w:ascii="Times New Roman" w:hAnsi="Times New Roman"/>
          <w:b w:val="false"/>
          <w:i w:val="false"/>
          <w:color w:val="000000"/>
          <w:sz w:val="22"/>
        </w:rPr>
        <w:t>Dry manure stockpiling requirements for a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terrain, other than karst terrain. </w:t>
      </w:r>
      <w:r>
        <w:rPr>
          <w:rFonts w:ascii="Times New Roman" w:hAnsi="Times New Roman"/>
          <w:b w:val="false"/>
          <w:i w:val="false"/>
          <w:color w:val="000000"/>
          <w:sz w:val="22"/>
        </w:rPr>
        <w:t>Dry manure stockpiled on terrain, other than karst terrain, for more than 15 consecutive days shall comply with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Dry manure shall be stockpiled using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stockpile structure;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stockpile cover. Long-term stockpiles utilizing a qualified stockpile cover shall be placed on a constructed impervious base that can support the load of the equipment used under all weather conditions. The coefficient of permeability of the impervious base shall be less than 1 × 10-7 cm/sec (0.00028 feet/day). Permeability results shall be submitted to the department prior to use of the stockpile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stockpile inspection statement shall be delivered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must receive the statement by the fifteenth day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stockpile inspection statement shall provide the location of the stockpile and document the results of an inspection conducted during the previous month. The inspection must evaluate whether precipitation-induced runoff is draining away from the stockpile and, if so, describe actions taken to prevent the runoff. If an inspection by the department documents that precipitation-induced runoff is draining away from a stockpile, the dry manure must be immediately removed from the stockpile or comply with all directives of the department to prevent the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stockpile inspection statement must be in writing and may be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Dry manure stockpile siting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Grassed waterway. A stockpile or stockpile structure shall not be placed in a grassed waterway.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Sloping land. A stockpile or stockpile structure shall not be placed on land having a slope of more than 3 percent, unless the dry manure is stockpiled using methods, structures, or practices that contain the stockpile, including but not limited to silt fences, temporary earthen berms, or other effective measures, and that prevent or diminish precipitation-induced runoff from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65.100(8)</w:t>
      </w:r>
      <w:r>
        <w:rPr>
          <w:rFonts w:ascii="Times New Roman" w:hAnsi="Times New Roman"/>
          <w:b w:val="false"/>
          <w:i w:val="false"/>
          <w:color w:val="000000"/>
          <w:sz w:val="22"/>
        </w:rPr>
        <w:t> </w:t>
      </w:r>
      <w:r>
        <w:rPr>
          <w:rFonts w:ascii="Times New Roman" w:hAnsi="Times New Roman"/>
          <w:b w:val="false"/>
          <w:i w:val="false"/>
          <w:color w:val="000000"/>
          <w:sz w:val="22"/>
        </w:rPr>
        <w:t>Prohibitions and siting restrictions for dry bedded manure stockpiling requirements for a dry bedded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Prohibition in a grassed waterway. A stockpile or stockpile structure shall not be placed in a grassed waterway, where water pools on the soil surface, or in any location where surface water will enter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Siting restrictions. A stockpile or stockpile structure shall not be placed on land having a slope of more than 3 percent, unless the dry manure or dry bedded manure is stockpiled using methods, structures, or practices that contain the stockpile, including but not limited to hay bales, silt fences, temporary earthen berms, or other effective measures that prevent or diminish precipitation-induced runoff from the stockpile. A stockpile or stockpile structure located in karst terrain must comply with the karst requirements in subrule </w:t>
      </w:r>
      <w:hyperlink r:id="rId120">
        <w:r>
          <w:rPr>
            <w:rStyle w:val="Hyperlink"/>
            <w:rFonts w:ascii="Times New Roman" w:hAnsi="Times New Roman"/>
            <w:b w:val="false"/>
            <w:i w:val="false"/>
            <w:color w:val="000000"/>
            <w:sz w:val="22"/>
          </w:rPr>
          <w:t>65.8(3)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567—65.101</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Requirements for land application of manure from a confinement feeding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application rates and practices for confinement feeding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manure originating from an anaerobic lagoon or aerobic structure, application rates and practices shall be used to minimize groundwater or surface water pollution resulting from application, including pollution caused by runoff or other manure flow resulting from precipitation events. In determining appropriate application rates and practices, the person land-applying the manure shall consider the site conditions at the time of application including anticipated precipitation and other weather factors, field residue and tillage, site topography, the existence and depth of known or suspected tile lines in the application field, and crop and soil conditions, including a good-faith estimate of the available water-holding capacity given precipitation events, the predominant soil types in the application field and planned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Spray irrigation equipment shall be operated in a manner and with an application rate and timing that does not cause runoff of the manure onto the property adjoining the property where the spray irrigation equipment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manure from an earthen waste slurry storage basin, earthen manure storage basin, or formed manure storage structure, restricted spray irrigation equipment shall not be used unless the manure has been diluted with surface water or groundwater to a ratio of at least 15 parts water to 1 part manure. Emergency use of spray irrigation equipment without dilution shall be allowed to minimize the impact of a release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65.101(2)</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requirements for land application of manure. </w:t>
      </w:r>
      <w:r>
        <w:rPr>
          <w:rFonts w:ascii="Times New Roman" w:hAnsi="Times New Roman"/>
          <w:b w:val="false"/>
          <w:i w:val="false"/>
          <w:color w:val="000000"/>
          <w:sz w:val="22"/>
        </w:rPr>
        <w:t>Land application of manure shall be separated from objects and locations as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liquid manure from a confinement feeding operation, the required separation distance from a residence not owned by the titleholder of the land, a business, a church, a school, or a public use area is 750 feet, as specified in Iowa Code section </w:t>
      </w:r>
      <w:hyperlink r:id="rId121">
        <w:r>
          <w:rPr>
            <w:rStyle w:val="Hyperlink"/>
            <w:rFonts w:ascii="Times New Roman" w:hAnsi="Times New Roman"/>
            <w:b w:val="false"/>
            <w:i w:val="false"/>
            <w:color w:val="000000"/>
            <w:sz w:val="22"/>
          </w:rPr>
          <w:t>459.204</w:t>
        </w:r>
      </w:hyperlink>
      <w:r>
        <w:rPr>
          <w:rFonts w:ascii="Times New Roman" w:hAnsi="Times New Roman"/>
          <w:b w:val="false"/>
          <w:i w:val="false"/>
          <w:color w:val="000000"/>
          <w:sz w:val="22"/>
        </w:rPr>
        <w:t>. The separation distance for application of manure by spray irrigation equipment shall be measured from the actual wetted perimeter and the closest point of the residence, business, church, school, or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separation distance specified in paragraph </w:t>
      </w:r>
      <w:hyperlink r:id="rId122">
        <w:r>
          <w:rPr>
            <w:rStyle w:val="Hyperlink"/>
            <w:rFonts w:ascii="Times New Roman" w:hAnsi="Times New Roman"/>
            <w:b w:val="false"/>
            <w:i w:val="false"/>
            <w:color w:val="000000"/>
            <w:sz w:val="22"/>
          </w:rPr>
          <w:t>65.101(2)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apply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liquid manure is injected into the soil or incorporated within the soil not later than 24 hours after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titleholder of the land benefitting from the separation distance requirement executes a written waiver with the titleholder of the land where the manure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liquid manure originates from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liquid manure is applied by low-pressure spray irrigation equipment pursuant to paragraph </w:t>
      </w:r>
      <w:hyperlink r:id="rId123">
        <w:r>
          <w:rPr>
            <w:rStyle w:val="Hyperlink"/>
            <w:rFonts w:ascii="Times New Roman" w:hAnsi="Times New Roman"/>
            <w:b w:val="false"/>
            <w:i w:val="false"/>
            <w:color w:val="000000"/>
            <w:sz w:val="22"/>
          </w:rPr>
          <w:t>65.101(2)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Separation distance for spray irrigation from property boundary line. Spray irrigation equipment shall be set up to provide for a minimum distance of 100 feet between the wetted perimeter as specified in the spray irrigation equipment manufacturer’s specifications and the boundary line of the property where the equipment is being operated. The actual wetted perimeter, as determined by wind speed and direction and other operating conditions, shall not exceed the boundary line of the property where the equipment is being operated. For property that includes a road right-of-way, railroad right-of-way or an access easement, the property boundary line shall be the boundary line of the right-of-way or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 from structures for low-pressure irrigation systems. Low-pressure irrigation systems shall have a minimum separation distance of 250 feet between the actual wetted perimeter and the closest point of a residence, a business, church, school or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Waivers to paragraph </w:t>
      </w:r>
      <w:hyperlink r:id="rId124">
        <w:r>
          <w:rPr>
            <w:rStyle w:val="Hyperlink"/>
            <w:rFonts w:ascii="Times New Roman" w:hAnsi="Times New Roman"/>
            <w:b w:val="false"/>
            <w:i w:val="false"/>
            <w:color w:val="000000"/>
            <w:sz w:val="22"/>
          </w:rPr>
          <w:t>65.101(2)</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be granted by the department if sufficient and proposed alternative information is provided to substantiate the need and propriety for such action. Waivers may be granted on a temporary or permanent basis. The request for a waiver shall be in writing and include information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manure storage structure from which the manure will be applied by spray irrigation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spray irrigation equipment to be used in the application of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the department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Agricultural drainage wells. Manure shall not be applied by spray irrigation equipment on land located within an agricultural drainage well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Designated areas. A person shall not apply manure on land within 200 feet from a designated area or in the case of a high-quality water resource, within 800 feet,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manure is land-applied by injection or incorporation on the same date as the manure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area of permanent vegetation cover, including filter strips and riparian forest buffers, exists for 50 feet surrounding the designated area other than an unplugged agricultural drainage well or surface intake to an unplugged agricultural drainage well, and the area of permanent vegetation cover is not subject to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Setback requirements for confinement feeding operations with NPDES permits. For confinement feeding operations with NPDES permits, the following is adopted by reference: 40 CFR 412.4(a), (b) and (c)(5).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65.101(3)</w:t>
      </w:r>
      <w:r>
        <w:rPr>
          <w:rFonts w:ascii="Times New Roman" w:hAnsi="Times New Roman"/>
          <w:b w:val="false"/>
          <w:i w:val="false"/>
          <w:color w:val="000000"/>
          <w:sz w:val="22"/>
        </w:rPr>
        <w:t> </w:t>
      </w:r>
      <w:r>
        <w:rPr>
          <w:rFonts w:ascii="Times New Roman" w:hAnsi="Times New Roman"/>
          <w:b w:val="false"/>
          <w:i/>
          <w:color w:val="000000"/>
          <w:sz w:val="22"/>
        </w:rPr>
        <w:t xml:space="preserve">Surface application of liquid manure on frozen or snow-covered ground. </w:t>
      </w:r>
      <w:r>
        <w:rPr>
          <w:rFonts w:ascii="Times New Roman" w:hAnsi="Times New Roman"/>
          <w:b w:val="false"/>
          <w:i w:val="false"/>
          <w:color w:val="000000"/>
          <w:sz w:val="22"/>
        </w:rPr>
        <w:t>A person who applies liquid manure on frozen or snow-covered ground shall comply with applicable NPDES permit requirements pursuant to the Act and also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Snow-covered ground. </w:t>
      </w:r>
      <w:r>
        <w:rPr>
          <w:rFonts w:ascii="Times New Roman" w:hAnsi="Times New Roman"/>
          <w:b w:val="false"/>
          <w:i w:val="false"/>
          <w:color w:val="000000"/>
          <w:sz w:val="22"/>
        </w:rPr>
        <w:t>During the period beginning December 21 and ending April 1, a person may apply liquid manure originating from a manure storage structure that is part of a confinement feeding operation on snow-covered ground only when there is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Frozen ground. </w:t>
      </w:r>
      <w:r>
        <w:rPr>
          <w:rFonts w:ascii="Times New Roman" w:hAnsi="Times New Roman"/>
          <w:b w:val="false"/>
          <w:i w:val="false"/>
          <w:color w:val="000000"/>
          <w:sz w:val="22"/>
        </w:rPr>
        <w:t>During the period beginning February 1 and ending April 1, a person may apply liquid manure originating from a manure storage structure that is part of a confinement feeding operation on frozen ground only when there is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What constitutes an emergency. </w:t>
      </w:r>
      <w:r>
        <w:rPr>
          <w:rFonts w:ascii="Times New Roman" w:hAnsi="Times New Roman"/>
          <w:b w:val="false"/>
          <w:i w:val="false"/>
          <w:color w:val="000000"/>
          <w:sz w:val="22"/>
        </w:rPr>
        <w:t xml:space="preserve">For the purposes of this subrule, an emergency application is only allowed when there is an immediate need to apply manure to comply with the manure retention requirement of subrule </w:t>
      </w:r>
      <w:hyperlink r:id="rId125">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xml:space="preserve"> due to unforeseen circumstances affecting the storage of the liquid manure. The unforeseen circumstances must be beyond the control of the owner of the confinement feeding operation, including but not limited to natural disaster, unusual weather conditions, or equipment or structural failure. The authorization to apply liquid manure pursuant to this subrule does not apply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immediate need to apply manure in order to comply with the manure retention requirement of subrule </w:t>
      </w:r>
      <w:hyperlink r:id="rId126">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xml:space="preserve"> caused by the improper design or management of the manure storage structure, including but not limited to a failure to properly account for the volume of the manure to be stored. Based on the restrictions described in paragraphs </w:t>
      </w:r>
      <w:hyperlink r:id="rId127">
        <w:r>
          <w:rPr>
            <w:rStyle w:val="Hyperlink"/>
            <w:rFonts w:ascii="Times New Roman" w:hAnsi="Times New Roman"/>
            <w:b w:val="false"/>
            <w:i w:val="false"/>
            <w:color w:val="000000"/>
            <w:sz w:val="22"/>
          </w:rPr>
          <w:t>65.101(3)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the possibility that the ground could be snow-covered and frozen for the entire period of December 21 to April 1, an operation should not plan to apply liquid manure during that time period. Confinement feeding operations with manure storage structures constructed after May 26, 2009, and without alternatives to manure application must have sufficient storage capacity to retain manure generated from December 21 to April 1 under normal circumstances in order to properly account for the volume of manure to be stored. For confinement feeding operations that have no manure storage structures constructed after May 26, 2009, the department will accept insufficient manure storage capacity as a reason for emergency application in the notification required in subrule </w:t>
      </w:r>
      <w:hyperlink r:id="rId128">
        <w:r>
          <w:rPr>
            <w:rStyle w:val="Hyperlink"/>
            <w:rFonts w:ascii="Times New Roman" w:hAnsi="Times New Roman"/>
            <w:b w:val="false"/>
            <w:i w:val="false"/>
            <w:color w:val="000000"/>
            <w:sz w:val="22"/>
          </w:rPr>
          <w:t>65.101(3)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Liquid manure originating from a confinement feeding operation constructed or expanded on or after July 1, 2009, if the confinement feeding operation has a capacity to store manure for less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Procedure for emergency application. </w:t>
      </w:r>
      <w:r>
        <w:rPr>
          <w:rFonts w:ascii="Times New Roman" w:hAnsi="Times New Roman"/>
          <w:b w:val="false"/>
          <w:i w:val="false"/>
          <w:color w:val="000000"/>
          <w:sz w:val="22"/>
        </w:rPr>
        <w:t>A person who is authorized to apply liquid manure on snow-covered ground or frozen ground when there is an emergency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notify the appropriate department field office by telephone prior to the application. The department will not consider the notification complete unless the owner’s name, facility name, facility ID number, reason for emergency application, application date, estimated number of gallons of manure to be applied, and application fields as listed in the MMP are given. In cases where the emergency is not easily confirmed by weather reports, the owner must make documentation of the emergency available to the field office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liquid manure must be applied on land identified for such application in the current MMP maintained by the owner of the confinement feeding operation as required in subrule </w:t>
      </w:r>
      <w:hyperlink r:id="rId129">
        <w:r>
          <w:rPr>
            <w:rStyle w:val="Hyperlink"/>
            <w:rFonts w:ascii="Times New Roman" w:hAnsi="Times New Roman"/>
            <w:b w:val="false"/>
            <w:i w:val="false"/>
            <w:color w:val="000000"/>
            <w:sz w:val="22"/>
          </w:rPr>
          <w:t>65.111(7)</w:t>
        </w:r>
      </w:hyperlink>
      <w:r>
        <w:rPr>
          <w:rFonts w:ascii="Times New Roman" w:hAnsi="Times New Roman"/>
          <w:b w:val="false"/>
          <w:i w:val="false"/>
          <w:color w:val="000000"/>
          <w:sz w:val="22"/>
        </w:rPr>
        <w:t xml:space="preserve">. The land must be identified in the current MMP prior to the application, and that change must also be reflected in the next annual update or complete MMP submitted to the department and county boards of supervisors following the application as required in paragraph </w:t>
      </w:r>
      <w:hyperlink r:id="rId130">
        <w:r>
          <w:rPr>
            <w:rStyle w:val="Hyperlink"/>
            <w:rFonts w:ascii="Times New Roman" w:hAnsi="Times New Roman"/>
            <w:b w:val="false"/>
            <w:i w:val="false"/>
            <w:color w:val="000000"/>
            <w:sz w:val="22"/>
          </w:rPr>
          <w:t>65.110(3)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liquid manure must be applied on a field with a phosphorus index rating of 2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surface water drain tile intake that is on land in the owner’s MMP and located downgradient of the application must be temporarily blocked beginning not later than the time that the liquid manure is first applied and ending not earlier than two weeks after the completion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measures to contain runoff may be necessary in order to prevent violation of federal effluent standards in subrule </w:t>
      </w:r>
      <w:hyperlink r:id="rId131">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Paragraphs </w:t>
      </w:r>
      <w:hyperlink r:id="rId132">
        <w:r>
          <w:rPr>
            <w:rStyle w:val="Hyperlink"/>
            <w:rFonts w:ascii="Times New Roman" w:hAnsi="Times New Roman"/>
            <w:b w:val="false"/>
            <w:i w:val="false"/>
            <w:color w:val="000000"/>
            <w:sz w:val="22"/>
          </w:rPr>
          <w:t>65.101(3)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do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liquid manure originating from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of liquid manure injected or incorporated into the soil on the same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567—65.102</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Departmental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65.102(1)</w:t>
      </w:r>
      <w:r>
        <w:rPr>
          <w:rFonts w:ascii="Times New Roman" w:hAnsi="Times New Roman"/>
          <w:b w:val="false"/>
          <w:i w:val="false"/>
          <w:color w:val="000000"/>
          <w:sz w:val="22"/>
        </w:rPr>
        <w:t> </w:t>
      </w:r>
      <w:r>
        <w:rPr>
          <w:rFonts w:ascii="Times New Roman" w:hAnsi="Times New Roman"/>
          <w:b w:val="false"/>
          <w:i w:val="false"/>
          <w:color w:val="000000"/>
          <w:sz w:val="22"/>
        </w:rPr>
        <w:t>The department may evaluate any AFO to determine if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from the operation is being discharged into a water of the state and the operation is not providing the applicable minimum level of manure control as specified in subrule </w:t>
      </w:r>
      <w:hyperlink r:id="rId133">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Manure from the operation is causing or may reasonably be expected to cause pollution of a water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Manure from the operation is causing or may reasonably be expected to cause a violation of state water quality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65.102(2)</w:t>
      </w:r>
      <w:r>
        <w:rPr>
          <w:rFonts w:ascii="Times New Roman" w:hAnsi="Times New Roman"/>
          <w:b w:val="false"/>
          <w:i w:val="false"/>
          <w:color w:val="000000"/>
          <w:sz w:val="22"/>
        </w:rPr>
        <w:t> </w:t>
      </w:r>
      <w:r>
        <w:rPr>
          <w:rFonts w:ascii="Times New Roman" w:hAnsi="Times New Roman"/>
          <w:b w:val="false"/>
          <w:i w:val="false"/>
          <w:color w:val="000000"/>
          <w:sz w:val="22"/>
        </w:rPr>
        <w:t xml:space="preserve">If departmental evaluation determines that any of the conditions listed in subrule </w:t>
      </w:r>
      <w:hyperlink r:id="rId134">
        <w:r>
          <w:rPr>
            <w:rStyle w:val="Hyperlink"/>
            <w:rFonts w:ascii="Times New Roman" w:hAnsi="Times New Roman"/>
            <w:b w:val="false"/>
            <w:i w:val="false"/>
            <w:color w:val="000000"/>
            <w:sz w:val="22"/>
          </w:rPr>
          <w:t>65.102(1)</w:t>
        </w:r>
      </w:hyperlink>
      <w:r>
        <w:rPr>
          <w:rFonts w:ascii="Times New Roman" w:hAnsi="Times New Roman"/>
          <w:b w:val="false"/>
          <w:i w:val="false"/>
          <w:color w:val="000000"/>
          <w:sz w:val="22"/>
        </w:rPr>
        <w:t xml:space="preserve"> exist, the operation shall institute necessary remedial actions to eliminate the conditions if the operation receives a written notification from the department of the need to correct the conditions. This subrule shall apply to all permitted and unpermitted AFOs, regardless of animal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567—65.103</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Construction permits—required approvals and permits. </w:t>
      </w:r>
      <w:r>
        <w:rPr>
          <w:rFonts w:ascii="Times New Roman" w:hAnsi="Times New Roman"/>
          <w:b w:val="false"/>
          <w:i w:val="false"/>
          <w:color w:val="000000"/>
          <w:sz w:val="22"/>
        </w:rPr>
        <w:t xml:space="preserve">A person required to obtain a construction permit pursuant to subrule </w:t>
      </w:r>
      <w:hyperlink r:id="rId135">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or a construction approval letter pursuant to subrule </w:t>
      </w:r>
      <w:hyperlink r:id="rId136">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shall not begin construction, expansion or modification of a confinement feeding operation structure until the department issues a construction permit or a construction approval letter for a proposed or existing confinement feeding operation. In addition, the owner of a SAFO with formed manure storage structures who is not required to obtain a construction permit pursuant to subrule </w:t>
      </w:r>
      <w:hyperlink r:id="rId137">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or a construction approval letter pursuant to subrule </w:t>
      </w:r>
      <w:hyperlink r:id="rId138">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shall comply with the applicable construction approval requirements pursuant to subrule </w:t>
      </w:r>
      <w:hyperlink r:id="rId139">
        <w:r>
          <w:rPr>
            <w:rStyle w:val="Hyperlink"/>
            <w:rFonts w:ascii="Times New Roman" w:hAnsi="Times New Roman"/>
            <w:b w:val="false"/>
            <w:i w:val="false"/>
            <w:color w:val="000000"/>
            <w:sz w:val="22"/>
          </w:rPr>
          <w:t>65.103(8)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65.103(1)</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operations required to obtain a construction permit prior to any of the following. </w:t>
      </w:r>
      <w:r>
        <w:rPr>
          <w:rFonts w:ascii="Times New Roman" w:hAnsi="Times New Roman"/>
          <w:b w:val="false"/>
          <w:i w:val="false"/>
          <w:color w:val="000000"/>
          <w:sz w:val="22"/>
        </w:rPr>
        <w:t xml:space="preserve">Except as provided in subrule </w:t>
      </w:r>
      <w:hyperlink r:id="rId140">
        <w:r>
          <w:rPr>
            <w:rStyle w:val="Hyperlink"/>
            <w:rFonts w:ascii="Times New Roman" w:hAnsi="Times New Roman"/>
            <w:b w:val="false"/>
            <w:i w:val="false"/>
            <w:color w:val="000000"/>
            <w:sz w:val="22"/>
          </w:rPr>
          <w:t>65.103(2)</w:t>
        </w:r>
      </w:hyperlink>
      <w:r>
        <w:rPr>
          <w:rFonts w:ascii="Times New Roman" w:hAnsi="Times New Roman"/>
          <w:b w:val="false"/>
          <w:i w:val="false"/>
          <w:color w:val="000000"/>
          <w:sz w:val="22"/>
        </w:rPr>
        <w:t>, a confinement feeding operation shall obtain a construction permit prior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Constructing or installing a confinement building that uses an unformed manure storage structure or constructing, installing or modifying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Constructing or installing a confinement building that uses a formed manure storage structure or constructing, installing or modifying a formed manure storage structure if, after construction, installation or modification, the animal unit capacity of the operation is 1,000 animal units or more. This paragraph also applies to confinement feeding operations that store manure exclusively in a dry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a change, even if no construction of, or physical alteration to, an unformed manure storage structure is necessary, that would result in an increase in the volume of manure or a modification in the manner in which manure is stored in any unformed manure storage structure. Increases in the volume of manure due to an increase in animal capacity, animal weight capacity or animal unit capacity up to the limits specified in a previously issued construction permit do not require a new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Initiating a change, even if no construction of or physical alteration to, a formed manure storage structure is necessary, that would result in an increase in the volume of manure or a modification in the manner in which manure is stored in a formed manure storage structure if, after the change, the animal unit capacity of the operation is 1,000 animal units or more. Increases in the volume of manure due to an increase in animal capacity, animal weight capacity or animal unit capacity up to the limits specified in a previously issued construction permit do not require a new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or acquiring an adjacent animal feeding confinement operation if after acquisition the animal unit capacity of the combined operation is 1,000 animal units or more. The construction permit application must be submitted within 60 days of the acquisition or purchase.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Constructing or modifying an egg washwater storage structure or a confinement building at a confinement feeding operation that includes an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Initiating a change, even if no construction of, or physical alteration to, an egg washwater storage structure is necessary, that would result in an increase in the volume of egg washwater or a modification in the manner in which egg washwater is stored. Increases in the volume of egg washwater due to an increase in animal capacity, animal weight capacity or animal unit capacity up to the limits specified in a previously issued construction permit do not require a new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Repopulating a confinement feeding operation that had been a discontinued AFO for 24 months or more and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uses an unformed manure storage structure or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includes only confinement buildings and formed manure storage structures and has an animal unit capacity of 1,000 animal units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Installing a permanent manure transfer piping system, unless the department determines that a construction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Initiating a remedial change, upgrade, replacement or construction when directed by the department as a result of departmental evaluation pursuant to rule </w:t>
      </w:r>
      <w:hyperlink r:id="rId141">
        <w:r>
          <w:rPr>
            <w:rStyle w:val="Hyperlink"/>
            <w:rFonts w:ascii="Times New Roman" w:hAnsi="Times New Roman"/>
            <w:b w:val="false"/>
            <w:i w:val="false"/>
            <w:color w:val="000000"/>
            <w:sz w:val="22"/>
          </w:rPr>
          <w:t>567—65.102</w:t>
        </w:r>
      </w:hyperlink>
      <w:r>
        <w:rPr>
          <w:rFonts w:ascii="Times New Roman" w:hAnsi="Times New Roman"/>
          <w:b w:val="false"/>
          <w:i w:val="false"/>
          <w:color w:val="000000"/>
          <w:sz w:val="22"/>
        </w:rPr>
        <w:t xml:space="preserve">(455B,459,459B) or as required by an administrative order or court order pursuant to Iowa Code section </w:t>
      </w:r>
      <w:hyperlink r:id="rId142">
        <w:r>
          <w:rPr>
            <w:rStyle w:val="Hyperlink"/>
            <w:rFonts w:ascii="Times New Roman" w:hAnsi="Times New Roman"/>
            <w:b w:val="false"/>
            <w:i w:val="false"/>
            <w:color w:val="000000"/>
            <w:sz w:val="22"/>
          </w:rPr>
          <w:t>455B.112</w:t>
        </w:r>
      </w:hyperlink>
      <w:r>
        <w:rPr>
          <w:rFonts w:ascii="Times New Roman" w:hAnsi="Times New Roman"/>
          <w:b w:val="false"/>
          <w:i w:val="false"/>
          <w:color w:val="000000"/>
          <w:sz w:val="22"/>
        </w:rPr>
        <w:t xml:space="preserve"> or 455B.175. Repairs to a confinement building or additions such as fans, slats, gates, roofs, or covers do not require a construction permit. In some instances, the department may determine that a construction permit is not required to increase the volume of manure or egg washwater or a modification in the manner in which manure or egg washwater is stored if the increase or modification is deemed insignificant. Plans for repairs or modifications to a manure storage structure shall be submitted to the department to determine if a permit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65.103(2)</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operations not required to obtain a 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construction permit shall not be required for a formed manure storage structure or for a confinement building that uses a formed manure storage structure in conjunction with a SAFO. However, this paragraph shall not apply to a SAFO that uses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construction permit shall not be required for a confinement feeding operation structure related to research activities and experiments performed under the authority and regulations of a research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is not required to construct a formed manure storage structure at a confinement feeding operation having an animal unit capacity of more than 500 but less than 1,000 animal units; however, a construction approval letter is required from the department pursuant to subrule </w:t>
      </w:r>
      <w:hyperlink r:id="rId143">
        <w:r>
          <w:rPr>
            <w:rStyle w:val="Hyperlink"/>
            <w:rFonts w:ascii="Times New Roman" w:hAnsi="Times New Roman"/>
            <w:b w:val="false"/>
            <w:i w:val="false"/>
            <w:color w:val="000000"/>
            <w:sz w:val="22"/>
          </w:rPr>
          <w:t>65.103(8)</w:t>
        </w:r>
      </w:hyperlink>
      <w:r>
        <w:rPr>
          <w:rFonts w:ascii="Times New Roman" w:hAnsi="Times New Roman"/>
          <w:b w:val="false"/>
          <w:i w:val="false"/>
          <w:color w:val="000000"/>
          <w:sz w:val="22"/>
        </w:rPr>
        <w:t xml:space="preserve"> and rule </w:t>
      </w:r>
      <w:hyperlink r:id="rId144">
        <w:r>
          <w:rPr>
            <w:rStyle w:val="Hyperlink"/>
            <w:rFonts w:ascii="Times New Roman" w:hAnsi="Times New Roman"/>
            <w:b w:val="false"/>
            <w:i w:val="false"/>
            <w:color w:val="000000"/>
            <w:sz w:val="22"/>
          </w:rPr>
          <w:t>567—65.104</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is not required for a confinement feeding operation that exclusively confines fish and elects to comply with the permitting requirements of Iowa Code section </w:t>
      </w:r>
      <w:hyperlink r:id="rId145">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65.103(3)</w:t>
      </w:r>
      <w:r>
        <w:rPr>
          <w:rFonts w:ascii="Times New Roman" w:hAnsi="Times New Roman"/>
          <w:b w:val="false"/>
          <w:i w:val="false"/>
          <w:color w:val="000000"/>
          <w:sz w:val="22"/>
        </w:rPr>
        <w:t> </w:t>
      </w:r>
      <w:r>
        <w:rPr>
          <w:rFonts w:ascii="Times New Roman" w:hAnsi="Times New Roman"/>
          <w:b w:val="false"/>
          <w:i/>
          <w:color w:val="000000"/>
          <w:sz w:val="22"/>
        </w:rPr>
        <w:t xml:space="preserve">Operations that shall not be issued 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 construction permit to a person if an enforcement action by the department, relating to a violation of this chapter concerning a confinement feeding operation in which the person has an interest,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issue a construction permit to a person for five years after the date of the last violation committed by a person or confinement feeding operation in which the person holds a controlling interest during which the person or operation was classified as a habitual violator under Iowa Code sections </w:t>
      </w:r>
      <w:hyperlink r:id="rId146">
        <w:r>
          <w:rPr>
            <w:rStyle w:val="Hyperlink"/>
            <w:rFonts w:ascii="Times New Roman" w:hAnsi="Times New Roman"/>
            <w:b w:val="false"/>
            <w:i w:val="false"/>
            <w:color w:val="000000"/>
            <w:sz w:val="22"/>
          </w:rPr>
          <w:t>459.317</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459.604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 construction permit to expand or modify a confinement feeding operation for 120 days after completion of the last construction or modification at the operation, if a permit was not required for the last construction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plan review criteria. </w:t>
      </w:r>
      <w:r>
        <w:rPr>
          <w:rFonts w:ascii="Times New Roman" w:hAnsi="Times New Roman"/>
          <w:b w:val="false"/>
          <w:i w:val="false"/>
          <w:color w:val="000000"/>
          <w:sz w:val="22"/>
        </w:rPr>
        <w:t>Review of plans and specifications submitted with a construction permit application shall be conducted to determine the potential of the proposed manure control system to achieve the level of manure control being required of the confinement feeding operation. In conducting this review, applicable criteria contained in federal law, state law, these rules, NRCS design standards and specifications unless inconsistent with federal or state law or these rules, and U.S. Department of Commerce precipitation data shall be used. If the proposed facility plans are not adequately covered by these criteria, applicable criteria contained in current technical literature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65.103(5)</w:t>
      </w:r>
      <w:r>
        <w:rPr>
          <w:rFonts w:ascii="Times New Roman" w:hAnsi="Times New Roman"/>
          <w:b w:val="false"/>
          <w:i w:val="false"/>
          <w:color w:val="000000"/>
          <w:sz w:val="22"/>
        </w:rPr>
        <w:t> </w:t>
      </w:r>
      <w:r>
        <w:rPr>
          <w:rFonts w:ascii="Times New Roman" w:hAnsi="Times New Roman"/>
          <w:b w:val="false"/>
          <w:i/>
          <w:color w:val="000000"/>
          <w:sz w:val="22"/>
        </w:rPr>
        <w:t xml:space="preserve">Expiration of construction permits. </w:t>
      </w:r>
      <w:r>
        <w:rPr>
          <w:rFonts w:ascii="Times New Roman" w:hAnsi="Times New Roman"/>
          <w:b w:val="false"/>
          <w:i w:val="false"/>
          <w:color w:val="000000"/>
          <w:sz w:val="22"/>
        </w:rPr>
        <w:t xml:space="preserve">A construction permit shall expire if construction, as defined in rule </w:t>
      </w:r>
      <w:hyperlink r:id="rId148">
        <w:r>
          <w:rPr>
            <w:rStyle w:val="Hyperlink"/>
            <w:rFonts w:ascii="Times New Roman" w:hAnsi="Times New Roman"/>
            <w:b w:val="false"/>
            <w:i w:val="false"/>
            <w:color w:val="000000"/>
            <w:sz w:val="22"/>
          </w:rPr>
          <w:t>567—65.6</w:t>
        </w:r>
      </w:hyperlink>
      <w:r>
        <w:rPr>
          <w:rFonts w:ascii="Times New Roman" w:hAnsi="Times New Roman"/>
          <w:b w:val="false"/>
          <w:i w:val="false"/>
          <w:color w:val="000000"/>
          <w:sz w:val="22"/>
        </w:rPr>
        <w:t>(455B,459,459A,459B), is not begun within one year and completed within four years of the date of issuance. The director may grant an extension of time to begin or complete construction if it is necessary or justified, upon showing of such necessity or justification to the director, unless a person who has an interest in the proposed operation is the subject of a pending enforcement action or a person who has a controlling interest in the proposed operation has been classified as a habitual violator. If a permitted site has not completed all proposed permitted structures within the four-year limit, then the approved animal unit capacity in the construction permit shall be lowered to be equal to what was constructed and the department shall issue a construction permit amendment for what was constructed. Once all permitted construction has been completed, no amendments for new construction may be issued even though the four-year period has not expired. A new construction permit must be issued for the new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65.103(6)</w:t>
      </w:r>
      <w:r>
        <w:rPr>
          <w:rFonts w:ascii="Times New Roman" w:hAnsi="Times New Roman"/>
          <w:b w:val="false"/>
          <w:i w:val="false"/>
          <w:color w:val="000000"/>
          <w:sz w:val="22"/>
        </w:rPr>
        <w:t> </w:t>
      </w:r>
      <w:r>
        <w:rPr>
          <w:rFonts w:ascii="Times New Roman" w:hAnsi="Times New Roman"/>
          <w:b w:val="false"/>
          <w:i/>
          <w:color w:val="000000"/>
          <w:sz w:val="22"/>
        </w:rPr>
        <w:t xml:space="preserve">Revocation of construction permits. </w:t>
      </w:r>
      <w:r>
        <w:rPr>
          <w:rFonts w:ascii="Times New Roman" w:hAnsi="Times New Roman"/>
          <w:b w:val="false"/>
          <w:i w:val="false"/>
          <w:color w:val="000000"/>
          <w:sz w:val="22"/>
        </w:rPr>
        <w:t xml:space="preserve">The department may revoke a construction permit or refuse to renew a permit expiring according to subrule </w:t>
      </w:r>
      <w:hyperlink r:id="rId149">
        <w:r>
          <w:rPr>
            <w:rStyle w:val="Hyperlink"/>
            <w:rFonts w:ascii="Times New Roman" w:hAnsi="Times New Roman"/>
            <w:b w:val="false"/>
            <w:i w:val="false"/>
            <w:color w:val="000000"/>
            <w:sz w:val="22"/>
          </w:rPr>
          <w:t>65.103(5)</w:t>
        </w:r>
      </w:hyperlink>
      <w:r>
        <w:rPr>
          <w:rFonts w:ascii="Times New Roman" w:hAnsi="Times New Roman"/>
          <w:b w:val="false"/>
          <w:i w:val="false"/>
          <w:color w:val="000000"/>
          <w:sz w:val="22"/>
        </w:rPr>
        <w:t xml:space="preserve"> if it determines that the operation of the confinement feeding operation constitutes a clear, present and impending danger to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65.103(7)</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operations required to obtain a construction approval letter. </w:t>
      </w:r>
      <w:r>
        <w:rPr>
          <w:rFonts w:ascii="Times New Roman" w:hAnsi="Times New Roman"/>
          <w:b w:val="false"/>
          <w:i w:val="false"/>
          <w:color w:val="000000"/>
          <w:sz w:val="22"/>
        </w:rPr>
        <w:t xml:space="preserve">A person planning to construct a confinement feeding operation, other than a SAFO as defined in rule </w:t>
      </w:r>
      <w:hyperlink r:id="rId15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or other than an operation required to obtain a construction permit pursuant to subrule </w:t>
      </w:r>
      <w:hyperlink r:id="rId151">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shall obtain from the department a construction approval letter as provided in subrule </w:t>
      </w:r>
      <w:hyperlink r:id="rId152">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prior to beginning construction of a formed manure storage structure or a confinement building. The construction approval letter shall expire if construction, as defined in subrule </w:t>
      </w:r>
      <w:hyperlink r:id="rId153">
        <w:r>
          <w:rPr>
            <w:rStyle w:val="Hyperlink"/>
            <w:rFonts w:ascii="Times New Roman" w:hAnsi="Times New Roman"/>
            <w:b w:val="false"/>
            <w:i w:val="false"/>
            <w:color w:val="000000"/>
            <w:sz w:val="22"/>
          </w:rPr>
          <w:t>65.6(1)</w:t>
        </w:r>
      </w:hyperlink>
      <w:r>
        <w:rPr>
          <w:rFonts w:ascii="Times New Roman" w:hAnsi="Times New Roman"/>
          <w:b w:val="false"/>
          <w:i w:val="false"/>
          <w:color w:val="000000"/>
          <w:sz w:val="22"/>
        </w:rPr>
        <w:t>, is not begun within one year and completed within four years of the date of the construction approval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65.103(8)</w:t>
      </w:r>
      <w:r>
        <w:rPr>
          <w:rFonts w:ascii="Times New Roman" w:hAnsi="Times New Roman"/>
          <w:b w:val="false"/>
          <w:i w:val="false"/>
          <w:color w:val="000000"/>
          <w:sz w:val="22"/>
        </w:rPr>
        <w:t> </w:t>
      </w:r>
      <w:r>
        <w:rPr>
          <w:rFonts w:ascii="Times New Roman" w:hAnsi="Times New Roman"/>
          <w:b w:val="false"/>
          <w:i/>
          <w:color w:val="000000"/>
          <w:sz w:val="22"/>
        </w:rPr>
        <w:t xml:space="preserve">SAFOs. </w:t>
      </w:r>
      <w:r>
        <w:rPr>
          <w:rFonts w:ascii="Times New Roman" w:hAnsi="Times New Roman"/>
          <w:b w:val="false"/>
          <w:i w:val="false"/>
          <w:color w:val="000000"/>
          <w:sz w:val="22"/>
        </w:rPr>
        <w:t>The following requirements apply to SAFOs: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shall not be required for a SAFO utilizing a formed manure storage structure; however, a construction permit is required for any unformed manure storage structures utilized at a SAFO.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SAFO cannot meet the required separation distance provided in Iowa Code section </w:t>
      </w:r>
      <w:hyperlink r:id="rId154">
        <w:r>
          <w:rPr>
            <w:rStyle w:val="Hyperlink"/>
            <w:rFonts w:ascii="Times New Roman" w:hAnsi="Times New Roman"/>
            <w:b w:val="false"/>
            <w:i w:val="false"/>
            <w:color w:val="000000"/>
            <w:sz w:val="22"/>
          </w:rPr>
          <w:t>459.310(1)</w:t>
        </w:r>
      </w:hyperlink>
      <w:r>
        <w:rPr>
          <w:rFonts w:ascii="Times New Roman" w:hAnsi="Times New Roman"/>
          <w:b w:val="false"/>
          <w:i w:val="false"/>
          <w:color w:val="000000"/>
          <w:sz w:val="22"/>
        </w:rPr>
        <w:t xml:space="preserve">, a SAFO must comply with secondary containment barrier design in accordance with subrule </w:t>
      </w:r>
      <w:hyperlink r:id="rId155">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SAFO must comply with drain tile removal requirements if the SAFO utilizes an unformed manure storage structure in accordance with subrule </w:t>
      </w:r>
      <w:hyperlink r:id="rId156">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SAFO confinement structures must comply with applicable separation distance requirements in rule </w:t>
      </w:r>
      <w:hyperlink r:id="rId157">
        <w:r>
          <w:rPr>
            <w:rStyle w:val="Hyperlink"/>
            <w:rFonts w:ascii="Times New Roman" w:hAnsi="Times New Roman"/>
            <w:b w:val="false"/>
            <w:i w:val="false"/>
            <w:color w:val="000000"/>
            <w:sz w:val="22"/>
          </w:rPr>
          <w:t>567—65.106</w:t>
        </w:r>
      </w:hyperlink>
      <w:r>
        <w:rPr>
          <w:rFonts w:ascii="Times New Roman" w:hAnsi="Times New Roman"/>
          <w:b w:val="false"/>
          <w:i w:val="false"/>
          <w:color w:val="000000"/>
          <w:sz w:val="22"/>
        </w:rPr>
        <w:t xml:space="preserve">(455B,459,459B).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65.103(9)</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permit conditions. </w:t>
      </w:r>
      <w:r>
        <w:rPr>
          <w:rFonts w:ascii="Times New Roman" w:hAnsi="Times New Roman"/>
          <w:b w:val="false"/>
          <w:i w:val="false"/>
          <w:color w:val="000000"/>
          <w:sz w:val="22"/>
        </w:rPr>
        <w:t>A person who constructs, modifies or expands a confinement feeding operation structure pursuant to a construction permit shall comply with all terms and conditions of the construction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567—65.104</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Preconstruction submittal requirements. </w:t>
      </w:r>
      <w:r>
        <w:rPr>
          <w:rFonts w:ascii="Times New Roman" w:hAnsi="Times New Roman"/>
          <w:b w:val="false"/>
          <w:i w:val="false"/>
          <w:color w:val="000000"/>
          <w:sz w:val="22"/>
        </w:rPr>
        <w:t xml:space="preserve">Prior to beginning construction, expansion or modification of a confinement feeding operation structure, a person shall obtain from the department a construction permit pursuant to subrule </w:t>
      </w:r>
      <w:hyperlink r:id="rId15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a construction approval letter pursuant to subrule </w:t>
      </w:r>
      <w:hyperlink r:id="rId159">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or approval of a secondary containment barrier design pursuant to subrule </w:t>
      </w:r>
      <w:hyperlink r:id="rId160">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according to procedures established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w:t>
      </w:r>
      <w:r>
        <w:rPr>
          <w:rFonts w:ascii="Times New Roman" w:hAnsi="Times New Roman"/>
          <w:b w:val="false"/>
          <w:i w:val="false"/>
          <w:color w:val="000000"/>
          <w:sz w:val="22"/>
        </w:rPr>
        <w:t xml:space="preserve">Application for a construction permit for a confinement feeding operation shall be made on a form provided by the department. The application shall include all of the information required in the form. At the time the department receives a complete application, the department shall make a determination regarding the approval or denial of the permit in accordance with subrule </w:t>
      </w:r>
      <w:hyperlink r:id="rId161">
        <w:r>
          <w:rPr>
            <w:rStyle w:val="Hyperlink"/>
            <w:rFonts w:ascii="Times New Roman" w:hAnsi="Times New Roman"/>
            <w:b w:val="false"/>
            <w:i w:val="false"/>
            <w:color w:val="000000"/>
            <w:sz w:val="22"/>
          </w:rPr>
          <w:t>65.105(5)</w:t>
        </w:r>
      </w:hyperlink>
      <w:r>
        <w:rPr>
          <w:rFonts w:ascii="Times New Roman" w:hAnsi="Times New Roman"/>
          <w:b w:val="false"/>
          <w:i w:val="false"/>
          <w:color w:val="000000"/>
          <w:sz w:val="22"/>
        </w:rPr>
        <w:t>. A construction permit application for a confinement feeding operation shall be filed as instructed on the form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applicant and the name of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current landowner or the proposed landowner of the land where the confinement feeding operation will be located.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contact person for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is for the expansion of an existing operation or the construction of a proposed confinement feeding operation, and the date when it was first constructed if an existing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by animal species of the current confinement feeding operation to be expanded, if applicable, and of the proposed confinement feeding operation. If the confinement feeding operation includes a confinement feeding operation structure that was constructed prior to March 1, 2003, the animal weight capacity by animal species of the current confinement feeding operation to be expanded, if applicable, and of the proposed confinement feeding operation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Engineering documents. A confinement feeding operation that utilizes an unformed manure storage structure, an egg washwater storage structure or a formed manure storage structure at an operation that meets the threshold requirements for an engineer as defined in rule </w:t>
      </w:r>
      <w:hyperlink r:id="rId162">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include an engineering report, construction plans and specifications. The engineering report, construction plans and specifications must be prepared and signed by a licensed PE or by an NRCS-qualified staff person, must detail the proposed structures, and must include a statement certifying that the manure storage structure complies with the requirements of Iowa Code chapter </w:t>
      </w:r>
      <w:hyperlink r:id="rId16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In addition, a qualified soils or groundwater professional, licensed PE or NRCS-qualified staff person shall submit a hydrogeologic report on soil corings in the area of the unformed manure storage structure or egg washwater storage structure as described in subrules </w:t>
      </w:r>
      <w:hyperlink r:id="rId164">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65.108(9)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design statement or PE design certification. A confinement feeding operation that uses a formed manure storage structure and that is below the threshold requirements for an engineer as defined in rule </w:t>
      </w:r>
      <w:hyperlink r:id="rId16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submit a construction design statement pursuant to subrule </w:t>
      </w:r>
      <w:hyperlink r:id="rId167">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 xml:space="preserve"> or a PE design certification pursuant to subrule </w:t>
      </w:r>
      <w:hyperlink r:id="rId168">
        <w:r>
          <w:rPr>
            <w:rStyle w:val="Hyperlink"/>
            <w:rFonts w:ascii="Times New Roman" w:hAnsi="Times New Roman"/>
            <w:b w:val="false"/>
            <w:i w:val="false"/>
            <w:color w:val="000000"/>
            <w:sz w:val="22"/>
          </w:rPr>
          <w:t>65.104(4)</w:t>
        </w:r>
      </w:hyperlink>
      <w:r>
        <w:rPr>
          <w:rFonts w:ascii="Times New Roman" w:hAnsi="Times New Roman"/>
          <w:b w:val="false"/>
          <w:i w:val="false"/>
          <w:color w:val="000000"/>
          <w:sz w:val="22"/>
        </w:rPr>
        <w:t>. All elevations shall be in NAV 88 datum for sites with alluvial soils or floodplain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to the department of the indemnity fund fee as required in Iowa Code section </w:t>
      </w:r>
      <w:hyperlink r:id="rId169">
        <w:r>
          <w:rPr>
            <w:rStyle w:val="Hyperlink"/>
            <w:rFonts w:ascii="Times New Roman" w:hAnsi="Times New Roman"/>
            <w:b w:val="false"/>
            <w:i w:val="false"/>
            <w:color w:val="000000"/>
            <w:sz w:val="22"/>
          </w:rPr>
          <w:t>459.502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construction permit application is for three or more confinement feeding operation structures, a drainage tile certification shall be submitted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for an unformed manure storage structure, an egg washwater storage structure or a formed manure storage structure that meets the threshold requirements for an engineer as defined in rule </w:t>
      </w:r>
      <w:hyperlink r:id="rId17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a licensed PE shall certify that either the construction of the structure will not impede the drainage through established drainage tile lines which cross property boundary lines or that if the drainage is impeded during construction, the drainage tile will be rerouted to reestablish the drainage prior to operation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for a formed manure storage structure that does not meet the threshold engineering requirements, a drainage tile certification shall be submitted as part of the construction design statement pursuant to subrule </w:t>
      </w:r>
      <w:hyperlink r:id="rId171">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 xml:space="preserve"> or as part of the PE design certification pursuant to subrule </w:t>
      </w:r>
      <w:hyperlink r:id="rId172">
        <w:r>
          <w:rPr>
            <w:rStyle w:val="Hyperlink"/>
            <w:rFonts w:ascii="Times New Roman" w:hAnsi="Times New Roman"/>
            <w:b w:val="false"/>
            <w:i w:val="false"/>
            <w:color w:val="000000"/>
            <w:sz w:val="22"/>
          </w:rPr>
          <w:t>65.104(4)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(e.g., maps, drawings, aerial photos) that clearly shows the proposed location of the confinement feeding operation structures; any existing confinement feeding operation structures; any locations or objects from which a separation distance is required by Iowa Code sections </w:t>
      </w:r>
      <w:hyperlink r:id="rId173">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that the structures will meet all applicable separation distances. If applicable, a copy of a recorded separation distance waiver, pursuant to paragraph </w:t>
      </w:r>
      <w:hyperlink r:id="rId176">
        <w:r>
          <w:rPr>
            <w:rStyle w:val="Hyperlink"/>
            <w:rFonts w:ascii="Times New Roman" w:hAnsi="Times New Roman"/>
            <w:b w:val="false"/>
            <w:i w:val="false"/>
            <w:color w:val="000000"/>
            <w:sz w:val="22"/>
          </w:rPr>
          <w:t>65.107(1)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included with the application. Also, if applicable, a secondary containment barrier design, pursuant to subrules </w:t>
      </w:r>
      <w:hyperlink r:id="rId177">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65.107(7)</w:t>
        </w:r>
      </w:hyperlink>
      <w:r>
        <w:rPr>
          <w:rFonts w:ascii="Times New Roman" w:hAnsi="Times New Roman"/>
          <w:b w:val="false"/>
          <w:i w:val="false"/>
          <w:color w:val="000000"/>
          <w:sz w:val="22"/>
        </w:rPr>
        <w:t>,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names of all parties with an interest or controlling interest in the confinement feeding operation who also have an interest or controlling interest in at least one other confinement feeding operation in Iowa, and the names and locations of such other operations; for a partnership or corporation owning the confinement feeding operation, a list of all members and their percentage of ownership in the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MMP pursuant to rule </w:t>
      </w:r>
      <w:hyperlink r:id="rId179">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application fee of $250 and the MMP filing fee of $250 as required in subrule </w:t>
      </w:r>
      <w:hyperlink r:id="rId180">
        <w:r>
          <w:rPr>
            <w:rStyle w:val="Hyperlink"/>
            <w:rFonts w:ascii="Times New Roman" w:hAnsi="Times New Roman"/>
            <w:b w:val="false"/>
            <w:i w:val="false"/>
            <w:color w:val="000000"/>
            <w:sz w:val="22"/>
          </w:rPr>
          <w:t>65.110(7)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copy of the AFO Siting Atlas indicating the location of the proposed structure, with the one hundred year floodplain and karst layers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any master matrix evaluation provided to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A livestock odor mitigation evaluation certificate issued by Iowa State University as provided in Iowa Code section </w:t>
      </w:r>
      <w:hyperlink r:id="rId181">
        <w:r>
          <w:rPr>
            <w:rStyle w:val="Hyperlink"/>
            <w:rFonts w:ascii="Times New Roman" w:hAnsi="Times New Roman"/>
            <w:b w:val="false"/>
            <w:i w:val="false"/>
            <w:color w:val="000000"/>
            <w:sz w:val="22"/>
          </w:rPr>
          <w:t>266.49</w:t>
        </w:r>
      </w:hyperlink>
      <w:r>
        <w:rPr>
          <w:rFonts w:ascii="Times New Roman" w:hAnsi="Times New Roman"/>
          <w:b w:val="false"/>
          <w:i w:val="false"/>
          <w:color w:val="000000"/>
          <w:sz w:val="22"/>
        </w:rPr>
        <w:t>. The applicant is not required to submit the certificate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confinement feeding operation is twice the minimum separation distance required from the nearest object or location from which a separation distance is required pursuant to Iowa Code section </w:t>
      </w:r>
      <w:hyperlink r:id="rId182">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on the date of the application, not including a public thoroughfare.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each object or location that is less than twice the minimum separation distance required pursuant to Iowa Code section </w:t>
      </w:r>
      <w:hyperlink r:id="rId183">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from the confinement feeding operation on the date of the application, other than a public thoroughfare, executes a document consenting to the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document swearing that Iowa State University has failed to furnish a certificate to the applicant within 45 days after the applicant requested Iowa State University to conduct a livestock odor mitigation evaluation as provided in Iowa Code section </w:t>
      </w:r>
      <w:hyperlink r:id="rId184">
        <w:r>
          <w:rPr>
            <w:rStyle w:val="Hyperlink"/>
            <w:rFonts w:ascii="Times New Roman" w:hAnsi="Times New Roman"/>
            <w:b w:val="false"/>
            <w:i w:val="false"/>
            <w:color w:val="000000"/>
            <w:sz w:val="22"/>
          </w:rPr>
          <w:t>266.49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is for a permit to expand a confinement feeding operation, if the confinement feeding operation was first constructed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State University does not provide for a livestock odor mitigation evaluation effort as provided in Iowa Code section </w:t>
      </w:r>
      <w:hyperlink r:id="rId185">
        <w:r>
          <w:rPr>
            <w:rStyle w:val="Hyperlink"/>
            <w:rFonts w:ascii="Times New Roman" w:hAnsi="Times New Roman"/>
            <w:b w:val="false"/>
            <w:i w:val="false"/>
            <w:color w:val="000000"/>
            <w:sz w:val="22"/>
          </w:rPr>
          <w:t>266.49</w:t>
        </w:r>
      </w:hyperlink>
      <w:r>
        <w:rPr>
          <w:rFonts w:ascii="Times New Roman" w:hAnsi="Times New Roman"/>
          <w:b w:val="false"/>
          <w:i w:val="false"/>
          <w:color w:val="000000"/>
          <w:sz w:val="22"/>
        </w:rPr>
        <w:t>, for any reason, including because funding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Documentation that copies of all the construction permit application documents have been provided to the county board of supervisors or county auditor in the county where the operation or structure subject to the permit is to be located, and documentation of the date received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65.104(2)</w:t>
      </w:r>
      <w:r>
        <w:rPr>
          <w:rFonts w:ascii="Times New Roman" w:hAnsi="Times New Roman"/>
          <w:b w:val="false"/>
          <w:i w:val="false"/>
          <w:color w:val="000000"/>
          <w:sz w:val="22"/>
        </w:rPr>
        <w:t> </w:t>
      </w:r>
      <w:r>
        <w:rPr>
          <w:rFonts w:ascii="Times New Roman" w:hAnsi="Times New Roman"/>
          <w:b w:val="false"/>
          <w:i/>
          <w:color w:val="000000"/>
          <w:sz w:val="22"/>
        </w:rPr>
        <w:t xml:space="preserve">Construction approval letter.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that, pursuant to subrule </w:t>
      </w:r>
      <w:hyperlink r:id="rId186">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is required to obtain a construction approval letter as defined in rule </w:t>
      </w:r>
      <w:hyperlink r:id="rId187">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but that is not required to obtain a construction permit pursuant to subrule </w:t>
      </w:r>
      <w:hyperlink r:id="rId18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shall file with the department, at least 30 days prior to the date the proposed construction is scheduled to begin,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design statement pursuant to subrule </w:t>
      </w:r>
      <w:hyperlink r:id="rId189">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 xml:space="preserve">. In lieu of a construction design statement, a PE design certification pursuant to subrule </w:t>
      </w:r>
      <w:hyperlink r:id="rId190">
        <w:r>
          <w:rPr>
            <w:rStyle w:val="Hyperlink"/>
            <w:rFonts w:ascii="Times New Roman" w:hAnsi="Times New Roman"/>
            <w:b w:val="false"/>
            <w:i w:val="false"/>
            <w:color w:val="000000"/>
            <w:sz w:val="22"/>
          </w:rPr>
          <w:t>65.104(4)</w:t>
        </w:r>
      </w:hyperlink>
      <w:r>
        <w:rPr>
          <w:rFonts w:ascii="Times New Roman" w:hAnsi="Times New Roman"/>
          <w:b w:val="false"/>
          <w:i w:val="false"/>
          <w:color w:val="000000"/>
          <w:sz w:val="22"/>
        </w:rPr>
        <w:t xml:space="preserve"> may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MMP pursuant to rule </w:t>
      </w:r>
      <w:hyperlink r:id="rId191">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(e.g., maps, drawings, aerial photos) that clearly shows the intended location of the confinement feeding operation structures and animal weight capacities of any other confinement feeding operations within a distance of 2,500 feet in which the owner has an ownership interest or which the owner manages.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of $250 for filing an MMP pursuant to subrule </w:t>
      </w:r>
      <w:hyperlink r:id="rId192">
        <w:r>
          <w:rPr>
            <w:rStyle w:val="Hyperlink"/>
            <w:rFonts w:ascii="Times New Roman" w:hAnsi="Times New Roman"/>
            <w:b w:val="false"/>
            <w:i w:val="false"/>
            <w:color w:val="000000"/>
            <w:sz w:val="22"/>
          </w:rPr>
          <w:t>65.110(7)</w:t>
        </w:r>
      </w:hyperlink>
      <w:r>
        <w:rPr>
          <w:rFonts w:ascii="Times New Roman" w:hAnsi="Times New Roman"/>
          <w:b w:val="false"/>
          <w:i w:val="false"/>
          <w:color w:val="000000"/>
          <w:sz w:val="22"/>
        </w:rPr>
        <w:t xml:space="preserve"> and a manure storage indemnity fee pursuant to subrule </w:t>
      </w:r>
      <w:hyperlink r:id="rId193">
        <w:r>
          <w:rPr>
            <w:rStyle w:val="Hyperlink"/>
            <w:rFonts w:ascii="Times New Roman" w:hAnsi="Times New Roman"/>
            <w:b w:val="false"/>
            <w:i w:val="false"/>
            <w:color w:val="000000"/>
            <w:sz w:val="22"/>
          </w:rPr>
          <w:t>65.110(6)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board of supervisors or auditor of the county where the confinement feeding operation structure is proposed to be located received a copy of the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submission of items in subparagraphs </w:t>
      </w:r>
      <w:hyperlink r:id="rId194">
        <w:r>
          <w:rPr>
            <w:rStyle w:val="Hyperlink"/>
            <w:rFonts w:ascii="Times New Roman" w:hAnsi="Times New Roman"/>
            <w:b w:val="false"/>
            <w:i w:val="false"/>
            <w:color w:val="000000"/>
            <w:sz w:val="22"/>
          </w:rPr>
          <w:t>65.104(2)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195">
        <w:r>
          <w:rPr>
            <w:rStyle w:val="Hyperlink"/>
            <w:rFonts w:ascii="Times New Roman" w:hAnsi="Times New Roman"/>
            <w:b w:val="false"/>
            <w:i w:val="false"/>
            <w:color w:val="000000"/>
            <w:sz w:val="22"/>
          </w:rPr>
          <w:t>65.104(2)</w:t>
        </w:r>
      </w:hyperlink>
      <w:r>
        <w:rPr>
          <w:rFonts w:ascii="Times New Roman" w:hAnsi="Times New Roman"/>
          <w:b w:val="false"/>
          <w:i/>
          <w:color w:val="000000"/>
          <w:sz w:val="22"/>
        </w:rPr>
        <w:t>“a”</w:t>
      </w:r>
      <w:r>
        <w:rPr>
          <w:rFonts w:ascii="Times New Roman" w:hAnsi="Times New Roman"/>
          <w:b w:val="false"/>
          <w:i w:val="false"/>
          <w:color w:val="000000"/>
          <w:sz w:val="22"/>
        </w:rPr>
        <w:t>(5) and prior to issuance of the construction approval letter, the confinement feeding operation may make nonsubstantial revisions to the items and maintain the date construction is scheduled to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65.104(3)</w:t>
      </w:r>
      <w:r>
        <w:rPr>
          <w:rFonts w:ascii="Times New Roman" w:hAnsi="Times New Roman"/>
          <w:b w:val="false"/>
          <w:i w:val="false"/>
          <w:color w:val="000000"/>
          <w:sz w:val="22"/>
        </w:rPr>
        <w:t> </w:t>
      </w:r>
      <w:r>
        <w:rPr>
          <w:rFonts w:ascii="Times New Roman" w:hAnsi="Times New Roman"/>
          <w:b w:val="false"/>
          <w:i/>
          <w:color w:val="000000"/>
          <w:sz w:val="22"/>
        </w:rPr>
        <w:t xml:space="preserve">Construction design statement. </w:t>
      </w:r>
      <w:r>
        <w:rPr>
          <w:rFonts w:ascii="Times New Roman" w:hAnsi="Times New Roman"/>
          <w:b w:val="false"/>
          <w:i w:val="false"/>
          <w:color w:val="000000"/>
          <w:sz w:val="22"/>
        </w:rPr>
        <w:t xml:space="preserve">Prior to beginning construction of a formed manure storage structure, a person planning construction at a confinement feeding operation, other than a SAFO, that is below the threshold requirements for an engineer as defined in rule </w:t>
      </w:r>
      <w:hyperlink r:id="rId19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shall file with the department a construction design statement,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with an animal unit capacity of more than 500 but less than 1,000 animal units that is required to obtain a construction approval letter from the department pursuant to subrule </w:t>
      </w:r>
      <w:hyperlink r:id="rId197">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but that is not required to obtain a construction permit pursuant to subrule </w:t>
      </w:r>
      <w:hyperlink r:id="rId19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shall file with the department a construction design statement, as required in subrule </w:t>
      </w:r>
      <w:hyperlink r:id="rId199">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Within 30 days after the filing of a construction design statement, the department may issue a construction approval letter as defined in rule </w:t>
      </w:r>
      <w:hyperlink r:id="rId20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if the proposed formed manure storage structure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that has an animal unit capacity of 1,000 animal units or more but that is below the threshold requirements for an engineer as defined in rule </w:t>
      </w:r>
      <w:hyperlink r:id="rId201">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file a construction design statement as part of the construction permit application and as required in subrule </w:t>
      </w:r>
      <w:hyperlink r:id="rId202">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construction design statement shall be filed on a form provided by the department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planning construction at the confinement feeding operation, the name of the confinement feeding operation, the location of the proposed formed manure storage structure, a detailed description of the type of confinement feeding operation structure being proposed, the dimensions of the structure, and whether the structure will be constructed of reinforced concrete or steel.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MMP pursuant to rule </w:t>
      </w:r>
      <w:hyperlink r:id="rId203">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signed by the person responsible for constructing the formed manure storage structure that the proposed formed manure storage structure will be constructed according to the minimum concrete standards set forth in subrule </w:t>
      </w:r>
      <w:hyperlink r:id="rId204">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 xml:space="preserve">. Otherwise, if the formed manure storage structure is to be constructed of steel, including a Slurrystore® tank, a certification signed by the person responsible for constructing the formed manure storage structure that the proposed formed manure storage structure will be constructed according to the requirements of Iowa Code chapter </w:t>
      </w:r>
      <w:hyperlink r:id="rId20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confinement feeding operation is also required to obtain a construction permit at a confinement feeding operation proposing three or more confinement feeding operation structures, the construction design statement shall include a drainage tile certification signed by the person responsible for constructing or excavating the formed manure storage structure, shall certify that construction will not impede established existing drainage, and shall verify that if existing drainage tiles are found, corrective actions will be implemented to immediately reestablish existing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operations are not required to file a construction design statement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SAFO that constructs a 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that submits a PE design certification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that meets or exceeds threshold requirements for an engineer as defined in rule </w:t>
      </w:r>
      <w:hyperlink r:id="rId20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that utilizes an unformed manure storage structure or an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65.104(4)</w:t>
      </w:r>
      <w:r>
        <w:rPr>
          <w:rFonts w:ascii="Times New Roman" w:hAnsi="Times New Roman"/>
          <w:b w:val="false"/>
          <w:i w:val="false"/>
          <w:color w:val="000000"/>
          <w:sz w:val="22"/>
        </w:rPr>
        <w:t> </w:t>
      </w:r>
      <w:r>
        <w:rPr>
          <w:rFonts w:ascii="Times New Roman" w:hAnsi="Times New Roman"/>
          <w:b w:val="false"/>
          <w:i/>
          <w:color w:val="000000"/>
          <w:sz w:val="22"/>
        </w:rPr>
        <w:t xml:space="preserve">PE design certification. </w:t>
      </w:r>
      <w:r>
        <w:rPr>
          <w:rFonts w:ascii="Times New Roman" w:hAnsi="Times New Roman"/>
          <w:b w:val="false"/>
          <w:i w:val="false"/>
          <w:color w:val="000000"/>
          <w:sz w:val="22"/>
        </w:rPr>
        <w:t xml:space="preserve">In lieu of a construction design statement prior to beginning construction of a formed manure storage structure, a confinement feeding operation, other than a SAFO, that is below the threshold requirements for an engineer pursuant to rule </w:t>
      </w:r>
      <w:hyperlink r:id="rId207">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may file with the department a PE design certification and design plans signed by a PE licensed in the state of Iowa or an NRCS-qualified staff person. The PE design certification shall be site-specific and shall be filed on a form provided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with an animal unit capacity of more than 500 but less than 1,000 animal units that is not required to obtain a construction permit pursuant to subrule </w:t>
      </w:r>
      <w:hyperlink r:id="rId20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shall file with the department, at least 30 days before beginning construction of a formed manure storage structure, the PE design certification as required in subrule </w:t>
      </w:r>
      <w:hyperlink r:id="rId209">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Within 30 days after the filing of a PE design certification, the department may issue a construction approval letter if the proposed formed manure storage structure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with an animal unit capacity of 1,000 animal units or more that is required to obtain a construction permit pursuant to subrule </w:t>
      </w:r>
      <w:hyperlink r:id="rId210">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but that is below the threshold requirements for an engineer pursuant to rule </w:t>
      </w:r>
      <w:hyperlink r:id="rId211">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file with the department the PE design certification as part of the construction permit application and as required in subrule </w:t>
      </w:r>
      <w:hyperlink r:id="rId212">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65.104(5)</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barrier design submittal requirements. </w:t>
      </w:r>
      <w:r>
        <w:rPr>
          <w:rFonts w:ascii="Times New Roman" w:hAnsi="Times New Roman"/>
          <w:b w:val="false"/>
          <w:i w:val="false"/>
          <w:color w:val="000000"/>
          <w:sz w:val="22"/>
        </w:rPr>
        <w:t xml:space="preserve">The design for a secondary containment barrier to qualify any confinement feeding operation for the separation distance exemption provision in subrule </w:t>
      </w:r>
      <w:hyperlink r:id="rId213">
        <w:r>
          <w:rPr>
            <w:rStyle w:val="Hyperlink"/>
            <w:rFonts w:ascii="Times New Roman" w:hAnsi="Times New Roman"/>
            <w:b w:val="false"/>
            <w:i w:val="false"/>
            <w:color w:val="000000"/>
            <w:sz w:val="22"/>
          </w:rPr>
          <w:t>65.107(7)</w:t>
        </w:r>
      </w:hyperlink>
      <w:r>
        <w:rPr>
          <w:rFonts w:ascii="Times New Roman" w:hAnsi="Times New Roman"/>
          <w:b w:val="false"/>
          <w:i w:val="false"/>
          <w:color w:val="000000"/>
          <w:sz w:val="22"/>
        </w:rPr>
        <w:t xml:space="preserve"> shall be filed with the department for approval prior to beginning construction of a formed manure storage structure that is part of a SAFO, shall accompany the construction design statement pursuant to subrule </w:t>
      </w:r>
      <w:hyperlink r:id="rId214">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if a construction permit is not required, or shall be filed as part of the construction permit application pursuant to subrule </w:t>
      </w:r>
      <w:hyperlink r:id="rId215">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 xml:space="preserve">. The secondary containment barrier shall meet the design standards of subrule </w:t>
      </w:r>
      <w:hyperlink r:id="rId216">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and shall be prepared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manure storage structure stores liquid or semiliquid manure, the secondary containment barrier design shall include engineering drawings prepared and signed by a PE licensed in the state of Iowa or an NRCS-qualified staff person. For purposes of this subrule only, “semiliquid manure” means manure that contains a percentage of dry matter that results in manure too solid for pumping but too liquid for stacking.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manure storage structure will store only dry manure or dry bedded manure, the owner or a representative of a confinement feeding operation may submit to the department detailed drawings of the design for a secondary containment barrier.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567—65.105</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Construction permit application review process, site inspections and complaint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65.105(1)</w:t>
      </w:r>
      <w:r>
        <w:rPr>
          <w:rFonts w:ascii="Times New Roman" w:hAnsi="Times New Roman"/>
          <w:b w:val="false"/>
          <w:i w:val="false"/>
          <w:color w:val="000000"/>
          <w:sz w:val="22"/>
        </w:rPr>
        <w:t> </w:t>
      </w:r>
      <w:r>
        <w:rPr>
          <w:rFonts w:ascii="Times New Roman" w:hAnsi="Times New Roman"/>
          <w:b w:val="false"/>
          <w:i/>
          <w:color w:val="000000"/>
          <w:sz w:val="22"/>
        </w:rPr>
        <w:t xml:space="preserve">Delivery of application to county. </w:t>
      </w:r>
      <w:r>
        <w:rPr>
          <w:rFonts w:ascii="Times New Roman" w:hAnsi="Times New Roman"/>
          <w:b w:val="false"/>
          <w:i w:val="false"/>
          <w:color w:val="000000"/>
          <w:sz w:val="22"/>
        </w:rPr>
        <w:t>The applicant for a construction permit for a confinement feeding operation or related AFO structure shall deliver in person or by certified mail a copy of the permit application and MMP to the county board of supervisors of the county where the confinement feeding operation or related AFO structure is proposed to be constructed. Receipt of the application and MMP by the county auditor or other county official or employee designated by the county board of supervisors is deemed receipt of the application and MMP by the county board of supervisors. Documentation of the delivery or mailing of the permit application and MMP shall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65.105(2)</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county comment.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The county board of supervisors shall publish a notice that the board has received the construction permit application in a newspaper having general circulation in the county. The county board shall publish the notice as soon as possible but no later than 14 days after receiving instructions from the department that a complete application has been received. The notice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applying to receive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township where the confinement feeding operation structure is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type of confinement feeding operation structure proposed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of the confinement feeding operation if the construction permit were to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when and the place where the application may be examined as provided in Iowa Code section </w:t>
      </w:r>
      <w:hyperlink r:id="rId217">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public comments to the board as provided by the board.</w:t>
      </w:r>
    </w:p>
    <w:p>
      <w:pPr>
        <w:spacing w:before="0" w:after="0"/>
        <w:ind w:left="120"/>
        <w:jc w:val="both"/>
      </w:pPr>
      <w:r>
        <w:rPr>
          <w:rFonts w:ascii="Times New Roman" w:hAnsi="Times New Roman"/>
          <w:b w:val="false"/>
          <w:i w:val="false"/>
          <w:color w:val="000000"/>
          <w:sz w:val="22"/>
        </w:rPr>
        <w:t>The county shall submit to the department, within 30 days of receipt of the construction permit application, proof of publication to verify that the county provided public notice as required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comment. </w:t>
      </w:r>
      <w:r>
        <w:rPr>
          <w:rFonts w:ascii="Times New Roman" w:hAnsi="Times New Roman"/>
          <w:b w:val="false"/>
          <w:i w:val="false"/>
          <w:color w:val="000000"/>
          <w:sz w:val="22"/>
        </w:rPr>
        <w:t xml:space="preserve">Regardless of whether the county board of supervisors has adopted a construction evaluation resolution, the board may submit to the department comments by the board and the public regarding compliance of the construction permit application and MMP with the requirements in this chapter and Iowa Code chapter </w:t>
      </w:r>
      <w:hyperlink r:id="rId218">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for obtaining a construction permit. Comments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existence of an object or location not included in the construction permit application that benefits from a separation distance requirement as provided in Iowa Code section </w:t>
      </w:r>
      <w:hyperlink r:id="rId219">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or 459.310.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suitability of soils and the hydrology of the site where construction or expansion of a confinement feeding operation or related AFO structure is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land for the application of manure originating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construction or expansion of a proposed AFO structure will impede drainage through established tile lines, laterals, or other improvements which are constructed to facilitate the drainage of land not owned by the person applying for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65.105(3)</w:t>
      </w:r>
      <w:r>
        <w:rPr>
          <w:rFonts w:ascii="Times New Roman" w:hAnsi="Times New Roman"/>
          <w:b w:val="false"/>
          <w:i w:val="false"/>
          <w:color w:val="000000"/>
          <w:sz w:val="22"/>
        </w:rPr>
        <w:t> </w:t>
      </w:r>
      <w:r>
        <w:rPr>
          <w:rFonts w:ascii="Times New Roman" w:hAnsi="Times New Roman"/>
          <w:b w:val="false"/>
          <w:i/>
          <w:color w:val="000000"/>
          <w:sz w:val="22"/>
        </w:rPr>
        <w:t xml:space="preserve">Master matrix. </w:t>
      </w:r>
      <w:r>
        <w:rPr>
          <w:rFonts w:ascii="Times New Roman" w:hAnsi="Times New Roman"/>
          <w:b w:val="false"/>
          <w:i w:val="false"/>
          <w:color w:val="000000"/>
          <w:sz w:val="22"/>
        </w:rPr>
        <w:t>A county board of supervisors may adopt a construction evaluation resolution relating to the construction of a confinement feeding operation structure. The board must submit such resolution to the director of the department for filing. Adoption and filing of a construction evaluation resolution authorizes a county board of supervisors to conduct an evaluation of a construction permit application using the master matrix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Enrollment periods.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board of supervisors must file an adopted construction evaluation resolution with the department between January 1 and January 31 of each year to evaluate construction permit applications received by the department between February 1 of that year and January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Filed construction evaluation resolutions shall remain in effect until the applicable enrollment period expires or until such time as the county board of supervisors files with the department a resolution rescinding the construction evaluation resolution,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of an adopted construction evaluation resolution requires a county board of supervisors to conduct an evaluation of a construction permit application using the master matrix. However, if the board fails to submit an adopted recommendation to the department or fails to comply with the evaluation requirements in paragraph </w:t>
      </w:r>
      <w:hyperlink r:id="rId220">
        <w:r>
          <w:rPr>
            <w:rStyle w:val="Hyperlink"/>
            <w:rFonts w:ascii="Times New Roman" w:hAnsi="Times New Roman"/>
            <w:b w:val="false"/>
            <w:i w:val="false"/>
            <w:color w:val="000000"/>
            <w:sz w:val="22"/>
          </w:rPr>
          <w:t>65.105(3)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disregard any adopted recommendation from that board until the board timely submits a new construction evaluation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the master matrix. </w:t>
      </w:r>
      <w:r>
        <w:rPr>
          <w:rFonts w:ascii="Times New Roman" w:hAnsi="Times New Roman"/>
          <w:b w:val="false"/>
          <w:i w:val="false"/>
          <w:color w:val="000000"/>
          <w:sz w:val="22"/>
        </w:rPr>
        <w:t xml:space="preserve">If a county board of supervisors has adopted and filed with the department a construction evaluation resolution, as provided in paragraph </w:t>
      </w:r>
      <w:hyperlink r:id="rId221">
        <w:r>
          <w:rPr>
            <w:rStyle w:val="Hyperlink"/>
            <w:rFonts w:ascii="Times New Roman" w:hAnsi="Times New Roman"/>
            <w:b w:val="false"/>
            <w:i w:val="false"/>
            <w:color w:val="000000"/>
            <w:sz w:val="22"/>
          </w:rPr>
          <w:t>65.105(3)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evaluate all construction permit applications filed during the applicable period using the master matrix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completing the master matrix, the board shall not score criteria on a selective basis. The board must score all criteria that are part of the master matrix according to the terms and conditions relating to construction as specified in the application or commitments for manure management that are to be incorporated into an MMP as provided in Iowa Code section </w:t>
      </w:r>
      <w:hyperlink r:id="rId222">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shall include with the adopted recommendation a copy of the master matrix analysis, calculations, and scoring for the application. The board’s adopted recommendation submitted to the department may be based on the master matrix or on comments received by the board. The adopted recommendation shall include the specific reasons and any supporting documentation for the decision to recommend approval or disapproval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shall not use the master matrix to evaluate a construction permit application for the construction or expansion of a confinement feeding operation structure if the construction or expansion is for expansion of a confinement feeding operation that includes a confinement feeding operation structure constructed prior to April 1, 2002, and, after the expansion of the confinement feeding operation, its animal unit capacity is 1,666 animal units or less. The board may still submit comments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65.105(4)</w:t>
      </w:r>
      <w:r>
        <w:rPr>
          <w:rFonts w:ascii="Times New Roman" w:hAnsi="Times New Roman"/>
          <w:b w:val="false"/>
          <w:i w:val="false"/>
          <w:color w:val="000000"/>
          <w:sz w:val="22"/>
        </w:rPr>
        <w:t> </w:t>
      </w:r>
      <w:r>
        <w:rPr>
          <w:rFonts w:ascii="Times New Roman" w:hAnsi="Times New Roman"/>
          <w:b w:val="false"/>
          <w:i/>
          <w:color w:val="000000"/>
          <w:sz w:val="22"/>
        </w:rPr>
        <w:t xml:space="preserve">Inspection of proposed construction site. </w:t>
      </w:r>
      <w:r>
        <w:rPr>
          <w:rFonts w:ascii="Times New Roman" w:hAnsi="Times New Roman"/>
          <w:b w:val="false"/>
          <w:i w:val="false"/>
          <w:color w:val="000000"/>
          <w:sz w:val="22"/>
        </w:rPr>
        <w:t xml:space="preserve">The department may conduct an inspection of the site on which construction of the confinement feeding operation is proposed after providing a minimum of 24 hours’ notice to the construction permit applicant or sooner with the consent of the applicant. If the county in which the proposed facility is located has adopted and submitted a construction evaluation resolution pursuant to subrule </w:t>
      </w:r>
      <w:hyperlink r:id="rId223">
        <w:r>
          <w:rPr>
            <w:rStyle w:val="Hyperlink"/>
            <w:rFonts w:ascii="Times New Roman" w:hAnsi="Times New Roman"/>
            <w:b w:val="false"/>
            <w:i w:val="false"/>
            <w:color w:val="000000"/>
            <w:sz w:val="22"/>
          </w:rPr>
          <w:t>65.105(3)</w:t>
        </w:r>
      </w:hyperlink>
      <w:r>
        <w:rPr>
          <w:rFonts w:ascii="Times New Roman" w:hAnsi="Times New Roman"/>
          <w:b w:val="false"/>
          <w:i w:val="false"/>
          <w:color w:val="000000"/>
          <w:sz w:val="22"/>
        </w:rPr>
        <w:t xml:space="preserve"> and has not failed subsequently to submit an adopted recommendation, the county may designate a county employee to accompany a department official during the site inspection. In such cases, the department shall notify the county board of supervisors or county designee at least three days prior to conducting an inspection of the site where construction of the confinement feeding operation is proposed. The county designee shall have the same right to access to the site’s real estate on which construction of the confinement feeding operation is proposed as the departmental official conducting the inspection during the period that the county designee accompanies the departmental official. The departmental official and the county designee shall comply with standard biosecurity requirements customarily required by the owner of the confinement feeding operation that are necessary in order to control the spread of disease among an animal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65.105(5)</w:t>
      </w:r>
      <w:r>
        <w:rPr>
          <w:rFonts w:ascii="Times New Roman" w:hAnsi="Times New Roman"/>
          <w:b w:val="false"/>
          <w:i w:val="false"/>
          <w:color w:val="000000"/>
          <w:sz w:val="22"/>
        </w:rPr>
        <w:t> </w:t>
      </w:r>
      <w:r>
        <w:rPr>
          <w:rFonts w:ascii="Times New Roman" w:hAnsi="Times New Roman"/>
          <w:b w:val="false"/>
          <w:i/>
          <w:color w:val="000000"/>
          <w:sz w:val="22"/>
        </w:rPr>
        <w:t xml:space="preserve">Determination by the department. </w:t>
      </w:r>
      <w:r>
        <w:rPr>
          <w:rFonts w:ascii="Times New Roman" w:hAnsi="Times New Roman"/>
          <w:b w:val="false"/>
          <w:i w:val="false"/>
          <w:color w:val="000000"/>
          <w:sz w:val="22"/>
        </w:rPr>
        <w:t>The department must receive the county board of supervisors’ comments or evaluation for approval or disapproval of an application for a construction permit not later than 30 days following the applicant’s delivery of a complete application to the department. Regardless of whether the department receives comments or an evaluation by a county board of supervisors, the department must render a determination or a preliminary determination to approve or disapprove an application for a construction permit within 60 days following the applicant’s delivery of a complete application to the department. However, the applicant may deliver a notice requesting a continuance. Upon receipt of a notice, the time required for the county or department to act upon the application shall be suspended for the period provided in the notice but for not more than 30 days after the department’s receipt of the notice. The applicant may submit more than one notice. However, the department may terminate an application if no action is required by the department for one year following delivery of the application to the board. The department may also provide for a continuance when it considers the application. The department shall provide notice to the applicant and the board of the continuance. The time required for the department to act upon the application shall be suspended for the period provided in the notice but for not more than 30 days. However, the department shall not provide for more than one continuance. If review of the application is delayed because the application is incomplete, and the applicant fails to supply requested information within a reasonable time prior to the deadline for action on the application, the permit may be denied and a new application will be required if the applicant wishes to proceed. The department will approve or disapprove an application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county board of supervisors does not submit a construction evaluation resolution to the department, fails to submit an adopted recommendation, submits only comments, or fails to submit comments, the department shall approve the application if the application meets the requirements of this chapter and Iowa Code chapters </w:t>
      </w:r>
      <w:hyperlink r:id="rId22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2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2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27">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The department will disapprove the application if it does not meet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supervisors for the county in which the confinement feeding operation is proposed to be constructed has filed a county construction evaluation resolution and submits an adopted recommendation to approve the construction permit application, which may be based on a satisfactory rating produced by the master matrix, to the department, the department shall preliminarily approve an application for a construction permit if the department determines that the application meets the requirements of this chapter and Iowa Code chapters </w:t>
      </w:r>
      <w:hyperlink r:id="rId22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31">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preliminarily disapprove an application that does not satisfy the requirements of this chapter and Iowa Code chapters </w:t>
      </w:r>
      <w:hyperlink r:id="rId23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regardless of the adopted recommendation of the board of supervisors. The department shall consider any timely filed comments made by the board as provided in this subrule to determine if an application meets the requirements of this chapter and Iowa Code chapters </w:t>
      </w:r>
      <w:hyperlink r:id="rId23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submits to the department an adopted recommendation to disapprove an application for a construction permit that is based on a rating produced by the master matrix, the department shall first determine if the application meets the requirements of this chapter and Iowa Code chapters </w:t>
      </w:r>
      <w:hyperlink r:id="rId24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42">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43">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preliminarily disapprove an application that does not satisfy the requirements of this chapter and Iowa Code chapters </w:t>
      </w:r>
      <w:hyperlink r:id="rId24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4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4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regardless of any result produced by using the master matrix. If the application meets the requirements of this chapter and Iowa Code chapters </w:t>
      </w:r>
      <w:hyperlink r:id="rId24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49">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50">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51">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conduct an independent evaluation of the application using the master matrix. The department shall preliminarily approve the application if it achieves a satisfactory rating according to the department’s evaluation. The department shall preliminarily disapprove the application if it produces an unsatisfactory rating regardless of whether the application satisfies the requirements of this chapter and Iowa Code chapters </w:t>
      </w:r>
      <w:hyperlink r:id="rId25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5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54">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55">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consider any timely filed comments made by the board as provided in this subrule to determine if an application meets the requirements of this chapter and Iowa Code chapters </w:t>
      </w:r>
      <w:hyperlink r:id="rId25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57">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58">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59">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65.105(6)</w:t>
      </w:r>
      <w:r>
        <w:rPr>
          <w:rFonts w:ascii="Times New Roman" w:hAnsi="Times New Roman"/>
          <w:b w:val="false"/>
          <w:i w:val="false"/>
          <w:color w:val="000000"/>
          <w:sz w:val="22"/>
        </w:rPr>
        <w:t> </w:t>
      </w:r>
      <w:r>
        <w:rPr>
          <w:rFonts w:ascii="Times New Roman" w:hAnsi="Times New Roman"/>
          <w:b w:val="false"/>
          <w:i/>
          <w:color w:val="000000"/>
          <w:sz w:val="22"/>
        </w:rPr>
        <w:t xml:space="preserve">Departmental notification of permit application decision. </w:t>
      </w:r>
      <w:r>
        <w:rPr>
          <w:rFonts w:ascii="Times New Roman" w:hAnsi="Times New Roman"/>
          <w:b w:val="false"/>
          <w:i w:val="false"/>
          <w:color w:val="000000"/>
          <w:sz w:val="22"/>
        </w:rPr>
        <w:t>Within three days following the department’s determination or preliminary determination to approve or disapprove the application for a construction permit, the department shall deliver a notice of the decision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county board of supervisors has submitted to the department an adopted recommendation for the approval or disapproval of a construction permit application, the department shall notify the board of the department’s preliminary decision to approve or disapprove the application at the same time. For a preliminary decision to approve an application, the notice shall consist of a copy of the draft construction permit. For a preliminary decision to disapprove an application, the notice shall consist of a copy of the department’s letter of preliminary denial. The preliminary decision to approve or disapprove an application becomes final without further proceedings if neither the county board of supervisors nor the applicant demands a hearing before the commission or appeals pursuant to subrules </w:t>
      </w:r>
      <w:hyperlink r:id="rId260">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and </w:t>
      </w:r>
      <w:hyperlink r:id="rId261">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county board of supervisors has not submitted to the department an adopted recommendation for the approval or disapproval of a construction permit application, the department notice shall include the construction permit or letter of denial. The applicant may appeal the permit or denial as provided in subrule </w:t>
      </w:r>
      <w:hyperlink r:id="rId262">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65.105(7)</w:t>
      </w:r>
      <w:r>
        <w:rPr>
          <w:rFonts w:ascii="Times New Roman" w:hAnsi="Times New Roman"/>
          <w:b w:val="false"/>
          <w:i w:val="false"/>
          <w:color w:val="000000"/>
          <w:sz w:val="22"/>
        </w:rPr>
        <w:t> </w:t>
      </w:r>
      <w:r>
        <w:rPr>
          <w:rFonts w:ascii="Times New Roman" w:hAnsi="Times New Roman"/>
          <w:b w:val="false"/>
          <w:i/>
          <w:color w:val="000000"/>
          <w:sz w:val="22"/>
        </w:rPr>
        <w:t xml:space="preserve">County board of supervisors’ demand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board of supervisors that has submitted an adopted recommendation to the department may contest the department’s preliminary decision to approve or disapprove an application for permit by filing a written intent to demand a hearing and a demand for a hearing before the commission. The intent to demand a hearing shall be sent to the director of the department and must be postmarked no later than 14 days following the board’s receipt of the department’s notice of preliminary decision. The demand for hearing shall be sent to the director of the department and must be postmarked no later than 30 days following the board’s receipt of the department’s notice of preliminary decision. A county board of supervisors that has submitted an adopted recommendation to the department may waive the right to file a demand for hearing following the receipt of the department’s notice of preliminary decision by filing a written notice of waiver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demand for hearing shall include a statement setting forth all of the county board of supervisors’ reasons why the application for a permit should be approved or disapproved, including legal briefs and all supporting documentation, and a further statement indicating whether an oral presentation before the commission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65.105(8)</w:t>
      </w:r>
      <w:r>
        <w:rPr>
          <w:rFonts w:ascii="Times New Roman" w:hAnsi="Times New Roman"/>
          <w:b w:val="false"/>
          <w:i w:val="false"/>
          <w:color w:val="000000"/>
          <w:sz w:val="22"/>
        </w:rPr>
        <w:t> </w:t>
      </w:r>
      <w:r>
        <w:rPr>
          <w:rFonts w:ascii="Times New Roman" w:hAnsi="Times New Roman"/>
          <w:b w:val="false"/>
          <w:i/>
          <w:color w:val="000000"/>
          <w:sz w:val="22"/>
        </w:rPr>
        <w:t xml:space="preserve">Applicant’s demand for hearing. </w:t>
      </w:r>
      <w:r>
        <w:rPr>
          <w:rFonts w:ascii="Times New Roman" w:hAnsi="Times New Roman"/>
          <w:b w:val="false"/>
          <w:i w:val="false"/>
          <w:color w:val="000000"/>
          <w:sz w:val="22"/>
        </w:rPr>
        <w:t xml:space="preserve">The applicant may contest the department’s preliminary decision to approve or disapprove an application for permit by filing a written intent to demand a hearing and a demand for a hearing. The applicant may elect, as part of the written demand for hearing, to have the hearing conducted before the commission pursuant to paragraph </w:t>
      </w:r>
      <w:hyperlink r:id="rId263">
        <w:r>
          <w:rPr>
            <w:rStyle w:val="Hyperlink"/>
            <w:rFonts w:ascii="Times New Roman" w:hAnsi="Times New Roman"/>
            <w:b w:val="false"/>
            <w:i w:val="false"/>
            <w:color w:val="000000"/>
            <w:sz w:val="22"/>
          </w:rPr>
          <w:t>65.105(8)</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before an administrative law judge pursuant to paragraph </w:t>
      </w:r>
      <w:hyperlink r:id="rId264">
        <w:r>
          <w:rPr>
            <w:rStyle w:val="Hyperlink"/>
            <w:rFonts w:ascii="Times New Roman" w:hAnsi="Times New Roman"/>
            <w:b w:val="false"/>
            <w:i w:val="false"/>
            <w:color w:val="000000"/>
            <w:sz w:val="22"/>
          </w:rPr>
          <w:t>65.105(8)</w:t>
        </w:r>
      </w:hyperlink>
      <w:r>
        <w:rPr>
          <w:rFonts w:ascii="Times New Roman" w:hAnsi="Times New Roman"/>
          <w:b w:val="false"/>
          <w:i/>
          <w:color w:val="000000"/>
          <w:sz w:val="22"/>
        </w:rPr>
        <w:t>“b.”</w:t>
      </w:r>
      <w:r>
        <w:rPr>
          <w:rFonts w:ascii="Times New Roman" w:hAnsi="Times New Roman"/>
          <w:b w:val="false"/>
          <w:i w:val="false"/>
          <w:color w:val="000000"/>
          <w:sz w:val="22"/>
        </w:rPr>
        <w:t xml:space="preserve"> If no such election is made, the demand for hearing shall be considered to be a request for hearing before the commission. If both the applicant and the county board of supervisors are contesting the department’s preliminary decision, the applicant may request that the commission conduct the hearing on a consolidated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Applicant demand for hearing before the commission. </w:t>
      </w:r>
      <w:r>
        <w:rPr>
          <w:rFonts w:ascii="Times New Roman" w:hAnsi="Times New Roman"/>
          <w:b w:val="false"/>
          <w:i w:val="false"/>
          <w:color w:val="000000"/>
          <w:sz w:val="22"/>
        </w:rPr>
        <w:t>The intent to demand a hearing shall be sent to the director of the department and must be postmarked no later than 14 days following the board’s receipt of the department’s notice of preliminary decision. The demand for hearing shall be sent to the director of the department and must be postmarked no later than 30 days following the applicant’s receipt of the department’s notice of preliminary decision. If the county board of supervisors has filed a demand for hearing, the times for facsimile notification and filing a demand for hearing are extended an additional three business days. It is the responsibility of the applicant to communicate with the department to determine if a county demand for hearing has been filed. The demand for hearing shall include a statement setting forth all of the applicant’s reasons why the application for permit should be approved or disapproved, including legal briefs and all supporting documentation, and a further statement indicating whether an oral presentation before the commission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contested case appeal before an administrative law judge. </w:t>
      </w:r>
      <w:r>
        <w:rPr>
          <w:rFonts w:ascii="Times New Roman" w:hAnsi="Times New Roman"/>
          <w:b w:val="false"/>
          <w:i w:val="false"/>
          <w:color w:val="000000"/>
          <w:sz w:val="22"/>
        </w:rPr>
        <w:t xml:space="preserve">The applicant may contest the department’s preliminary decision to approve or disapprove an application according to the contested case procedures set forth in </w:t>
      </w:r>
      <w:hyperlink r:id="rId265">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however, if the county board of supervisors has demanded a hearing pursuant to subrule </w:t>
      </w:r>
      <w:hyperlink r:id="rId266">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the applicant shall provide facsimile notification to the department within the time frame set forth in paragraph </w:t>
      </w:r>
      <w:hyperlink r:id="rId267">
        <w:r>
          <w:rPr>
            <w:rStyle w:val="Hyperlink"/>
            <w:rFonts w:ascii="Times New Roman" w:hAnsi="Times New Roman"/>
            <w:b w:val="false"/>
            <w:i w:val="false"/>
            <w:color w:val="000000"/>
            <w:sz w:val="22"/>
          </w:rPr>
          <w:t>65.105(7)</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the applicant intends to contest the department’s preliminary decision according to contested case procedures. In that event, the applicant may request that the hearings be consolidated and conducted as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65.105(9)</w:t>
      </w:r>
      <w:r>
        <w:rPr>
          <w:rFonts w:ascii="Times New Roman" w:hAnsi="Times New Roman"/>
          <w:b w:val="false"/>
          <w:i w:val="false"/>
          <w:color w:val="000000"/>
          <w:sz w:val="22"/>
        </w:rPr>
        <w:t> </w:t>
      </w:r>
      <w:r>
        <w:rPr>
          <w:rFonts w:ascii="Times New Roman" w:hAnsi="Times New Roman"/>
          <w:b w:val="false"/>
          <w:i/>
          <w:color w:val="000000"/>
          <w:sz w:val="22"/>
        </w:rPr>
        <w:t xml:space="preserve">Hearing and decision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Hearing before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hearings before the commission requested pursuant to subrules </w:t>
      </w:r>
      <w:hyperlink r:id="rId268">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and </w:t>
      </w:r>
      <w:hyperlink r:id="rId269">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 xml:space="preserve"> shall be handled as other agency action and not as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timely demand for a hearing before the commission pursuant to subrules </w:t>
      </w:r>
      <w:hyperlink r:id="rId270">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or </w:t>
      </w:r>
      <w:hyperlink r:id="rId271">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 xml:space="preserve">, the director shall set a hearing during a regular meeting of the commission scheduled no more than 35 days from the date the director receives the first such request. However, if the next regular meeting of the commission will take place more than 35 days after receipt of the demand for hearing, the director shall schedule a special in-person meeting or an electronic meeting of the commission pursuant to Iowa Code section </w:t>
      </w:r>
      <w:hyperlink r:id="rId27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later than five days from the date the director receives a demand for hearing, the director shall post on the department’s website the demand for hearing and associated documents, letters notifying the parties of the hearing date, and the department’s complete file on the application under review. The director shall provide hard copies of these documents to members of the commission as requested by each member. The director shall contact the applicant and the county board of supervisors and provide copies of documents they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later than 15 days from the date set for hearing, the applicant, the county board of supervisors and the department shall, if any chooses to do so, send one copy of a reply brief to respond to issues raised in the demand for hearing and any supporting documentation to the department. The director shall post the briefs and associated written documents on the department’s website and provide hard copies to members of the commission as requested by each member. No further briefs or documents shall be permitted except upon request and permission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later than 15 days from the date set for hearing, any person may submit written material for the commission to review. Whether such material is accepted into the record will be the decision of the chairperson of the commission depending on whether the chairperson deems it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commission shall use the following hearing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written material accepted by the chairperson of the commission for inclusion in the record at the hearing shall be marked as coming from the person or entity presenting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submitted written material shall be noted for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Oral participation before the commission shall be limited to time periods specified by the chairperson of the commission and, unless otherwise determined by the commission, to presentations by representatives for the applicant, the county board of supervisors and the department and by technical consultants or experts designated by the commission. Representatives of the department shall not advocate for either the county board of supervisors or the applicant but may summarize the basis for the department’s preliminary decision and respond to questions by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Members of the commission, and the commission’s legal counsel, may ask questions of the representatives for the applicant, the county board of supervisors and the department and of technical consultants or experts designated by the commission. The members and counsel may also ask questions of any other person or entity appearing or in attendance at the hearing. Representatives for the applicant and the county board of supervisors may ask questions of technical consultants or experts designated by the commission. No other persons or entities may ask questions of anyone making a presentation or comment at the hearing except upon request and permission by the chairperson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shall use the following hearing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Announcement by the chairperson of the commission of the permit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into the hearing record of the demand or demands for hearing, a copy of the department’s complete file on the application under review and the briefs and written documents previously provided by the applicant and county board of supervisors pursuant to subparagraph </w:t>
      </w:r>
      <w:hyperlink r:id="rId273">
        <w:r>
          <w:rPr>
            <w:rStyle w:val="Hyperlink"/>
            <w:rFonts w:ascii="Times New Roman" w:hAnsi="Times New Roman"/>
            <w:b w:val="false"/>
            <w:i w:val="false"/>
            <w:color w:val="000000"/>
            <w:sz w:val="22"/>
          </w:rPr>
          <w:t>65.105(9)</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the applicant if that party timely requested the hearing. If the applicant did not timely request the hearing, then the county board of supervisors shall make the first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the applicant or county board of supervisors, whichever party did not have the opportunity to make the first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technical consultants or experts designated by the commission to assist in its establishment of a record at the hearing. No later than seven days prior to the hearing, the commission shall notify the applicant and the board of the names, addresses and professional capacity of any such technical experts or consultants.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Discussion by the commission, motion and final decision on whether the application for permit is approved or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Only the issues submitted by the parties in the demand for hearing and responses shall be considered by the commission as a basis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by the commission. </w:t>
      </w:r>
      <w:r>
        <w:rPr>
          <w:rFonts w:ascii="Times New Roman" w:hAnsi="Times New Roman"/>
          <w:b w:val="false"/>
          <w:i w:val="false"/>
          <w:color w:val="000000"/>
          <w:sz w:val="22"/>
        </w:rPr>
        <w:t xml:space="preserve">The decision by the commission shall be stated on the record and shall be final agency action pursuant to Iowa Code chapter </w:t>
      </w:r>
      <w:hyperlink r:id="rId2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commission reverses or modifies the department’s decision, the department shall issue the appropriate permit or letter of denial to the applicant. The letter of decision shall contain the reasons for the action regarding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567—65.106</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Confinement feeding operation and stockpile separation distance requirements. </w:t>
      </w:r>
      <w:r>
        <w:rPr>
          <w:rFonts w:ascii="Times New Roman" w:hAnsi="Times New Roman"/>
          <w:b w:val="false"/>
          <w:i w:val="false"/>
          <w:color w:val="000000"/>
          <w:sz w:val="22"/>
        </w:rPr>
        <w:t xml:space="preserve">All confinement feeding operation structures, stockpiles and qualified stockpile structures shall be separated from locations and objects as specified in this rule regardless of whether a construction permit is required. The separation distance requirements of this rule shall apply to all confinement feeding operation structures, unless specifically stated otherwise. If two or more confinement feeding operations are considered one operation as provided in rule </w:t>
      </w:r>
      <w:hyperlink r:id="rId275">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definitions of “adjacent—air quality” and “adjacent—water quality,” the combined animal unit capacities of the individual operations shall be used for the purpose of determining the required separation. Exemptions to the following requirements are allowed to the extent provided in rule </w:t>
      </w:r>
      <w:hyperlink r:id="rId276">
        <w:r>
          <w:rPr>
            <w:rStyle w:val="Hyperlink"/>
            <w:rFonts w:ascii="Times New Roman" w:hAnsi="Times New Roman"/>
            <w:b w:val="false"/>
            <w:i w:val="false"/>
            <w:color w:val="000000"/>
            <w:sz w:val="22"/>
          </w:rPr>
          <w:t>567—65.107</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65.106(1)</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residences, businesses, churches, schools and public use areas for new confinement feeding operations. </w:t>
      </w:r>
      <w:r>
        <w:rPr>
          <w:rFonts w:ascii="Times New Roman" w:hAnsi="Times New Roman"/>
          <w:b w:val="false"/>
          <w:i w:val="false"/>
          <w:color w:val="000000"/>
          <w:sz w:val="22"/>
        </w:rPr>
        <w:t xml:space="preserve">Separation from residences, businesses, churches, schools and public use areas shall be as specified in Iowa Code section </w:t>
      </w:r>
      <w:hyperlink r:id="rId27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summarized in Table 6 located at </w:t>
      </w:r>
      <w:hyperlink r:id="rId278">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The residence, business, church, school or public use area must exist at the time an applicant submits an application for a construction permit to the department, at the time an MMP or construction design statement is filed with the department if a construction permit is not required, or at the time construction of the confinement feeding operation structure begins if a construction permit or construction approval letter is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65.106(2)</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residences, businesses, churches, schools and public use areas for the expansion of prior constructed operations. </w:t>
      </w:r>
      <w:r>
        <w:rPr>
          <w:rFonts w:ascii="Times New Roman" w:hAnsi="Times New Roman"/>
          <w:b w:val="false"/>
          <w:i w:val="false"/>
          <w:color w:val="000000"/>
          <w:sz w:val="22"/>
        </w:rPr>
        <w:t xml:space="preserve">Except as provided in rule </w:t>
      </w:r>
      <w:hyperlink r:id="rId279">
        <w:r>
          <w:rPr>
            <w:rStyle w:val="Hyperlink"/>
            <w:rFonts w:ascii="Times New Roman" w:hAnsi="Times New Roman"/>
            <w:b w:val="false"/>
            <w:i w:val="false"/>
            <w:color w:val="000000"/>
            <w:sz w:val="22"/>
          </w:rPr>
          <w:t>567—65.107</w:t>
        </w:r>
      </w:hyperlink>
      <w:r>
        <w:rPr>
          <w:rFonts w:ascii="Times New Roman" w:hAnsi="Times New Roman"/>
          <w:b w:val="false"/>
          <w:i w:val="false"/>
          <w:color w:val="000000"/>
          <w:sz w:val="22"/>
        </w:rPr>
        <w:t xml:space="preserve">(455B,459,459B) or as specified in Iowa Code section </w:t>
      </w:r>
      <w:hyperlink r:id="rId280">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an existing confinement feeding operation may be expanded if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confinement feeding operation constructed prior to January 1, 1999, any construction or expansion of a confinement feeding operation structure complies with the distance requirements applying to that structure as provided in Iowa Code sections </w:t>
      </w:r>
      <w:hyperlink r:id="rId281">
        <w:r>
          <w:rPr>
            <w:rStyle w:val="Hyperlink"/>
            <w:rFonts w:ascii="Times New Roman" w:hAnsi="Times New Roman"/>
            <w:b w:val="false"/>
            <w:i w:val="false"/>
            <w:color w:val="000000"/>
            <w:sz w:val="22"/>
          </w:rPr>
          <w:t>459.202(1)</w:t>
        </w:r>
      </w:hyperlink>
      <w:r>
        <w:rPr>
          <w:rFonts w:ascii="Times New Roman" w:hAnsi="Times New Roman"/>
          <w:b w:val="false"/>
          <w:i w:val="false"/>
          <w:color w:val="000000"/>
          <w:sz w:val="22"/>
        </w:rPr>
        <w:t xml:space="preserve"> and </w:t>
      </w:r>
      <w:hyperlink r:id="rId282">
        <w:r>
          <w:rPr>
            <w:rStyle w:val="Hyperlink"/>
            <w:rFonts w:ascii="Times New Roman" w:hAnsi="Times New Roman"/>
            <w:b w:val="false"/>
            <w:i w:val="false"/>
            <w:color w:val="000000"/>
            <w:sz w:val="22"/>
          </w:rPr>
          <w:t>459.202(3)</w:t>
        </w:r>
      </w:hyperlink>
      <w:r>
        <w:rPr>
          <w:rFonts w:ascii="Times New Roman" w:hAnsi="Times New Roman"/>
          <w:b w:val="false"/>
          <w:i w:val="false"/>
          <w:color w:val="000000"/>
          <w:sz w:val="22"/>
        </w:rPr>
        <w:t xml:space="preserve"> and summarized in Tables 6c (for swine, sheep, horses and poultry) and 6d (for beef and dairy cattle) located at </w:t>
      </w:r>
      <w:hyperlink r:id="rId283">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confinement feeding operation constructed on or after January 1, 1999, but prior to March 1, 2003, any construction or expansion of a confinement feeding operation structure complies with the distance requirements applying to that structure as provided in Iowa Code sections </w:t>
      </w:r>
      <w:hyperlink r:id="rId284">
        <w:r>
          <w:rPr>
            <w:rStyle w:val="Hyperlink"/>
            <w:rFonts w:ascii="Times New Roman" w:hAnsi="Times New Roman"/>
            <w:b w:val="false"/>
            <w:i w:val="false"/>
            <w:color w:val="000000"/>
            <w:sz w:val="22"/>
          </w:rPr>
          <w:t>459.202(2)</w:t>
        </w:r>
      </w:hyperlink>
      <w:r>
        <w:rPr>
          <w:rFonts w:ascii="Times New Roman" w:hAnsi="Times New Roman"/>
          <w:b w:val="false"/>
          <w:i w:val="false"/>
          <w:color w:val="000000"/>
          <w:sz w:val="22"/>
        </w:rPr>
        <w:t xml:space="preserve"> and </w:t>
      </w:r>
      <w:hyperlink r:id="rId285">
        <w:r>
          <w:rPr>
            <w:rStyle w:val="Hyperlink"/>
            <w:rFonts w:ascii="Times New Roman" w:hAnsi="Times New Roman"/>
            <w:b w:val="false"/>
            <w:i w:val="false"/>
            <w:color w:val="000000"/>
            <w:sz w:val="22"/>
          </w:rPr>
          <w:t>459.202(3)</w:t>
        </w:r>
      </w:hyperlink>
      <w:r>
        <w:rPr>
          <w:rFonts w:ascii="Times New Roman" w:hAnsi="Times New Roman"/>
          <w:b w:val="false"/>
          <w:i w:val="false"/>
          <w:color w:val="000000"/>
          <w:sz w:val="22"/>
        </w:rPr>
        <w:t xml:space="preserve"> and summarized in Tables 6a (for swine, sheep, horses and poultry) and 6b (for beef and dairy cattle) located at </w:t>
      </w:r>
      <w:hyperlink r:id="rId28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confinement feeding operation constructed on or after March 1, 2003, any construction or expansion of a confinement feeding operation structure complies with the distance requirements applying to that structure as provided in Iowa Code sections </w:t>
      </w:r>
      <w:hyperlink r:id="rId287">
        <w:r>
          <w:rPr>
            <w:rStyle w:val="Hyperlink"/>
            <w:rFonts w:ascii="Times New Roman" w:hAnsi="Times New Roman"/>
            <w:b w:val="false"/>
            <w:i w:val="false"/>
            <w:color w:val="000000"/>
            <w:sz w:val="22"/>
          </w:rPr>
          <w:t>459.202(4)</w:t>
        </w:r>
      </w:hyperlink>
      <w:r>
        <w:rPr>
          <w:rFonts w:ascii="Times New Roman" w:hAnsi="Times New Roman"/>
          <w:b w:val="false"/>
          <w:i w:val="false"/>
          <w:color w:val="000000"/>
          <w:sz w:val="22"/>
        </w:rPr>
        <w:t xml:space="preserve"> and </w:t>
      </w:r>
      <w:hyperlink r:id="rId288">
        <w:r>
          <w:rPr>
            <w:rStyle w:val="Hyperlink"/>
            <w:rFonts w:ascii="Times New Roman" w:hAnsi="Times New Roman"/>
            <w:b w:val="false"/>
            <w:i w:val="false"/>
            <w:color w:val="000000"/>
            <w:sz w:val="22"/>
          </w:rPr>
          <w:t>459.202(5)</w:t>
        </w:r>
      </w:hyperlink>
      <w:r>
        <w:rPr>
          <w:rFonts w:ascii="Times New Roman" w:hAnsi="Times New Roman"/>
          <w:b w:val="false"/>
          <w:i w:val="false"/>
          <w:color w:val="000000"/>
          <w:sz w:val="22"/>
        </w:rPr>
        <w:t xml:space="preserve"> and summarized in Table 6 located at </w:t>
      </w:r>
      <w:hyperlink r:id="rId289">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65.106(3)</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water sources, major water sources, known sinkholes and agricultural drainage wells. </w:t>
      </w:r>
      <w:r>
        <w:rPr>
          <w:rFonts w:ascii="Times New Roman" w:hAnsi="Times New Roman"/>
          <w:b w:val="false"/>
          <w:i w:val="false"/>
          <w:color w:val="000000"/>
          <w:sz w:val="22"/>
        </w:rPr>
        <w:t xml:space="preserve">Separation distances specified in this subrule shall apply to any confinement feeding operation structure, including a SAFO. Separation distances from any confinement feeding operation structure to surface intakes, wellheads or cisterns of agricultural drainage wells, known sinkholes, water sources and major water sources shall be as specified in Iowa Code section </w:t>
      </w:r>
      <w:hyperlink r:id="rId290">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summarized in Tables 6 to 6d located at </w:t>
      </w:r>
      <w:hyperlink r:id="rId291">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For the required separation distance to a major water source to apply, the major water source must be included in Table 1 located at </w:t>
      </w:r>
      <w:hyperlink r:id="rId29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at the time an applicant submits an application for a construction permit to the department, at the time an MMP or construction design statement is filed with the department if a construction permit is not required, or at the time construction of the AFO structure if a construction permit, MMP or construction design statement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65.106(4)</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designated wetlands. </w:t>
      </w:r>
      <w:r>
        <w:rPr>
          <w:rFonts w:ascii="Times New Roman" w:hAnsi="Times New Roman"/>
          <w:b w:val="false"/>
          <w:i w:val="false"/>
          <w:color w:val="000000"/>
          <w:sz w:val="22"/>
        </w:rPr>
        <w:t xml:space="preserve">Separation distances specified in this subrule shall apply to any confinement feeding operation structure, including a SAFO. A confinement feeding operation structure shall not be constructed closer than 2,500 feet away from a “designated wetland” as defined and referenced in rule </w:t>
      </w:r>
      <w:hyperlink r:id="rId293">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This requirement shall not apply to a confinement feeding operation structure if any of the following occur before the wetland is included in “Designated Wetlands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confinement feeding operation structure already exists. This exemption also applies to additional confinement feeding operation structures constructed at the site of such an existing confinement feeding operation structure after a wetland is included in “Designated Wetlands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of a confinement feeding operation structure has begun as provided in subrule </w:t>
      </w:r>
      <w:hyperlink r:id="rId294">
        <w:r>
          <w:rPr>
            <w:rStyle w:val="Hyperlink"/>
            <w:rFonts w:ascii="Times New Roman" w:hAnsi="Times New Roman"/>
            <w:b w:val="false"/>
            <w:i w:val="false"/>
            <w:color w:val="000000"/>
            <w:sz w:val="22"/>
          </w:rPr>
          <w:t>65.6(1)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permit to construct a confinement feeding operation structure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MMP concerning a proposed confinement feeding operation structure for which a construction permit is not required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65.106(5)</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water wells. </w:t>
      </w:r>
      <w:r>
        <w:rPr>
          <w:rFonts w:ascii="Times New Roman" w:hAnsi="Times New Roman"/>
          <w:b w:val="false"/>
          <w:i w:val="false"/>
          <w:color w:val="000000"/>
          <w:sz w:val="22"/>
        </w:rPr>
        <w:t xml:space="preserve">For a confinement feeding operation structure constructed after March 20, 1996, the separation distance to water wells shall be as specified in Tables 6 to 6d located at </w:t>
      </w:r>
      <w:hyperlink r:id="rId295">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65.106(6)</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public thoroughfares. </w:t>
      </w:r>
      <w:r>
        <w:rPr>
          <w:rFonts w:ascii="Times New Roman" w:hAnsi="Times New Roman"/>
          <w:b w:val="false"/>
          <w:i w:val="false"/>
          <w:color w:val="000000"/>
          <w:sz w:val="22"/>
        </w:rPr>
        <w:t>A confinement feeding operation structure shall not be constructed or expanded within 100 feet from the right-of-way or a public easement of a public thoroughfare.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65.106(7)</w:t>
      </w:r>
      <w:r>
        <w:rPr>
          <w:rFonts w:ascii="Times New Roman" w:hAnsi="Times New Roman"/>
          <w:b w:val="false"/>
          <w:i w:val="false"/>
          <w:color w:val="000000"/>
          <w:sz w:val="22"/>
        </w:rPr>
        <w:t> </w:t>
      </w:r>
      <w:r>
        <w:rPr>
          <w:rFonts w:ascii="Times New Roman" w:hAnsi="Times New Roman"/>
          <w:b w:val="false"/>
          <w:i/>
          <w:color w:val="000000"/>
          <w:sz w:val="22"/>
        </w:rPr>
        <w:t xml:space="preserve">Stockpile and qualified stockpile structures—separation distance from residences. </w:t>
      </w:r>
      <w:r>
        <w:rPr>
          <w:rFonts w:ascii="Times New Roman" w:hAnsi="Times New Roman"/>
          <w:b w:val="false"/>
          <w:i w:val="false"/>
          <w:color w:val="000000"/>
          <w:sz w:val="22"/>
        </w:rPr>
        <w:t>A stockpile or qualified stockpile structure shall not be placed closer than 1,250 feet from a residence not owned by the titleholder of the land where the stockpile is located, a commercial enterprise, a bona fide religious institution, an educational institution, or a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65.106(8)</w:t>
      </w:r>
      <w:r>
        <w:rPr>
          <w:rFonts w:ascii="Times New Roman" w:hAnsi="Times New Roman"/>
          <w:b w:val="false"/>
          <w:i w:val="false"/>
          <w:color w:val="000000"/>
          <w:sz w:val="22"/>
        </w:rPr>
        <w:t> </w:t>
      </w:r>
      <w:r>
        <w:rPr>
          <w:rFonts w:ascii="Times New Roman" w:hAnsi="Times New Roman"/>
          <w:b w:val="false"/>
          <w:i/>
          <w:color w:val="000000"/>
          <w:sz w:val="22"/>
        </w:rPr>
        <w:t xml:space="preserve">Stockpile and qualified stockpile structures—separation distance from tile inlets, designated areas, high-quality water resources, agricultural drainage wells and known sinkholes. </w:t>
      </w:r>
      <w:r>
        <w:rPr>
          <w:rFonts w:ascii="Times New Roman" w:hAnsi="Times New Roman"/>
          <w:b w:val="false"/>
          <w:i w:val="false"/>
          <w:color w:val="000000"/>
          <w:sz w:val="22"/>
        </w:rPr>
        <w:t>A stockpile or qualified stockpile structure shall not be placed within the following distances from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terrace tile inlet or surface tile inlet, 200 feet, unless the dry manure is stockpiled in a manner that does not allow precipitation-induced runoff to drain from the stockpile to the terrace tile inlet or surface tile inlet. A terrace tile inlet or surface tile inlet does not include a tile inlet that is not directly connected to a tile line that discharges directly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Designated area, 400 feet. However, an increased separation distance of 800 feet shall apply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high-quality water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agricultural drainage well (400 feet for dry bedded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known sinkhole (400 feet for dry bedded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96">
        <w:r>
          <w:rPr>
            <w:rStyle w:val="Hyperlink"/>
            <w:rFonts w:ascii="Times New Roman" w:hAnsi="Times New Roman"/>
            <w:b w:val="false"/>
            <w:i w:val="false"/>
            <w:color w:val="000000"/>
            <w:sz w:val="22"/>
          </w:rPr>
          <w:t>65.106(8)</w:t>
        </w:r>
      </w:hyperlink>
      <w:r>
        <w:rPr>
          <w:rFonts w:ascii="Times New Roman" w:hAnsi="Times New Roman"/>
          <w:b w:val="false"/>
          <w:i/>
          <w:color w:val="000000"/>
          <w:sz w:val="22"/>
        </w:rPr>
        <w:t>“b”</w:t>
      </w:r>
      <w:r>
        <w:rPr>
          <w:rFonts w:ascii="Times New Roman" w:hAnsi="Times New Roman"/>
          <w:b w:val="false"/>
          <w:i w:val="false"/>
          <w:color w:val="000000"/>
          <w:sz w:val="22"/>
        </w:rPr>
        <w:t xml:space="preserve"> does not apply if dry manure is stockpiled in a manner that does not allow precipitation-induced runoff to drain from the stockpile to the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65.106(9)</w:t>
      </w:r>
      <w:r>
        <w:rPr>
          <w:rFonts w:ascii="Times New Roman" w:hAnsi="Times New Roman"/>
          <w:b w:val="false"/>
          <w:i w:val="false"/>
          <w:color w:val="000000"/>
          <w:sz w:val="22"/>
        </w:rPr>
        <w:t> </w:t>
      </w:r>
      <w:r>
        <w:rPr>
          <w:rFonts w:ascii="Times New Roman" w:hAnsi="Times New Roman"/>
          <w:b w:val="false"/>
          <w:i/>
          <w:color w:val="000000"/>
          <w:sz w:val="22"/>
        </w:rPr>
        <w:t xml:space="preserve">Measurement of separation distances. </w:t>
      </w:r>
      <w:r>
        <w:rPr>
          <w:rFonts w:ascii="Times New Roman" w:hAnsi="Times New Roman"/>
          <w:b w:val="false"/>
          <w:i w:val="false"/>
          <w:color w:val="000000"/>
          <w:sz w:val="22"/>
        </w:rPr>
        <w:t xml:space="preserve">Except as provided in paragraph </w:t>
      </w:r>
      <w:hyperlink r:id="rId297">
        <w:r>
          <w:rPr>
            <w:rStyle w:val="Hyperlink"/>
            <w:rFonts w:ascii="Times New Roman" w:hAnsi="Times New Roman"/>
            <w:b w:val="false"/>
            <w:i w:val="false"/>
            <w:color w:val="000000"/>
            <w:sz w:val="22"/>
          </w:rPr>
          <w:t>65.106(9)</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distance between confinement feeding operation structures and locations or objects from which separation is required shall be measured horizontally by standard survey methods between the closest point of the location or object (not a property line) and the closest point of the confinement feeding operation structure. The department may require that a separation distance be measured and certified by a licensed land surveyor, a PE licensed in the state of Iowa, or an NRCS-qualified staff person in cases where the department cannot confirm a separation distance. For purposes of this subrule, structure shall not include areas that do not house animals or store manure or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Measurement to an unformed manure storage structure shall be to the point of maximum allowable level of manure pursuant to paragraph </w:t>
      </w:r>
      <w:hyperlink r:id="rId298">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 to a public use area shall be to the facilities that attract the public to congregate and remain in the area for significant periods of time, not to the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Measurement to a major water source or water source shall be to the top of the bank of the stream channel of a river or stream or the ordinary high-water mark of a lake, reservoir or designated wetland.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Measurement to a public thoroughfare shall be to the closest point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separation distance for a confinement feeding operation structure qualifying for the exemption to separation distances under paragraphs </w:t>
      </w:r>
      <w:hyperlink r:id="rId299">
        <w:r>
          <w:rPr>
            <w:rStyle w:val="Hyperlink"/>
            <w:rFonts w:ascii="Times New Roman" w:hAnsi="Times New Roman"/>
            <w:b w:val="false"/>
            <w:i w:val="false"/>
            <w:color w:val="000000"/>
            <w:sz w:val="22"/>
          </w:rPr>
          <w:t>65.107(4)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be measured from the closest point of the confinement feeding operation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Measurement to a cemetery shall be to the closest point of its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Measurement to a stockpile shall be to the closest point of the stockpile.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567—65.107</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Exemptions to confinement feeding operation and stockpile separation distance requirements and prohibition of construction on the one hundred year floodplain.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65.107(1)</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from a residence, business, church, school and public use area. </w:t>
      </w:r>
      <w:r>
        <w:rPr>
          <w:rFonts w:ascii="Times New Roman" w:hAnsi="Times New Roman"/>
          <w:b w:val="false"/>
          <w:i w:val="false"/>
          <w:color w:val="000000"/>
          <w:sz w:val="22"/>
        </w:rPr>
        <w:t xml:space="preserve">As specified in Iowa Code section </w:t>
      </w:r>
      <w:hyperlink r:id="rId300">
        <w:r>
          <w:rPr>
            <w:rStyle w:val="Hyperlink"/>
            <w:rFonts w:ascii="Times New Roman" w:hAnsi="Times New Roman"/>
            <w:b w:val="false"/>
            <w:i w:val="false"/>
            <w:color w:val="000000"/>
            <w:sz w:val="22"/>
          </w:rPr>
          <w:t>459.205</w:t>
        </w:r>
      </w:hyperlink>
      <w:r>
        <w:rPr>
          <w:rFonts w:ascii="Times New Roman" w:hAnsi="Times New Roman"/>
          <w:b w:val="false"/>
          <w:i w:val="false"/>
          <w:color w:val="000000"/>
          <w:sz w:val="22"/>
        </w:rPr>
        <w:t xml:space="preserve">, the separation distances required from residences, businesses, churches, schools and public use areas specified in Iowa Code sections </w:t>
      </w:r>
      <w:hyperlink r:id="rId301">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459.204B</w:t>
        </w:r>
      </w:hyperlink>
      <w:r>
        <w:rPr>
          <w:rFonts w:ascii="Times New Roman" w:hAnsi="Times New Roman"/>
          <w:b w:val="false"/>
          <w:i w:val="false"/>
          <w:color w:val="000000"/>
          <w:sz w:val="22"/>
        </w:rPr>
        <w:t xml:space="preserve"> and required in subrules </w:t>
      </w:r>
      <w:hyperlink r:id="rId303">
        <w:r>
          <w:rPr>
            <w:rStyle w:val="Hyperlink"/>
            <w:rFonts w:ascii="Times New Roman" w:hAnsi="Times New Roman"/>
            <w:b w:val="false"/>
            <w:i w:val="false"/>
            <w:color w:val="000000"/>
            <w:sz w:val="22"/>
          </w:rPr>
          <w:t>65.106(1)</w:t>
        </w:r>
      </w:hyperlink>
      <w:r>
        <w:rPr>
          <w:rFonts w:ascii="Times New Roman" w:hAnsi="Times New Roman"/>
          <w:b w:val="false"/>
          <w:i w:val="false"/>
          <w:color w:val="000000"/>
          <w:sz w:val="22"/>
        </w:rPr>
        <w:t xml:space="preserve">, </w:t>
      </w:r>
      <w:hyperlink r:id="rId304">
        <w:r>
          <w:rPr>
            <w:rStyle w:val="Hyperlink"/>
            <w:rFonts w:ascii="Times New Roman" w:hAnsi="Times New Roman"/>
            <w:b w:val="false"/>
            <w:i w:val="false"/>
            <w:color w:val="000000"/>
            <w:sz w:val="22"/>
          </w:rPr>
          <w:t>65.106(2)</w:t>
        </w:r>
      </w:hyperlink>
      <w:r>
        <w:rPr>
          <w:rFonts w:ascii="Times New Roman" w:hAnsi="Times New Roman"/>
          <w:b w:val="false"/>
          <w:i w:val="false"/>
          <w:color w:val="000000"/>
          <w:sz w:val="22"/>
        </w:rPr>
        <w:t xml:space="preserve">, and </w:t>
      </w:r>
      <w:hyperlink r:id="rId305">
        <w:r>
          <w:rPr>
            <w:rStyle w:val="Hyperlink"/>
            <w:rFonts w:ascii="Times New Roman" w:hAnsi="Times New Roman"/>
            <w:b w:val="false"/>
            <w:i w:val="false"/>
            <w:color w:val="000000"/>
            <w:sz w:val="22"/>
          </w:rPr>
          <w:t>65.106(7)</w:t>
        </w:r>
      </w:hyperlink>
      <w:r>
        <w:rPr>
          <w:rFonts w:ascii="Times New Roman" w:hAnsi="Times New Roman"/>
          <w:b w:val="false"/>
          <w:i w:val="false"/>
          <w:color w:val="000000"/>
          <w:sz w:val="22"/>
        </w:rPr>
        <w:t xml:space="preserve">, including Tables 6 to 6d located at </w:t>
      </w:r>
      <w:hyperlink r:id="rId30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shall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structure, other than an unformed manure storage structure, if the structure is part of a SAFO or if the stockpile consists of dry manure originating from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structure that is constructed or expanded, if the titleholder of the land benefiting from the distance separation requirement executes a written waiver with the titleholder of the land where the structure, stockpile or qualified stockpile structure is located, under such terms and conditions that the parties negotiate. The waiver shall be specific to the construction or expansion project for which it is submitted. The waiver may include specific language to include future projects or expansions. The written waiver becomes effective only upon the recording of the waiver in the office of the recorder of deeds of the county in which the benefited land is located. The benefited land is the land upon which is located the residence, business, church, school or public use area from which separation is required. The filed waiver shall preclude enforcement by the department of the separation distance requirements of Iowa Code section </w:t>
      </w:r>
      <w:hyperlink r:id="rId30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 copy of the recorded waiver shall be submitted with the construction design statement pursuant to subrule </w:t>
      </w:r>
      <w:hyperlink r:id="rId308">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if a construction permit is not required or as part of the construction permit application documents pursuant to subrule </w:t>
      </w:r>
      <w:hyperlink r:id="rId309">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structure that is constructed or expanded closer than the separation distances required in subrule </w:t>
      </w:r>
      <w:hyperlink r:id="rId310">
        <w:r>
          <w:rPr>
            <w:rStyle w:val="Hyperlink"/>
            <w:rFonts w:ascii="Times New Roman" w:hAnsi="Times New Roman"/>
            <w:b w:val="false"/>
            <w:i w:val="false"/>
            <w:color w:val="000000"/>
            <w:sz w:val="22"/>
          </w:rPr>
          <w:t>65.106(1)</w:t>
        </w:r>
      </w:hyperlink>
      <w:r>
        <w:rPr>
          <w:rFonts w:ascii="Times New Roman" w:hAnsi="Times New Roman"/>
          <w:b w:val="false"/>
          <w:i w:val="false"/>
          <w:color w:val="000000"/>
          <w:sz w:val="22"/>
        </w:rPr>
        <w:t xml:space="preserve"> and </w:t>
      </w:r>
      <w:hyperlink r:id="rId311">
        <w:r>
          <w:rPr>
            <w:rStyle w:val="Hyperlink"/>
            <w:rFonts w:ascii="Times New Roman" w:hAnsi="Times New Roman"/>
            <w:b w:val="false"/>
            <w:i w:val="false"/>
            <w:color w:val="000000"/>
            <w:sz w:val="22"/>
          </w:rPr>
          <w:t>65.106(2)</w:t>
        </w:r>
      </w:hyperlink>
      <w:r>
        <w:rPr>
          <w:rFonts w:ascii="Times New Roman" w:hAnsi="Times New Roman"/>
          <w:b w:val="false"/>
          <w:i w:val="false"/>
          <w:color w:val="000000"/>
          <w:sz w:val="22"/>
        </w:rPr>
        <w:t xml:space="preserve">, including Tables 6 to 6d located at </w:t>
      </w:r>
      <w:hyperlink r:id="rId31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if the residence, business, church or school was constructed or expanded after the date that the confinement feeding operation commenced operating or if the boundaries of the public use area or the city expanded after the date that the confinement feeding operation commenced operating. A confinement feeding operation commences operating when it is first occupied by animals. A change in ownership or expansion of the confinement feeding operation does not change the date the operation commenced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stockpile consists of dry manure originating exclusively from a confinement feeding operation that was constructed before January 1, 2006, unless the confinement feeding operation is expanded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65.107(2)</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from public thoroughfares. </w:t>
      </w:r>
      <w:r>
        <w:rPr>
          <w:rFonts w:ascii="Times New Roman" w:hAnsi="Times New Roman"/>
          <w:b w:val="false"/>
          <w:i w:val="false"/>
          <w:color w:val="000000"/>
          <w:sz w:val="22"/>
        </w:rPr>
        <w:t xml:space="preserve">As specified in Iowa Code section </w:t>
      </w:r>
      <w:hyperlink r:id="rId313">
        <w:r>
          <w:rPr>
            <w:rStyle w:val="Hyperlink"/>
            <w:rFonts w:ascii="Times New Roman" w:hAnsi="Times New Roman"/>
            <w:b w:val="false"/>
            <w:i w:val="false"/>
            <w:color w:val="000000"/>
            <w:sz w:val="22"/>
          </w:rPr>
          <w:t>459.205</w:t>
        </w:r>
      </w:hyperlink>
      <w:r>
        <w:rPr>
          <w:rFonts w:ascii="Times New Roman" w:hAnsi="Times New Roman"/>
          <w:b w:val="false"/>
          <w:i w:val="false"/>
          <w:color w:val="000000"/>
          <w:sz w:val="22"/>
        </w:rPr>
        <w:t xml:space="preserve">, the separation required from public thoroughfares specified in Iowa Code section </w:t>
      </w:r>
      <w:hyperlink r:id="rId314">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summarized in Tables 6 to 6d located at </w:t>
      </w:r>
      <w:hyperlink r:id="rId315">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confinement building or a formed manure storage structure that is part of a SAFO. However, the exemptions of this subrule shall not apply if the confinement feeding operation structure is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or a political subdivision constructing or maintaining the public thoroughfare executes a written waiver with the titleholder of the land where the confinement feeding operation structure is located. The written waiver becomes effective only upon the recording of the waiver in the office of the recorder of deeds of the county in which the benefited land is located. The recorded waiver shall be submitted with the construction design statement pursuant to subrule </w:t>
      </w:r>
      <w:hyperlink r:id="rId316">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if a construction permit is not required, or as part of the construction permit application documents pursuant to subrule </w:t>
      </w:r>
      <w:hyperlink r:id="rId317">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65.107(3)</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for prior constructed operations and for operations that expand based on prior separation distance requirements. </w:t>
      </w:r>
      <w:r>
        <w:rPr>
          <w:rFonts w:ascii="Times New Roman" w:hAnsi="Times New Roman"/>
          <w:b w:val="false"/>
          <w:i w:val="false"/>
          <w:color w:val="000000"/>
          <w:sz w:val="22"/>
        </w:rPr>
        <w:t xml:space="preserve">As specified in Iowa Code section </w:t>
      </w:r>
      <w:hyperlink r:id="rId318">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xml:space="preserve">, a confinement feeding operation constructed or expanded prior to the date that a distance requirement became effective under Iowa Code section </w:t>
      </w:r>
      <w:hyperlink r:id="rId319">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that does not comply with the statute’s distance requirement may continue to operate regardless of the distance requirement and may expand as provided in subrule </w:t>
      </w:r>
      <w:hyperlink r:id="rId320">
        <w:r>
          <w:rPr>
            <w:rStyle w:val="Hyperlink"/>
            <w:rFonts w:ascii="Times New Roman" w:hAnsi="Times New Roman"/>
            <w:b w:val="false"/>
            <w:i w:val="false"/>
            <w:color w:val="000000"/>
            <w:sz w:val="22"/>
          </w:rPr>
          <w:t>65.106(2)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65.107(4)</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for prior constructed operations that expand and cannot comply with prior separation distance requirements. </w:t>
      </w:r>
      <w:r>
        <w:rPr>
          <w:rFonts w:ascii="Times New Roman" w:hAnsi="Times New Roman"/>
          <w:b w:val="false"/>
          <w:i w:val="false"/>
          <w:color w:val="000000"/>
          <w:sz w:val="22"/>
        </w:rPr>
        <w:t xml:space="preserve">As specified in Iowa Code section </w:t>
      </w:r>
      <w:hyperlink r:id="rId321">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xml:space="preserve">, a confinement feeding operation constructed or expanded prior to the date that a distance requirement became effective under Iowa Code section </w:t>
      </w:r>
      <w:hyperlink r:id="rId322">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that does not comply with the distance requirements established in rule </w:t>
      </w:r>
      <w:hyperlink r:id="rId323">
        <w:r>
          <w:rPr>
            <w:rStyle w:val="Hyperlink"/>
            <w:rFonts w:ascii="Times New Roman" w:hAnsi="Times New Roman"/>
            <w:b w:val="false"/>
            <w:i w:val="false"/>
            <w:color w:val="000000"/>
            <w:sz w:val="22"/>
          </w:rPr>
          <w:t>567—65.106</w:t>
        </w:r>
      </w:hyperlink>
      <w:r>
        <w:rPr>
          <w:rFonts w:ascii="Times New Roman" w:hAnsi="Times New Roman"/>
          <w:b w:val="false"/>
          <w:i w:val="false"/>
          <w:color w:val="000000"/>
          <w:sz w:val="22"/>
        </w:rPr>
        <w:t xml:space="preserve">(455B,459,459B) and the exemption in subrule </w:t>
      </w:r>
      <w:hyperlink r:id="rId324">
        <w:r>
          <w:rPr>
            <w:rStyle w:val="Hyperlink"/>
            <w:rFonts w:ascii="Times New Roman" w:hAnsi="Times New Roman"/>
            <w:b w:val="false"/>
            <w:i w:val="false"/>
            <w:color w:val="000000"/>
            <w:sz w:val="22"/>
          </w:rPr>
          <w:t>65.107(3)</w:t>
        </w:r>
      </w:hyperlink>
      <w:r>
        <w:rPr>
          <w:rFonts w:ascii="Times New Roman" w:hAnsi="Times New Roman"/>
          <w:b w:val="false"/>
          <w:i w:val="false"/>
          <w:color w:val="000000"/>
          <w:sz w:val="22"/>
        </w:rPr>
        <w:t xml:space="preserve"> may be expanded if all of the following apply to the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confinement feeding operation after expansion is closer than before expansion to a location or object for which separation is required in Iowa Code section </w:t>
      </w:r>
      <w:hyperlink r:id="rId325">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includes a confinement feeding operation structure constructed prior to March 1, 2003, the animal weight capacity of the confinement feeding operation as expanded is not more than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Double its animal weight capacity on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31, 1995, for a confinement feeding operation that includes a confinement feeding operation structure constructed prior to January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January 1, 1999, for a confinement feeding operation that only includes a confinement feeding operation structure constructed on or after January 1, 1999, but does include a confinement feeding operation structure constructed prior to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animal weight capacity of 625,000 pounds for animals other than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animal weight capacity of 1,600,000 pounds for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does not include a confinement feeding operation structure constructed prior to March 1, 2003, the animal unit capacity of the confinement feeding operation as expanded is not more than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Double its animal unit capacity on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 animal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65.107(5)</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for prior constructed operations that replace an unformed manure storage structure. </w:t>
      </w:r>
      <w:r>
        <w:rPr>
          <w:rFonts w:ascii="Times New Roman" w:hAnsi="Times New Roman"/>
          <w:b w:val="false"/>
          <w:i w:val="false"/>
          <w:color w:val="000000"/>
          <w:sz w:val="22"/>
        </w:rPr>
        <w:t xml:space="preserve">As specified in Iowa Code section </w:t>
      </w:r>
      <w:hyperlink r:id="rId326">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a confinement feeding operation that includes a confinement feeding operation structure that is constructed prior to March 1, 2003, may be expanded by replacing one or more unformed manure storage structures with one or more formed manure storage structures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animal weight capacity or animal unit capacity, whichever is applicable, is not increased for that portion of the confinement feeding operation that utilizes all replacement formed manure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each replaced unformed manure storage structure is discontinued within one year after the construction of the replacement 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capacity of all replacement formed manure storage structures does not exceed the amount required to store manure produced by that portion of the confinement feeding operation utilizing the formed manure storage structures during any 14-month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replacement formed manure storage structure is closer to an object or location for which separation is required under Iowa Code section </w:t>
      </w:r>
      <w:hyperlink r:id="rId32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than any other confinement feeding operation structure that is part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65.107(6)</w:t>
      </w:r>
      <w:r>
        <w:rPr>
          <w:rFonts w:ascii="Times New Roman" w:hAnsi="Times New Roman"/>
          <w:b w:val="false"/>
          <w:i w:val="false"/>
          <w:color w:val="000000"/>
          <w:sz w:val="22"/>
        </w:rPr>
        <w:t> </w:t>
      </w:r>
      <w:r>
        <w:rPr>
          <w:rFonts w:ascii="Times New Roman" w:hAnsi="Times New Roman"/>
          <w:b w:val="false"/>
          <w:i/>
          <w:color w:val="000000"/>
          <w:sz w:val="22"/>
        </w:rPr>
        <w:t xml:space="preserve">Exemption to separation distance requirements from cemeteries. </w:t>
      </w:r>
      <w:r>
        <w:rPr>
          <w:rFonts w:ascii="Times New Roman" w:hAnsi="Times New Roman"/>
          <w:b w:val="false"/>
          <w:i w:val="false"/>
          <w:color w:val="000000"/>
          <w:sz w:val="22"/>
        </w:rPr>
        <w:t xml:space="preserve">As specified in Iowa Code section </w:t>
      </w:r>
      <w:hyperlink r:id="rId328">
        <w:r>
          <w:rPr>
            <w:rStyle w:val="Hyperlink"/>
            <w:rFonts w:ascii="Times New Roman" w:hAnsi="Times New Roman"/>
            <w:b w:val="false"/>
            <w:i w:val="false"/>
            <w:color w:val="000000"/>
            <w:sz w:val="22"/>
          </w:rPr>
          <w:t>459.205</w:t>
        </w:r>
      </w:hyperlink>
      <w:r>
        <w:rPr>
          <w:rFonts w:ascii="Times New Roman" w:hAnsi="Times New Roman"/>
          <w:b w:val="false"/>
          <w:i w:val="false"/>
          <w:color w:val="000000"/>
          <w:sz w:val="22"/>
        </w:rPr>
        <w:t>, the separation distance required between a confinement feeding operation structure and a cemetery shall not apply if the confinement feeding operation structure was constructed or expanded prior to January 1,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65.107(7)</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from water sources, major water sources, known sinkholes, agricultural drainage wells and designated wetlands and secondary containment. </w:t>
      </w:r>
      <w:r>
        <w:rPr>
          <w:rFonts w:ascii="Times New Roman" w:hAnsi="Times New Roman"/>
          <w:b w:val="false"/>
          <w:i w:val="false"/>
          <w:color w:val="000000"/>
          <w:sz w:val="22"/>
        </w:rPr>
        <w:t xml:space="preserve">As specified in Iowa Code section </w:t>
      </w:r>
      <w:hyperlink r:id="rId329">
        <w:r>
          <w:rPr>
            <w:rStyle w:val="Hyperlink"/>
            <w:rFonts w:ascii="Times New Roman" w:hAnsi="Times New Roman"/>
            <w:b w:val="false"/>
            <w:i w:val="false"/>
            <w:color w:val="000000"/>
            <w:sz w:val="22"/>
          </w:rPr>
          <w:t>459.310(3)</w:t>
        </w:r>
      </w:hyperlink>
      <w:r>
        <w:rPr>
          <w:rFonts w:ascii="Times New Roman" w:hAnsi="Times New Roman"/>
          <w:b w:val="false"/>
          <w:i w:val="false"/>
          <w:color w:val="000000"/>
          <w:sz w:val="22"/>
        </w:rPr>
        <w:t xml:space="preserve">, the separation distance required from surface intakes, wellheads or cisterns of agricultural drainage wells, known sinkholes, water sources, major water sources and designated wetlands, specified in Iowa Code section </w:t>
      </w:r>
      <w:hyperlink r:id="rId330">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summarized in Tables 6 to 6d located at </w:t>
      </w:r>
      <w:hyperlink r:id="rId331">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not apply to a farm pond or privately owned lake as defined in Iowa Code section </w:t>
      </w:r>
      <w:hyperlink r:id="rId332">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 xml:space="preserve">, or to a confinement building, a manure storage structure or an egg washwater storage structure constructed with a secondary containment barrier according to subrule </w:t>
      </w:r>
      <w:hyperlink r:id="rId333">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To qualify for this separation distance exemption, the design of the secondary containment barrier shall be filed in accordance with subrule </w:t>
      </w:r>
      <w:hyperlink r:id="rId334">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prior to beginning construction of the confinement feeding operation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65.107(8)</w:t>
      </w:r>
      <w:r>
        <w:rPr>
          <w:rFonts w:ascii="Times New Roman" w:hAnsi="Times New Roman"/>
          <w:b w:val="false"/>
          <w:i w:val="false"/>
          <w:color w:val="000000"/>
          <w:sz w:val="22"/>
        </w:rPr>
        <w:t> </w:t>
      </w:r>
      <w:r>
        <w:rPr>
          <w:rFonts w:ascii="Times New Roman" w:hAnsi="Times New Roman"/>
          <w:b w:val="false"/>
          <w:i/>
          <w:color w:val="000000"/>
          <w:sz w:val="22"/>
        </w:rPr>
        <w:t xml:space="preserve">Exemptions to prohibition on one hundred year floodplain construction and separation distance requirements from water sources, major water sources, known sinkholes, agricultural drainage wells and designated wetlands—replacement formed manure storage structures. </w:t>
      </w:r>
      <w:r>
        <w:rPr>
          <w:rFonts w:ascii="Times New Roman" w:hAnsi="Times New Roman"/>
          <w:b w:val="false"/>
          <w:i w:val="false"/>
          <w:color w:val="000000"/>
          <w:sz w:val="22"/>
        </w:rPr>
        <w:t xml:space="preserve">As specified in Iowa Code section </w:t>
      </w:r>
      <w:hyperlink r:id="rId335">
        <w:r>
          <w:rPr>
            <w:rStyle w:val="Hyperlink"/>
            <w:rFonts w:ascii="Times New Roman" w:hAnsi="Times New Roman"/>
            <w:b w:val="false"/>
            <w:i w:val="false"/>
            <w:color w:val="000000"/>
            <w:sz w:val="22"/>
          </w:rPr>
          <w:t>459.310(4)</w:t>
        </w:r>
      </w:hyperlink>
      <w:r>
        <w:rPr>
          <w:rFonts w:ascii="Times New Roman" w:hAnsi="Times New Roman"/>
          <w:b w:val="false"/>
          <w:i w:val="false"/>
          <w:color w:val="000000"/>
          <w:sz w:val="22"/>
        </w:rPr>
        <w:t xml:space="preserve">, a separation distance required in subrules </w:t>
      </w:r>
      <w:hyperlink r:id="rId336">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337">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or the prohibition against construction of a confinement feeding operation structure on a one hundred year floodplain as provided in subrule </w:t>
      </w:r>
      <w:hyperlink r:id="rId338">
        <w:r>
          <w:rPr>
            <w:rStyle w:val="Hyperlink"/>
            <w:rFonts w:ascii="Times New Roman" w:hAnsi="Times New Roman"/>
            <w:b w:val="false"/>
            <w:i w:val="false"/>
            <w:color w:val="000000"/>
            <w:sz w:val="22"/>
          </w:rPr>
          <w:t>65.9(1)</w:t>
        </w:r>
      </w:hyperlink>
      <w:r>
        <w:rPr>
          <w:rFonts w:ascii="Times New Roman" w:hAnsi="Times New Roman"/>
          <w:b w:val="false"/>
          <w:i w:val="false"/>
          <w:color w:val="000000"/>
          <w:sz w:val="22"/>
        </w:rPr>
        <w:t xml:space="preserve"> shall not apply to a confinement feeding operation that includes a confinement feeding operation structure that was constructed prior to March 1, 2003,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or more unformed manure storage structures that are part of the confinement feeding operation are replaced with one or more formed manure storage structures on or after April 28, 2003,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weight capacity or animal unit capacity, whichever is applicable, is not increased for that portion of the confinement feeding operation that utilizes all replacement formed manure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each replaced unformed manure storage structure is discontinued within one year after the construction of the replacement 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capacity of all replacement formed manure storage structures does not exceed the amount required to store manure produced by that portion of the confinement feeding operation utilizing the replacement formed manure storage structures during any 18-month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replacement formed manure storage structure is closer to the location or object from which separation is required under subrules </w:t>
      </w:r>
      <w:hyperlink r:id="rId339">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340">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than any other confinement feeding operation structure that is part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meets or exceeds the requirements of Iowa Code section </w:t>
      </w:r>
      <w:hyperlink r:id="rId341">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342">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replacement formed manure storage structure that is part of the confinement feeding operation is constructed on or after April 28, 2003, pursuant to a waiver granted by the department. In granting the waiver, the department shall make a finding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replaces the confinement feeding operation’s existing manure storage and 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complies with standards adopted pursuant to Iowa Code section </w:t>
      </w:r>
      <w:hyperlink r:id="rId343">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344">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more likely than not provides a higher degree of environmental protection than the confinement feeding operation’s existing manure storage and handling facilities. If the formed manure storage structure will replace any existing manure storage structure, the department shall, as a condition of granting the waiver, require that the replaced manure storage structure be properly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567—65.108</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Manure storage structure design requirements. </w:t>
      </w:r>
      <w:r>
        <w:rPr>
          <w:rFonts w:ascii="Times New Roman" w:hAnsi="Times New Roman"/>
          <w:b w:val="false"/>
          <w:i w:val="false"/>
          <w:color w:val="000000"/>
          <w:sz w:val="22"/>
        </w:rPr>
        <w:t>The requirements in this rule apply to all confinement feeding operation structures unless specifically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w:t>
      </w:r>
      <w:r>
        <w:rPr>
          <w:rFonts w:ascii="Times New Roman" w:hAnsi="Times New Roman"/>
          <w:b w:val="false"/>
          <w:i w:val="false"/>
          <w:color w:val="000000"/>
          <w:sz w:val="22"/>
        </w:rPr>
        <w:t> </w:t>
      </w:r>
      <w:r>
        <w:rPr>
          <w:rFonts w:ascii="Times New Roman" w:hAnsi="Times New Roman"/>
          <w:b w:val="false"/>
          <w:i/>
          <w:color w:val="000000"/>
          <w:sz w:val="22"/>
        </w:rPr>
        <w:t xml:space="preserve">Drainage tile removal for new construction of a manure storage structure. </w:t>
      </w:r>
      <w:r>
        <w:rPr>
          <w:rFonts w:ascii="Times New Roman" w:hAnsi="Times New Roman"/>
          <w:b w:val="false"/>
          <w:i w:val="false"/>
          <w:color w:val="000000"/>
          <w:sz w:val="22"/>
        </w:rPr>
        <w:t xml:space="preserve">Prior to constructing a manure storage structure, other than storage of manure in an exclusively dry form, the site for the AFO structure shall be investigated for drainage tile lines as provided in this subrule. All applicable records of known drainage tiles shall be examined for the existence of drainage tile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inspection trench of at least ten inches wide shall be dug around the structure to a depth of at least 6 feet below the original grade and within 25 feet of the proposed outside of the toe of the berm prior to excavation for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Drainage tile lines discovered during the tile inspection of an unformed manure storage structure shall be removed and rerouted in or in an area outside the inspection trench. All tiles within the inspection trench perimeter shall be removed or completely plugged with concrete, grout or similar materials. Drainage tile lines installed at the time of construction to lower the groundwater may remain in place as long as they are outside of the proposed toe of berm.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a construction permit for a formed manure storage structure shall investigate for tile lines during excavation for the structure. Drainage tile lines discovered upgrade from the structure shall be rerouted around the formed manure storage structure to continue the flow of drainage. All other drainage tile lines discovered shall be rerouted, capped, or plugged with concrete, Portland cement concrete grout or similar materials. Drainage tile lines installed at the time of construction to lower a groundwater table may remain where located even if located under the floor; however, the tile lines must be tied into the perimeter drain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proven methods approved by the department may be utilized to discover drainage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do not apply if sufficient information is provided that allows the department to conclude that the location does not have a history of drainage tile.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65.108(2)</w:t>
      </w:r>
      <w:r>
        <w:rPr>
          <w:rFonts w:ascii="Times New Roman" w:hAnsi="Times New Roman"/>
          <w:b w:val="false"/>
          <w:i w:val="false"/>
          <w:color w:val="000000"/>
          <w:sz w:val="22"/>
        </w:rPr>
        <w:t> </w:t>
      </w:r>
      <w:r>
        <w:rPr>
          <w:rFonts w:ascii="Times New Roman" w:hAnsi="Times New Roman"/>
          <w:b w:val="false"/>
          <w:i/>
          <w:color w:val="000000"/>
          <w:sz w:val="22"/>
        </w:rPr>
        <w:t xml:space="preserve">Drainage tile removal around an existing manure storage structure. </w:t>
      </w:r>
      <w:r>
        <w:rPr>
          <w:rFonts w:ascii="Times New Roman" w:hAnsi="Times New Roman"/>
          <w:b w:val="false"/>
          <w:i w:val="false"/>
          <w:color w:val="000000"/>
          <w:sz w:val="22"/>
        </w:rPr>
        <w:t xml:space="preserve">The owner of an aerobic structure, anaerobic lagoon or earthen manure storage basin or earthen waste slurry storage basin, other than an egg washwater storage structure, that is part of a confinement feeding operation with a construction permit granted before March 20, 1996, but after December 31, 1992, shall inspect for drainage tile lines as provided in this subrule, and all applicable records of known drainage tiles shall be examined. The owner of an aerobic structure, anaerobic lagoon, earthen manure storage basin or earthen waste slurry storage basin, other than an egg washwater storage structure, that is part of a confinement feeding operation with a construction permit granted before January 1, 1993, but after May 31, 1985, shall inspect for drainage tiles as provided in this subrule, and all applicable records of known drainage tiles shall be examined. Drainage tile lines shall not be installed within the separation distance provided in paragraph </w:t>
      </w:r>
      <w:hyperlink r:id="rId345">
        <w:r>
          <w:rPr>
            <w:rStyle w:val="Hyperlink"/>
            <w:rFonts w:ascii="Times New Roman" w:hAnsi="Times New Roman"/>
            <w:b w:val="false"/>
            <w:i w:val="false"/>
            <w:color w:val="000000"/>
            <w:sz w:val="22"/>
          </w:rPr>
          <w:t>65.108(1)</w:t>
        </w:r>
      </w:hyperlink>
      <w:r>
        <w:rPr>
          <w:rFonts w:ascii="Times New Roman" w:hAnsi="Times New Roman"/>
          <w:b w:val="false"/>
          <w:i/>
          <w:color w:val="000000"/>
          <w:sz w:val="22"/>
        </w:rPr>
        <w:t>“b”</w:t>
      </w:r>
      <w:r>
        <w:rPr>
          <w:rFonts w:ascii="Times New Roman" w:hAnsi="Times New Roman"/>
          <w:b w:val="false"/>
          <w:i w:val="false"/>
          <w:color w:val="000000"/>
          <w:sz w:val="22"/>
        </w:rPr>
        <w:t xml:space="preserve"> once the basin has been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Inspection shall be by digging an inspection trench of at least ten inches wide around the structure to a depth of at least 6 feet from the original grade and within 25 feet from the outside edge of the berm. The owner first shall inspect the area where trenching is to occur and manure management records to determine if there is any evidence of leakage and, if so, shall contact the department for further instructions as to proper inspection procedures. The owner of a confinement feeding operation shall either obtain permission from an adjoining property owner or trench up to the boundary line of the property if the distance of 25 feet would require the inspection trench to go onto the adjoining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the confinement feeding operation may utilize other proven methods approved by the department to discover drainage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drainage tile lines discovered near an aerobic structure, anaerobic lagoon, earthen manure storage basin or earthen waste slurry storage basin, other than an egg washwater storage structure, shall be removed within 25 feet of the outside edge of the berm. Drainage tile lines discovered upgrade from the aerobic structure, anaerobic lagoon or earthen manure storage basin shall be rerouted within 25 feet from the berm to continue the flow of drainage. All other drainage tile lines discovered shall be rerouted, capped, plugged with concrete, or Portland cement concrete grout or similar materials, or reconnected to upgrade tile lines. Drainage tile lines that were installed at the time of construction to lower a groundwater table may either be avoided if the location is known or may remain at the location if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of an aerobic structure, anaerobic lagoon, earthen manure storage structure or an earthen waste slurry storage basin with a tile drainage system to artificially lower the groundwater table shall have a device to allow monitoring of the water in the drainage tile lines that lower the groundwater table and to allow shutoff of the drainage tile lines if the drainage tile lines do not have a surface outlet accessible on the property where the aerobic structure, anaerobic lagoon, earthen manure storage basin or earthen waste slurry storage basin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of the confinement feeding operation discovers drainage tile that projects underneath the berm, the owner shall follow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to obtain permission to remove the drainage tile under the berm. The manure in the structure must be lowered to a point below the depth of the tile prior to removing the drainage tile from under the berm. Prior to using the structure, a new percolation test must be submitted to the department and approval received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Grout the length of the tile under the berm to the extent possible. The material used to grout shall include concrete, Portland cement concrete grout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waiver to this subrule may be granted by the director if sufficient information is provided that the location does not have a history of drainage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record describing the actions taken to determine the existence of tile lines, the findings, and actions taken to comply with this subrule shall be prepared and maintained as part of the MMP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65.108(3)</w:t>
      </w:r>
      <w:r>
        <w:rPr>
          <w:rFonts w:ascii="Times New Roman" w:hAnsi="Times New Roman"/>
          <w:b w:val="false"/>
          <w:i w:val="false"/>
          <w:color w:val="000000"/>
          <w:sz w:val="22"/>
        </w:rPr>
        <w:t> </w:t>
      </w:r>
      <w:r>
        <w:rPr>
          <w:rFonts w:ascii="Times New Roman" w:hAnsi="Times New Roman"/>
          <w:b w:val="false"/>
          <w:i/>
          <w:color w:val="000000"/>
          <w:sz w:val="22"/>
        </w:rPr>
        <w:t xml:space="preserve">Earthen waste slurry storage basins. </w:t>
      </w:r>
      <w:r>
        <w:rPr>
          <w:rFonts w:ascii="Times New Roman" w:hAnsi="Times New Roman"/>
          <w:b w:val="false"/>
          <w:i w:val="false"/>
          <w:color w:val="000000"/>
          <w:sz w:val="22"/>
        </w:rPr>
        <w:t xml:space="preserve">An earthen waste slurry storage basin shall have accumulated manure removed at least twice each year, unless there is sufficient basin capacity to allow removal of manure once each year and maintain freeboard as determined pursuant to paragraph </w:t>
      </w:r>
      <w:hyperlink r:id="rId346">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65.108(4)</w:t>
      </w:r>
      <w:r>
        <w:rPr>
          <w:rFonts w:ascii="Times New Roman" w:hAnsi="Times New Roman"/>
          <w:b w:val="false"/>
          <w:i w:val="false"/>
          <w:color w:val="000000"/>
          <w:sz w:val="22"/>
        </w:rPr>
        <w:t> </w:t>
      </w:r>
      <w:r>
        <w:rPr>
          <w:rFonts w:ascii="Times New Roman" w:hAnsi="Times New Roman"/>
          <w:b w:val="false"/>
          <w:i/>
          <w:color w:val="000000"/>
          <w:sz w:val="22"/>
        </w:rPr>
        <w:t xml:space="preserve">Earthen manure storage basins. </w:t>
      </w:r>
      <w:r>
        <w:rPr>
          <w:rFonts w:ascii="Times New Roman" w:hAnsi="Times New Roman"/>
          <w:b w:val="false"/>
          <w:i w:val="false"/>
          <w:color w:val="000000"/>
          <w:sz w:val="22"/>
        </w:rPr>
        <w:t xml:space="preserve">An earthen manure storage basin shall have accumulated manure removed at least once each year. An earthen manure storage basin constructed after June 19, 2024, must have enough manure storage capacity for eight months. An earthen manure storage basin may have enough manure storage capacity to contain the manure from the confinement feeding operation for up to 14 months and maintain freeboard as determined pursuant to paragraph </w:t>
      </w:r>
      <w:hyperlink r:id="rId347">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65.108(5)</w:t>
      </w:r>
      <w:r>
        <w:rPr>
          <w:rFonts w:ascii="Times New Roman" w:hAnsi="Times New Roman"/>
          <w:b w:val="false"/>
          <w:i w:val="false"/>
          <w:color w:val="000000"/>
          <w:sz w:val="22"/>
        </w:rPr>
        <w:t> </w:t>
      </w:r>
      <w:r>
        <w:rPr>
          <w:rFonts w:ascii="Times New Roman" w:hAnsi="Times New Roman"/>
          <w:b w:val="false"/>
          <w:i/>
          <w:color w:val="000000"/>
          <w:sz w:val="22"/>
        </w:rPr>
        <w:t xml:space="preserve">Soil testing for earthen structures. </w:t>
      </w:r>
      <w:r>
        <w:rPr>
          <w:rFonts w:ascii="Times New Roman" w:hAnsi="Times New Roman"/>
          <w:b w:val="false"/>
          <w:i w:val="false"/>
          <w:color w:val="000000"/>
          <w:sz w:val="22"/>
        </w:rPr>
        <w:t>Applicants for construction permits for earthen manure storage structures shall submit soils information according to this subrule for the site of the proposed structure. All subsurface soil classification shall be based on American Society for Testing and Materials Designations D 2487-06, effective May 1, 2006, or D 2488-06, effective November 1, 2006. Soil corings shall be taken to determine subsurface soil characteristics and groundwater elevation and direction of flow of the proposed site for an anaerobic lagoon, aerobic structure, earthen egg washwater storage structure, or earthen manure storage basin. Soil corings shall be conducted by a qualified person normally engaged in soil testing activities. Data from the soil corings shall be submitted with a construction permit application and shall include a description of the geologic units encountered; a discussion of the effects of the soil and groundwater elevation and direction of flow on the construction and operation of the anaerobic lagoon, aerobic structure, earthen egg washwater storage structure, or earthen manure storage basin and a discussion that addresses the suitability of the proposed structure at the site. All soil corings shall be taken by a method that identifies the continuous soil profile and does not result in the mixing of soil layers. The number and location of the soil corings will vary on a case-by-case basis as determined by the designing engineer and accepted by the department. The following are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four soil corings reflecting the continuous soil profile is required for each anaerobic lagoon, aerobic structure, earthen egg washwater storage structure, or earthen manure storage basin. Corings which are intended to represent soil conditions at the corner of the structure must be located within 50 feet of the bottom edge of the structure and spaced so that one coring is as close as possible to each corner. Should there be no bottom corners, corings shall be equally spaced around the structure to obtain representative soil information for the site. An additional coring will be required if necessary to ensure that one coring is at the deepest point of excavation. For an anaerobic lagoon, aerobic structure, earthen egg washwater storage structure, or earthen manure storage basin larger than four acres water surface area, one additional coring per acre is required for each acre above four acres surface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corings shall be taken to a minimum depth of ten feet below the bottom elevation of the anaerobic lagoon, aerobic structure, earthen egg washwater storage structure, or earthen manure storage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coring shall be taken to a minimum depth of 25 feet below the bottom elevation of the anaerobic lagoon, aerobic structure, earthen egg washwater storage structure, or earthen manure storage basin or into bedrock, whichever is shallower.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abandonment of the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65.108(6)</w:t>
      </w:r>
      <w:r>
        <w:rPr>
          <w:rFonts w:ascii="Times New Roman" w:hAnsi="Times New Roman"/>
          <w:b w:val="false"/>
          <w:i w:val="false"/>
          <w:color w:val="000000"/>
          <w:sz w:val="22"/>
        </w:rPr>
        <w:t> </w:t>
      </w:r>
      <w:r>
        <w:rPr>
          <w:rFonts w:ascii="Times New Roman" w:hAnsi="Times New Roman"/>
          <w:b w:val="false"/>
          <w:i/>
          <w:color w:val="000000"/>
          <w:sz w:val="22"/>
        </w:rPr>
        <w:t xml:space="preserve">Hydrology.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Groundwater table. </w:t>
      </w:r>
      <w:r>
        <w:rPr>
          <w:rFonts w:ascii="Times New Roman" w:hAnsi="Times New Roman"/>
          <w:b w:val="false"/>
          <w:i w:val="false"/>
          <w:color w:val="000000"/>
          <w:sz w:val="22"/>
        </w:rPr>
        <w:t xml:space="preserve">A minimum separation of four feet between the top of the liner for any unformed manure storage structure or earthen egg washwater storage structure and the groundwater table is recommended; however, in no case shall the top of the liner for an unformed manure storage structure or earthen egg washwater storage structure be below the groundwater table. If the groundwater table is less than two feet below the top of the liner for an unformed manure storage structure or earthen egg washwater storage structure, the unformed manure storage structure or earthen egg washwater storage structure shall be provided with a synthetic liner as described in paragraph </w:t>
      </w:r>
      <w:hyperlink r:id="rId348">
        <w:r>
          <w:rPr>
            <w:rStyle w:val="Hyperlink"/>
            <w:rFonts w:ascii="Times New Roman" w:hAnsi="Times New Roman"/>
            <w:b w:val="false"/>
            <w:i w:val="false"/>
            <w:color w:val="000000"/>
            <w:sz w:val="22"/>
          </w:rPr>
          <w:t>65.108(8)</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Permanent artificial lowering of groundwater table.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Unformed manure storage structures. The groundwater table around an unformed manure storage structure or earthen egg washwater storage structure may be artificially lowered to levels required in paragraph </w:t>
      </w:r>
      <w:hyperlink r:id="rId349">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“a”</w:t>
      </w:r>
      <w:r>
        <w:rPr>
          <w:rFonts w:ascii="Times New Roman" w:hAnsi="Times New Roman"/>
          <w:b w:val="false"/>
          <w:i w:val="false"/>
          <w:color w:val="000000"/>
          <w:sz w:val="22"/>
        </w:rPr>
        <w:t xml:space="preserve"> by using a gravity flow tile drainage system or other permanent nonmechanical system for artificial lowering of the groundwater table. Detailed engineering and soil drainage information shall be provided with a construction permit application for an unformed manure storage structure or earthen egg washwater storage structure if a drainage system for artificially lowering the groundwater table will be installed. The level to which the groundwater table will be lowered will be considered to represent the seasonal high-water table. If a drainage tile around the perimeter of the basin is installed a minimum of two feet below the top of the basin liner to artificially lower the seasonal high-water table, the top of the basin’s liner may be a maximum of four feet below the seasonal high-water table which existed prior to installation of the perimeter tile system. Drainage tile lines shall be installed between the outside of the proposed toe of the berm and within 25 feet of the outside of the toe of the berm. Drainage tile lines shall be placed in a vertical trench and encased in granular material which extends upward to the level of the seasonal high-water table which existed prior to installation of the perimeter tile system. A device to allow monitoring of the water in the drainage tile lines installed to lower the groundwater table and a device to allow shutoff of the drainage tile lines shall be installed if the drainage tile lines do not have a surface outlet accessible on the property where the unformed manure storage structure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Formed manure storage structures. For a formed manure storage structure or a formed egg washwater storage structure, partially or completely constructed below the normal soil surface, a perimeter tile drainage system or other permanent system for artificial lowering of groundwater levels shall be installed around the structure if the groundwater table is above the bottom of the structure. The perimeter tile shall include a sample port to allow monitoring of the water in the drainage tile lines and a device to allow shutoff of the drainage tile lines if the drainage tile lines do not have a surface outlet accessible on the property where the formed manure storage structure is located or if the perimeter tile is connected to an existing tile. The perimeter tile may be tied into the monitoring port or a sump; however, there shall be a permanent automatic pump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groundwater table. </w:t>
      </w:r>
      <w:r>
        <w:rPr>
          <w:rFonts w:ascii="Times New Roman" w:hAnsi="Times New Roman"/>
          <w:b w:val="false"/>
          <w:i w:val="false"/>
          <w:color w:val="000000"/>
          <w:sz w:val="22"/>
        </w:rPr>
        <w:t xml:space="preserve">For purposes of this rule, groundwater table is the seasonal high-water table determined by a licensed PE, a groundwater professional certified pursuant to </w:t>
      </w:r>
      <w:hyperlink r:id="rId35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groundwater levels shall be measured using at least one of the following for either formed or unformed manure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monitoring wells. A minimum of three temporary monitoring wells shall be installed. The top of the well screen shall be within five feet of the ground surface. Each well shall be extended to at least two feet below the bottom of the liner of an unformed manure storage structure or to at least two feet below the footings of a formed manure storage structure.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Unformed manure storage structures. For an unformed manure storage structure, each monitoring well may be installed in the existing core holes resulting from the corings required in subrule </w:t>
      </w:r>
      <w:hyperlink r:id="rId351">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Formed manure storage structures. For a formed manure storage structure, at least three temporary monitoring wells shall be installed as close as possible to three corners of the structure, with one of the wells close to the corner of deepest excavation. If the formed manure storage structure is circular, the three monitoring wells shall be equally spaced and one well shall be placed at the point of deepest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pits. The department may allow use of test pits in lieu of temporary monitoring wells if seasonal variation in climatic patterns, soil and geologic conditions prevent accurate determination of the seasonal high-water table or prior to the construction of an unformed manure storage structure liner to ensure that the required separation distance to the groundwater table is being met. The bottom of each test pit shall be at least two feet below the floor of the manure storage structure or egg washwater storage structure. Each pit shall be allowed to remain open and unaltered for a minimum of seven days for viewing by the department or NRCS-qualified staff person for the determination of soil characteristics and related groundwater influence. Adequate protection (temporary berms and covers) shall be provided to prevent surface runoff from entering the test pits. One test pit shall be located in each corner and one in the center of the proposed manure control structure, unless otherwise specified by the department. Test pits shall be backfilled and compacted to achieve the seepage loss as outlined in subrule </w:t>
      </w:r>
      <w:hyperlink r:id="rId352">
        <w:r>
          <w:rPr>
            <w:rStyle w:val="Hyperlink"/>
            <w:rFonts w:ascii="Times New Roman" w:hAnsi="Times New Roman"/>
            <w:b w:val="false"/>
            <w:i w:val="false"/>
            <w:color w:val="000000"/>
            <w:sz w:val="22"/>
          </w:rPr>
          <w:t>65.108(7)</w:t>
        </w:r>
      </w:hyperlink>
      <w:r>
        <w:rPr>
          <w:rFonts w:ascii="Times New Roman" w:hAnsi="Times New Roman"/>
          <w:b w:val="false"/>
          <w:i w:val="false"/>
          <w:color w:val="000000"/>
          <w:sz w:val="22"/>
        </w:rPr>
        <w:t>. A description of the materials present in the test pit shall be documented by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Digital photos;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Description of soils including mottling;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Construction specifications;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Weather conditions both prior to and during the period in which test pits are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high-water table shall be determined by measuring the groundwater level in the temporary monitoring wells not earlier than seven days following installation and shall include consideration of NRCS soil survey information, soil characteristics such as color and mottling, other existing water table data, and other pertinent information. If a drainage system for artificially lowering the groundwater table will be installed in accordance with the requirements of paragraph </w:t>
      </w:r>
      <w:hyperlink r:id="rId353">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65.108(7)</w:t>
      </w:r>
      <w:r>
        <w:rPr>
          <w:rFonts w:ascii="Times New Roman" w:hAnsi="Times New Roman"/>
          <w:b w:val="false"/>
          <w:i w:val="false"/>
          <w:color w:val="000000"/>
          <w:sz w:val="22"/>
        </w:rPr>
        <w:t> </w:t>
      </w:r>
      <w:r>
        <w:rPr>
          <w:rFonts w:ascii="Times New Roman" w:hAnsi="Times New Roman"/>
          <w:b w:val="false"/>
          <w:i/>
          <w:color w:val="000000"/>
          <w:sz w:val="22"/>
        </w:rPr>
        <w:t xml:space="preserve">Seals for unformed manure storage structures and unformed egg washwater storage structures. </w:t>
      </w:r>
      <w:r>
        <w:rPr>
          <w:rFonts w:ascii="Times New Roman" w:hAnsi="Times New Roman"/>
          <w:b w:val="false"/>
          <w:i w:val="false"/>
          <w:color w:val="000000"/>
          <w:sz w:val="22"/>
        </w:rPr>
        <w:t>An unformed manure storage structure or egg washwater storage structure shall be sealed such that seepage loss through the seal shall not exceed 1/16 inch per day at the design depth of the structure. Following construction of the structure, the results of a testing program that indicates the adequacy of the seal shall be provided to that department in writing prior to start-up of a permitted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65.108(8)</w:t>
      </w:r>
      <w:r>
        <w:rPr>
          <w:rFonts w:ascii="Times New Roman" w:hAnsi="Times New Roman"/>
          <w:b w:val="false"/>
          <w:i w:val="false"/>
          <w:color w:val="000000"/>
          <w:sz w:val="22"/>
        </w:rPr>
        <w:t> </w:t>
      </w:r>
      <w:r>
        <w:rPr>
          <w:rFonts w:ascii="Times New Roman" w:hAnsi="Times New Roman"/>
          <w:b w:val="false"/>
          <w:i/>
          <w:color w:val="000000"/>
          <w:sz w:val="22"/>
        </w:rPr>
        <w:t xml:space="preserve">Unformed manure storage structure and unformed egg washwater storage structure liner design and construction standards. </w:t>
      </w:r>
      <w:r>
        <w:rPr>
          <w:rFonts w:ascii="Times New Roman" w:hAnsi="Times New Roman"/>
          <w:b w:val="false"/>
          <w:i w:val="false"/>
          <w:color w:val="000000"/>
          <w:sz w:val="22"/>
        </w:rPr>
        <w:t xml:space="preserve">An unformed manure storage structure or unformed egg washwater storage structure that receives a construction permit after January 21, 1998, shall comply with the following minimum standards in addition to subrule </w:t>
      </w:r>
      <w:hyperlink r:id="rId354">
        <w:r>
          <w:rPr>
            <w:rStyle w:val="Hyperlink"/>
            <w:rFonts w:ascii="Times New Roman" w:hAnsi="Times New Roman"/>
            <w:b w:val="false"/>
            <w:i w:val="false"/>
            <w:color w:val="000000"/>
            <w:sz w:val="22"/>
          </w:rPr>
          <w:t>65.108(7)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location of the proposed unformed manure storage structure or unformed egg washwater storage structure contains suitable materials as determined by the soil corings taken pursuant to subrule </w:t>
      </w:r>
      <w:hyperlink r:id="rId355">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 those materials shall be compacted to establish a minimum of a 12-inch liner. A minimum initial overexcavation of six inches of material shall be required. The underlying material shall be scarified, reworked and compacted to a depth of six inches. The overexcavated materials shall be replaced and compacted.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location of the proposed unformed manure storage structure or unformed egg washwater storage structure does not contain suitable materials as determined by the soil corings taken pursuant to subrule </w:t>
      </w:r>
      <w:hyperlink r:id="rId356">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 suitable materials shall be obtained from another location approved by the department and shall be compacted to establish a minimum of a 24-inch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sand seams, gravel seams, organic soils or other materials that are not suitable are encountered during excavation, the area where they are discovered shall be overexcavated a minimum of 24 inches and replaced with suitable materials and compacted.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loose lift material must be placed in lifts of nine inches or less and compacted. The material shall be compacted at or above optimum moisture content and meet a minimum of 95 percent of the maximum density as determined by the Standard Proctor test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suitable materials means soil, soil combinations or other similar material that is capable of meeting the permeability and compaction requirements. Sand seams, gravel seams, organic soils or other materials generally not suitable for unformed manure storage structure or unformed egg washwater storage structure construction are not considered suitable liner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 an alternative to the above standards, a synthetic liner may be used. If the use of a synthetic liner is planned for an unformed manure storage structure or unformed egg washwater storage structure, the permit application shall outline how the site will be prepared for placement of the liner, the physical, chemical, and other pertinent properties of the proposed liner, and information on the procedures to be used in liner installation and maintenance. In reviewing permit applications that involve use of synthetic liners, the department will consider relevant synthetic liner standards adopted by industry, governmental agencies, and professional organizations as well as technical information provided by liner manufacturers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berm erosion control, the following requirements apply to unformed manure storage structures and unformed egg washwater storage structures constructed after May 12,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Concrete, riprap, synthetic liners or similar erosion control materials or measures shall be used on the berm surface below pipes where manure will enter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Concrete, riprap, synthetic liners or similar erosion control materials or measures of sufficient thickness and area to accommodate manure removal equipment and to protect the integrity of the liner shall be placed at all locations on the berm, side slopes, and base of the structure where agitation or pumping may cause damage to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Erosion control materials or measures shall be used at the corners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control erosion, perennial (grass) vegetation must be maintained on the outer, top and inner dikes up to the two-foot freeboard level of the unformed storage structure or earthen egg washwater storage structure, unless covered by concrete, riprap, synthetic liners or similar erosion control materials or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of a confinement feeding operation with an unformed manure storage structure or an unformed egg washwater storage structure shall inspect the structure berms at least semiannually for evidence of erosion. Erosion problems found that may impact either structural stability or liner integrity shall be corrected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May 29, 1997, a person shall not construct a new or expand an existing unformed manure storage structure or an unformed egg washwater storage structure within an agricultural drainage well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top width of any dike shall be a minimum of ten feet wide. The interior and exterior dike slopes shall not be steeper than three feet horizontal to one foot vertical.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65.108(9)</w:t>
      </w:r>
      <w:r>
        <w:rPr>
          <w:rFonts w:ascii="Times New Roman" w:hAnsi="Times New Roman"/>
          <w:b w:val="false"/>
          <w:i w:val="false"/>
          <w:color w:val="000000"/>
          <w:sz w:val="22"/>
        </w:rPr>
        <w:t> </w:t>
      </w:r>
      <w:r>
        <w:rPr>
          <w:rFonts w:ascii="Times New Roman" w:hAnsi="Times New Roman"/>
          <w:b w:val="false"/>
          <w:i/>
          <w:color w:val="000000"/>
          <w:sz w:val="22"/>
        </w:rPr>
        <w:t xml:space="preserve">Anaerobic lagoon design standards. </w:t>
      </w:r>
      <w:r>
        <w:rPr>
          <w:rFonts w:ascii="Times New Roman" w:hAnsi="Times New Roman"/>
          <w:b w:val="false"/>
          <w:i w:val="false"/>
          <w:color w:val="000000"/>
          <w:sz w:val="22"/>
        </w:rPr>
        <w:t>An anaerobic lagoon shall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Liquid depth shall be at least 8 feet, but 15 to 20 feet is preferred if soil and other site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Inlet. One subsurface inlet at the center of the lagoon or dual (subsurface and surface) inlets are preferred to increase dispersion. If a center inlet is not provided, the inlet structure shall be located at the center of the longest side of the anaerobic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Shape. Long, narrow anaerobic lagoon shapes decrease manure dispersion and should be avoided. Anaerobic lagoons with a length-to-width ratio of greater than 3:1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Aeration. Aeration shall be treatment as an “add-on process” and shall not eliminate the need for compliance with all anaerobic lagoon criteria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Manure loading frequency. The anaerobic lagoon shall be loaded with manure and dilution water at least once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Design procedure. Total anaerobic lagoon volume shall be determined by summation of minimum stabilization volume; minimum dilution volume (not less than 50 percent of minimum stabilization volume); manure storage between periods of disposal; and storage for eight inches of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storage period. Annual or more frequent manure removal from the anaerobic lagoon, preferably prior to May 1 or after September 15 of the given year, shall be practiced to minimize odor production. Design manure storage volume between disposal periods shall not exceed the volume required to store 14 months’ manure production. Manure storage volume shall be calculated based on the manure production values found in Table 5 located at </w:t>
      </w:r>
      <w:hyperlink r:id="rId357">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stabilization volume and loading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all animal species other than beef cattle, there shall be 1,000 cubic feet minimum design volume for each 5 pounds of volatile solids produced per day if the volatile solids produced per day are 6,000 pounds or fewer and for each 4 pounds if the volatile solids produced per day are more than 6,000 pounds. For beef cattle, there shall be 1,000 cubic feet minimum design volume for each 10 pounds of volatile solids produced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Lyon, Sioux, Plymouth, Woodbury, Osceola, Dickinson, Emmet, Kossuth, O’Brien, Clay, Palo Alto, Cherokee, Buena Vista, Pocahontas, Humboldt, Ida, Sac, Calhoun, and Webster Counties for all animal species other than beef there shall be 1,000 cubic feet minimum design volume for each 4.5 pounds of volatile solids per day if the volatile solids produced per day are 6,000 pounds or fewer. However, if a water analysis as required in subparagraph </w:t>
      </w:r>
      <w:hyperlink r:id="rId358">
        <w:r>
          <w:rPr>
            <w:rStyle w:val="Hyperlink"/>
            <w:rFonts w:ascii="Times New Roman" w:hAnsi="Times New Roman"/>
            <w:b w:val="false"/>
            <w:i w:val="false"/>
            <w:color w:val="000000"/>
            <w:sz w:val="22"/>
          </w:rPr>
          <w:t>65.108(9)</w:t>
        </w:r>
      </w:hyperlink>
      <w:r>
        <w:rPr>
          <w:rFonts w:ascii="Times New Roman" w:hAnsi="Times New Roman"/>
          <w:b w:val="false"/>
          <w:i/>
          <w:color w:val="000000"/>
          <w:sz w:val="22"/>
        </w:rPr>
        <w:t>“c”</w:t>
      </w:r>
      <w:r>
        <w:rPr>
          <w:rFonts w:ascii="Times New Roman" w:hAnsi="Times New Roman"/>
          <w:b w:val="false"/>
          <w:i w:val="false"/>
          <w:color w:val="000000"/>
          <w:sz w:val="22"/>
        </w:rPr>
        <w:t>(2) below indicates that the sulfate level is below 500 milligrams per liter, then the rate is 1,000 cubic feet for each 5.0 pounds of volatile solids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shall be given for removal of volatile solids from the manure stream prior to discharge to the lagoon. The credit shall be in the form of an adjustment to the volatile solids produced per day. The adjustments shall be at the rate of 0.5 pound for each pound of volatile solids removed. For example, if a swine facility produces 7,000 pounds of volatile solids per day, and if 2,000 pounds of volatile solids per day are removed, the volatile solids produced per day would be reduced by 1,000 pounds, leaving an adjusted pounds of volatile solids produced per day of 6,000 pounds (for which the loading rate would be 5 pounds according to subparagraph </w:t>
      </w:r>
      <w:hyperlink r:id="rId359">
        <w:r>
          <w:rPr>
            <w:rStyle w:val="Hyperlink"/>
            <w:rFonts w:ascii="Times New Roman" w:hAnsi="Times New Roman"/>
            <w:b w:val="false"/>
            <w:i w:val="false"/>
            <w:color w:val="000000"/>
            <w:sz w:val="22"/>
          </w:rPr>
          <w:t>65.108(9)</w:t>
        </w:r>
      </w:hyperlink>
      <w:r>
        <w:rPr>
          <w:rFonts w:ascii="Times New Roman" w:hAnsi="Times New Roman"/>
          <w:b w:val="false"/>
          <w:i/>
          <w:color w:val="000000"/>
          <w:sz w:val="22"/>
        </w:rPr>
        <w:t>“b”</w:t>
      </w:r>
      <w:r>
        <w:rPr>
          <w:rFonts w:ascii="Times New Roman" w:hAnsi="Times New Roman"/>
          <w:b w:val="false"/>
          <w:i w:val="false"/>
          <w:color w:val="000000"/>
          <w:sz w:val="22"/>
        </w:rPr>
        <w:t>(1)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shall be given for mechanical aeration if the upper one-third of the lagoon volume is mixed by the aeration equipment and if at least 50 percent of the oxygen requirement of the manure is supplied by the aeration equipment. The credit shall be in the form of an increase in the maximum loading rate (which is the equivalent of a decrease in the minimum design volume) in accordance with Table 8 located at </w:t>
      </w:r>
      <w:hyperlink r:id="rId360">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credit for solids removal is given in accordance with subparagraph </w:t>
      </w:r>
      <w:hyperlink r:id="rId361">
        <w:r>
          <w:rPr>
            <w:rStyle w:val="Hyperlink"/>
            <w:rFonts w:ascii="Times New Roman" w:hAnsi="Times New Roman"/>
            <w:b w:val="false"/>
            <w:i w:val="false"/>
            <w:color w:val="000000"/>
            <w:sz w:val="22"/>
          </w:rPr>
          <w:t>65.108(9)</w:t>
        </w:r>
      </w:hyperlink>
      <w:r>
        <w:rPr>
          <w:rFonts w:ascii="Times New Roman" w:hAnsi="Times New Roman"/>
          <w:b w:val="false"/>
          <w:i/>
          <w:color w:val="000000"/>
          <w:sz w:val="22"/>
        </w:rPr>
        <w:t>“b”</w:t>
      </w:r>
      <w:r>
        <w:rPr>
          <w:rFonts w:ascii="Times New Roman" w:hAnsi="Times New Roman"/>
          <w:b w:val="false"/>
          <w:i w:val="false"/>
          <w:color w:val="000000"/>
          <w:sz w:val="22"/>
        </w:rPr>
        <w:t>(3) above, the credit for qualified aeration shall still be given. The applicant shall submit evidence of the five-day biochemical oxygen demand (BOD5) of the manure after the solids removal so that the aeration credit can be calculated based on an adjustment rate of 0.5 pound for each pound of solids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American Society of Agricultural and Biological Engineers standards, “Manure Production and Characteristics,” D384.2, effective March 2005, or Midwest Plan Service-18, Table 2-1, effective January 2004, shall be used in determining the BOD5 production and volatile solid production of various animal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of the dilution water discharged to the anaerobic lagoon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sulfate concentration of the dilution water to be discharged to the anaerobic lagoon shall be identified. The sulfate concentration shall be determined by standard methods as defined in rule </w:t>
      </w:r>
      <w:hyperlink r:id="rId362">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water supplies shall be provided to prove that adequate water is available for dilution. It is recommended that, if the sulfate concentration exceeds 250 mg/l, then an alternate supply of water for dilution should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Initial lagoon loading. </w:t>
      </w:r>
      <w:r>
        <w:rPr>
          <w:rFonts w:ascii="Times New Roman" w:hAnsi="Times New Roman"/>
          <w:b w:val="false"/>
          <w:i w:val="false"/>
          <w:color w:val="000000"/>
          <w:sz w:val="22"/>
        </w:rPr>
        <w:t>Prior to the discharge of any manure to the anaerobic lagoon, the lagoon shall be filled to a minimum of 50 percent of its minimum stabilization volume with fresh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Lagoon manure and water management during operation. </w:t>
      </w:r>
      <w:r>
        <w:rPr>
          <w:rFonts w:ascii="Times New Roman" w:hAnsi="Times New Roman"/>
          <w:b w:val="false"/>
          <w:i w:val="false"/>
          <w:color w:val="000000"/>
          <w:sz w:val="22"/>
        </w:rPr>
        <w:t>Following initial loading, the manure and water content of the anaerobic lagoon shall be managed according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single-cell lagoons or multicell lagoons without a site-specific lagoon operation plan. The total volume of fresh water for dilution added to the lagoon annually shall equal one-half the minimum stabilization volume. At all times, the amount of fresh water added to the lagoon shall equal or exceed the amount of manure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two- or three-cell anaerobic lagoon. The manure and water content of the anaerobic lagoon may be managed in accordance with a site-specific lagoon operation plan approved by the department. The lagoon operation plan must describe in detail the operational procedures and monitoring program to be followed to ensure proper operation of the lagoon. Operational procedures shall include identifying the amounts and frequencies of planned additions of manure, fresh water and recycle water, and amount and frequencies of planned removal of solids and liquids. Monitoring information shall include locations and intervals of sampling, specific tests to be performed, and test parameter values used to indicate proper lagoon operation. As a minimum, annual sampling and testing of the first lagoon cell for electrical conductivity and either chemical oxygen demand (COD) or total ammonia (NH3 + NH4)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Manure removal. </w:t>
      </w:r>
      <w:r>
        <w:rPr>
          <w:rFonts w:ascii="Times New Roman" w:hAnsi="Times New Roman"/>
          <w:b w:val="false"/>
          <w:i w:val="false"/>
          <w:color w:val="000000"/>
          <w:sz w:val="22"/>
        </w:rPr>
        <w:t>If the anaerobic lagoon is to be dewatered once a year, manure should be removed to approximate the annual manure volume generated plus the dilution water used. If the anaerobic lagoon is to be dewatered more frequently, the anaerobic lagoon liquid level should be managed to maintain adequate freeboard.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65.108(10)</w:t>
      </w:r>
      <w:r>
        <w:rPr>
          <w:rFonts w:ascii="Times New Roman" w:hAnsi="Times New Roman"/>
          <w:b w:val="false"/>
          <w:i w:val="false"/>
          <w:color w:val="000000"/>
          <w:sz w:val="22"/>
        </w:rPr>
        <w:t> </w:t>
      </w:r>
      <w:r>
        <w:rPr>
          <w:rFonts w:ascii="Times New Roman" w:hAnsi="Times New Roman"/>
          <w:b w:val="false"/>
          <w:i/>
          <w:color w:val="000000"/>
          <w:sz w:val="22"/>
        </w:rPr>
        <w:t xml:space="preserve">Concrete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formed manure storage structure that is constructed of concrete on or after March 24, 2004, and that is part of a confinement feeding operation other than a SAFO shall meet the following minimum design and concrete standards and be designed by either of the two methods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of a formed manure storage structure prepared and sealed by a PE or an NRCS engineer shall be in accordance with the American Concrete Institute (ACI) Building Code ACI 318-19, effective May 3, 2019, ACI 360R-10, effective April 2010, or ACI 350-20, effective November 6, 2020; Portland Cement Association (PCA) publication EB075, effective April 19, 2021, or PCA EB001.16, effective September 2016; or Midwest Plan Service (MWPS) publication MWPS-36 2nd Edition, effective 2005, or MWPS TR-9, effective 1999, and shall also meet the minimum design and concrete standards in paragraph </w:t>
      </w:r>
      <w:hyperlink r:id="rId363">
        <w:r>
          <w:rPr>
            <w:rStyle w:val="Hyperlink"/>
            <w:rFonts w:ascii="Times New Roman" w:hAnsi="Times New Roman"/>
            <w:b w:val="false"/>
            <w:i w:val="false"/>
            <w:color w:val="000000"/>
            <w:sz w:val="22"/>
          </w:rPr>
          <w:t>65.108(10)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formed manure storage structure is not designed by a PE or NRCS engineer, the design and specifications shall be in conformance with MWPS-36 2nd Edition (for a belowground rectangular tank), with MWPS TR-9 (for a circular tank) or in accordance with Appendix C located at </w:t>
      </w:r>
      <w:hyperlink r:id="rId364">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(for a belowground, laterally braced rectangular tank). A formed manure storage structure with a depth greater than 12 feet shall be designed by a PE or NRCS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Formed manure storage structures used to store liquid manure, dry manure or dry bedded manure shall meet all of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concrete shall have the following minimum as-placed compressive strengths and shall meet American Society for Testing and Materials (ASTM) standard ASTM C 94-18, effective December 15,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4,000 pounds per square inch (psi) for walls, floors, beams, columns and pumpouts;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3,000 psi for the footings.</w:t>
      </w:r>
    </w:p>
    <w:p>
      <w:pPr>
        <w:spacing w:before="0" w:after="0"/>
        <w:ind w:left="120"/>
        <w:jc w:val="both"/>
      </w:pPr>
      <w:r>
        <w:rPr>
          <w:rFonts w:ascii="Times New Roman" w:hAnsi="Times New Roman"/>
          <w:b w:val="false"/>
          <w:i w:val="false"/>
          <w:color w:val="000000"/>
          <w:sz w:val="22"/>
        </w:rPr>
        <w:t>The average concrete strength by testing shall not be below design strength. No single test result shall be more than 500 psi less than the minimum compressive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Cementitious materials shall consist of Portland cement conforming to ASTM C 150, effective July 1, 2022. Aggregates shall conform to ASTM C 33-18, effective March 15, 2018. Blended cements in conformance with ASTM C 595, effective December 15, 2008, are allowed only for concrete placed between March 15 and October 15. Portland-pozzolan cement or Portland blast furnace slag blended cements shall contain at least 75 percent, by mass, of Portland 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concrete placed for walls shall be consolidated or vibrated, by manual or mechanical means, or a combination, in a manner that meets ACI 309R, effective January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steel rebar used shall be a minimum of grade 40 steel. All rebar, with the exception of rebar dowels connecting the walls to the floor or footings, shall be secured and tied in place prior to the placing of concrete.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Waterstops shall be installed in all areas where fresh concrete meets hardened concrete. Waterstops shall be made of plastic, rolled bentonite or similar materials approved by the department. Only embedded waterstops are allowed in vertical joints. Adhesive or self-sticking waterstops shall not be used on vertical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finished subgrade of a formed manure storage structure shall be graded and compacted to provide a uniform and level base and shall be free of vegetation, manure and debris. For the purpose of this subrule, “uniform” means a finished subgrade with similar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groundwater table, as determined in paragraph </w:t>
      </w:r>
      <w:hyperlink r:id="rId365">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“c”</w:t>
      </w:r>
      <w:r>
        <w:rPr>
          <w:rFonts w:ascii="Times New Roman" w:hAnsi="Times New Roman"/>
          <w:b w:val="false"/>
          <w:i w:val="false"/>
          <w:color w:val="000000"/>
          <w:sz w:val="22"/>
        </w:rPr>
        <w:t xml:space="preserve"> is above the bottom of the formed manure storage structure, a drain tile shall be installed along the footings to artificially lower the groundwater table pursuant to paragraph </w:t>
      </w:r>
      <w:hyperlink r:id="rId366">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drain tile shall be placed within three feet of the footings as indicated in Appendix C, Figure C-1, located at </w:t>
      </w:r>
      <w:hyperlink r:id="rId367">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and shall be covered with a minimum of two inches of gravel, granular material, fabric or a combination of these materials to prevent plugging the drain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floor slabs shall be a minimum of five inches thick and have minimum primary reinforcement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Grade 40 #4 steel rebar, placed at a maximum of 18 inches on center each way in a single mat. Floor slab reinforcement shall be located in the middle of the thickness of the floor slab.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fiber-reinforced polymer (GFRP) rebar, fiber-reinforced polymer (FRP) rebar or composite rebar may be used in floor slabs only and shall conform to ACI 440.11.22, effective September 2, 2022, and Table 3 of ASTM 7957, effective February 1, 2022. Supporting documentation shall be submitted for nonsteel rebar demonstrating the equivalency to #4 steel rebar at 18 inches on center each way. GFRP rebar shall not be manufactured using a polyester-based resin system per ASTM D7957 and shall meet the additional following ASTM D7957 parameters: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Mean Tensile Modulus of Elasticity......&gt;6,500,000 psi (44,800 MPa)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Guaranteed Bond Strength.....................&gt;1,100 psi (7.6 MPa)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Fiber-reinforced concrete (FRC) may be used in floor slabs only and shall conform to the requirements of ASTM C1116/C1116M Type I (steel FRC) and Type III (synthetic FRC), effective September 1, 2023. FRC shall provide a minimum average equivalent strength ratio (Re3) of 30 percent when tested in accordance with ASTM C1812/1812M, effective December 15,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Fiber mesh shall not be substituted for primary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Nondestructive methods to verify the floor slab thickness may be required by the department. The results shall indicate that at least 95 percent of the floor slab area meets the minimum required thickness. In no case shall the floor slab thickness be less than four and one-half inches.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footing or the area where the floor comes in contact with the walls and columns shall have a thickness equal to the wall thickness, but in no case be less than eight inches, and the width shall be at least twice the thickness of the footing. All exterior walls shall have footings below the frostline. Tolerances shall not exceed negative one-half inch of the minimum footing dimensions.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vertical steel of all walls shall be extended into the footing and be bent at 90° or a separate dowel shall be installed as a #4 rebar that is bent at 90° with at least 20 inches of rebar in the wall and extended into the footing within 3 inches of the bottom of the footing and extended at least 3 inches horizontally, as indicated in Appendix C, Figure C-1, located at </w:t>
      </w:r>
      <w:hyperlink r:id="rId368">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As an alternative to the 90° bend, the dowel may be extended at least 12 inches into the footing, with a minimum concrete cover of 3 inches at the bottom. Dowel spacing (bend or extended) shall be the same as the spacing for the vertical rebar. In lieu of dowels, mechanical means or alternate methods may be used as anchorage of interior walls to footings.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footings, slabs, and walls shall be formed with rigid forming systems and shall not be earth-formed. Form ties shall be nonremovable to provide a liquid-tight structure. No conduits or pipes shall be installed through an outside wall below the maximum liquid level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wall reinforcement shall be placed so as to have a rebar cover of two inches from the inside face of the wall for a belowground manure storage structure. Vertical wall reinforcement should be placed closest to the inside face. Rebar placement shall not exceed tolerances specified in ACI 318-19.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construction joints in exterior walls shall be constructed to prevent discontinuity of steel and have properly spliced rebar placed through the joint.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All concrete shall be cured for at least seven days after placing, in a manner which meets ACI 308R-16, effective May 2016, by maintaining adequate moisture or preventing evaporation. Proper curing shall be done by ponding, spraying or fogging water; by using a curing compound that meets ASTM C 309, effective August 22, 2019; or by using wet burlap, plastic sheets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Backfilling of the walls shall not start until the floor slats or permanent bracing has been installed and grouted. Backfilling shall be performed with material free of vegetation, large rocks or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If air temperature is below 40 degrees Fahrenheit, the ACI Standard 306R-16, “Recommended Practice for Cold Weather Concreting,” effective September 2016, should be followed. If ready-mix concrete temperature is above 90 degrees Fahrenheit, the ACI Standard 305R-20, “Recommended Practice for Hot Weather Concreting,” effective date September 2020, should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Formed manure storage structures constructed of steel or pre-cast concrete shall be designed by a PE and certified by the PE and the manufacturer’s representative that the structure was built in accordance with the manufacturer’s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65.108(11)</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barriers for manure storage structures. </w:t>
      </w:r>
      <w:r>
        <w:rPr>
          <w:rFonts w:ascii="Times New Roman" w:hAnsi="Times New Roman"/>
          <w:b w:val="false"/>
          <w:i w:val="false"/>
          <w:color w:val="000000"/>
          <w:sz w:val="22"/>
        </w:rPr>
        <w:t xml:space="preserve">Secondary containment barriers used to qualify any confinement feeding operation for the exemption provision in subrule </w:t>
      </w:r>
      <w:hyperlink r:id="rId369">
        <w:r>
          <w:rPr>
            <w:rStyle w:val="Hyperlink"/>
            <w:rFonts w:ascii="Times New Roman" w:hAnsi="Times New Roman"/>
            <w:b w:val="false"/>
            <w:i w:val="false"/>
            <w:color w:val="000000"/>
            <w:sz w:val="22"/>
          </w:rPr>
          <w:t>65.107(7)</w:t>
        </w:r>
      </w:hyperlink>
      <w:r>
        <w:rPr>
          <w:rFonts w:ascii="Times New Roman" w:hAnsi="Times New Roman"/>
          <w:b w:val="false"/>
          <w:i w:val="false"/>
          <w:color w:val="000000"/>
          <w:sz w:val="22"/>
        </w:rPr>
        <w:t xml:space="preserve"> shall be filed with the department according to subrule </w:t>
      </w:r>
      <w:hyperlink r:id="rId370">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shall meet the following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secondary containment barrier shall consist of a structure surrounding or downslope of a manure storage structure and shall be designed according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manure storage structure is used to store liquid or semiliquid manure, the secondary containment barrier shall be designed to contain 120 percent of the volume of manure stored above the manure storage structure’s final grade or 50 percent of the volume of manure stored belowground or partially belowground, whichever is greater. Engineering drawings prepared by a PE licensed in Iowa or an NRCS-qualified staff person must be submitted according to procedures set forth in subrule </w:t>
      </w:r>
      <w:hyperlink r:id="rId371">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must show compliance with subrule </w:t>
      </w:r>
      <w:hyperlink r:id="rId372">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If the containment barrier does not surround the manure storage structure, upland drainage must be diverted. For purposes of this subrule only, semiliquid manure means manure that contains a percentage of dry matter that results in manure too solid for pumping but too liquid for stacking.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manure storage structure is used for the storage of only dry manure or dry bedded manure, the secondary containment barrier shall be designed to contain at least 10 percent of the volume of manure stored. Detailed drawings prepared by the owner or a representative must be submitted according to procedures set forth in subrule </w:t>
      </w:r>
      <w:hyperlink r:id="rId373">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must show compliance with subrule </w:t>
      </w:r>
      <w:hyperlink r:id="rId374">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 If the containment barrier does not surround the manure storage structure, upland drainage must be diverted. Any dry manure retained by the secondary containment barrier shall be removed and properly disposed of within 14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barrier may be constructed of earth, concrete, or a combination of both. If a relief outlet or valve is installed, the relief outlet or valve shall remain closed. Any accumulated liquid due to an overflow shall be land-applied as stated in the operation’s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base shall slope to a collecting area where storm water can be pumped out. If storm water is contaminated with manure, it shall be land-applied at normal fertilizer application rates in compliance with rule </w:t>
      </w:r>
      <w:hyperlink r:id="rId375">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Secondary containment barriers constructed entirely or partially of earth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soil surface, including dike, shall be constructed to prevent downward water movement at rates greater than 1 × 10-6 cm/sec and shall be maintained to prevent downward water movement at rates greater than 1 × 10-5 cm/sec.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Dikes shall not be steeper than 45 degrees and shall be protected against erosion. If the slope is 19 degrees or less, grass can be sufficient protection, provided it does not interfere with the required soil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top width of the dike shall be no less than three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Secondary containment barriers constructed of concrete shall be watertight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of the containment structure shall be designed to support the manure storage structure and its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concrete shall be routinely inspected for cracks, which shall be repaired with a suitable sealant.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shall be stored within a secondary containment barrier, including but not limited to machinery or feedstock.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65.108(12)</w:t>
      </w:r>
      <w:r>
        <w:rPr>
          <w:rFonts w:ascii="Times New Roman" w:hAnsi="Times New Roman"/>
          <w:b w:val="false"/>
          <w:i w:val="false"/>
          <w:color w:val="000000"/>
          <w:sz w:val="22"/>
        </w:rPr>
        <w:t> </w:t>
      </w:r>
      <w:r>
        <w:rPr>
          <w:rFonts w:ascii="Times New Roman" w:hAnsi="Times New Roman"/>
          <w:b w:val="false"/>
          <w:i/>
          <w:color w:val="000000"/>
          <w:sz w:val="22"/>
        </w:rPr>
        <w:t xml:space="preserve">Human sanitary waste. </w:t>
      </w:r>
      <w:r>
        <w:rPr>
          <w:rFonts w:ascii="Times New Roman" w:hAnsi="Times New Roman"/>
          <w:b w:val="false"/>
          <w:i w:val="false"/>
          <w:color w:val="000000"/>
          <w:sz w:val="22"/>
        </w:rPr>
        <w:t>Human sanitary waste shall not be discharged to a manure storage structure or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qualified operations. </w:t>
      </w:r>
      <w:r>
        <w:rPr>
          <w:rFonts w:ascii="Times New Roman" w:hAnsi="Times New Roman"/>
          <w:b w:val="false"/>
          <w:i w:val="false"/>
          <w:color w:val="000000"/>
          <w:sz w:val="22"/>
        </w:rPr>
        <w:t>A confinement feeding operation that meets the definition of a qualified operation shall only use an aerobic structure for manure storage and treatment. This requirement does not apply to the following types of confinement feeding operations: (1) one that only handles dry manure; (2) an egg washwater storage structure; (3) a confinement feeding operation that was constructed before May 31, 1995, and does not expand; or (4) a confinement feeding operation that processes manure using an anaerobic digester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65.108(14)</w:t>
      </w:r>
      <w:r>
        <w:rPr>
          <w:rFonts w:ascii="Times New Roman" w:hAnsi="Times New Roman"/>
          <w:b w:val="false"/>
          <w:i w:val="false"/>
          <w:color w:val="000000"/>
          <w:sz w:val="22"/>
        </w:rPr>
        <w:t> </w:t>
      </w:r>
      <w:r>
        <w:rPr>
          <w:rFonts w:ascii="Times New Roman" w:hAnsi="Times New Roman"/>
          <w:b w:val="false"/>
          <w:i/>
          <w:color w:val="000000"/>
          <w:sz w:val="22"/>
        </w:rPr>
        <w:t xml:space="preserve">Aboveground formed manure storage structures with external outlet or inlet below the liquid level. </w:t>
      </w:r>
      <w:r>
        <w:rPr>
          <w:rFonts w:ascii="Times New Roman" w:hAnsi="Times New Roman"/>
          <w:b w:val="false"/>
          <w:i w:val="false"/>
          <w:color w:val="000000"/>
          <w:sz w:val="22"/>
        </w:rPr>
        <w:t>A formed manure storage structure that is constructed to allow the storage of manure wholly or partially above ground and that has an external outlet or inlet below the liquid level shall have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or more shutoff valves on any external outlet or inlet below the liquid level. At least one shutoff valve shall be located inside the structure and be operable if the external valve becomes inoperable or broken off. Alternative options may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external outlets or inlets below the liquid level shall be barricaded, encased in concrete, or otherwise protected to minimize accidental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shall comply with the manufacturer’s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plan for retaining manure at the site and cleanup if the manure storage structure fails or there is any other type of accidental discharge. The plan shall consist of telephone numbers to comply with subrule </w:t>
      </w:r>
      <w:hyperlink r:id="rId376">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and a list of contractors, equipment, equipment technical support, and alternative manure storage or land application sites that can be used during inclement weather.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567—65.109</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Construction certification. </w:t>
      </w:r>
      <w:r>
        <w:rPr>
          <w:rFonts w:ascii="Times New Roman" w:hAnsi="Times New Roman"/>
          <w:b w:val="false"/>
          <w:i w:val="false"/>
          <w:color w:val="000000"/>
          <w:sz w:val="22"/>
        </w:rPr>
        <w:t>A confinement feeding operation that obtains a construction permit after March 20, 1996, shall submit to the department a construction certification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65.109(1)</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is below the threshold requirements for an engineer prior to using a permitted confinement feeding operation structure, the person responsible for constructing a formed manure storage structure or the permittee shall submit to the department a construction certification, as specified in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65.109(2)</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uses an unformed manure storage structure or an egg washwater storage structure, or an operation that meets or exceeds the threshold requirements for an engineer, a certification from a licensed PE that the confinement feeding operation structure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Constructed in accordance with the design plan. Any changes to the approved plans must first be authorized by the department and must include a certification that the proposed changes are consistent with the standards of these rules or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Supervised by the licensed PE or a designee of the PE during critical points of the construction. A designee shall not be the permittee, the owner of the confinement feeding operation, a direct employee of the permittee or owner, or the contractor or an employee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Inspected by the licensed PE after completion of construction and before commencement of operation;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Constructed in accordance with the drainage tile removal standards of subrule </w:t>
      </w:r>
      <w:hyperlink r:id="rId377">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 xml:space="preserve"> and including a report of the findings and actions taken to comply with subrule </w:t>
      </w:r>
      <w:hyperlink r:id="rId378">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567—65.110</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Manure management plan (MMP)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79">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the following persons are required to submit MMPs to the department, including an original MMP and an updated MMP,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construction permit for a confinement feeding operation. However, an MMP shall not be required of an applicant for an egg washwater storage structure or for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 confinement feeding operation, other than a SAFO, if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was constructed or expanded after May 31, 1985, regardless of whether the confinement feeding operation structure was required to have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constructs a manure storage structure, regardless of whether the person is required to be issued a permit for the construction pursuant to Iowa Code section </w:t>
      </w:r>
      <w:hyperlink r:id="rId380">
        <w:r>
          <w:rPr>
            <w:rStyle w:val="Hyperlink"/>
            <w:rFonts w:ascii="Times New Roman" w:hAnsi="Times New Roman"/>
            <w:b w:val="false"/>
            <w:i w:val="false"/>
            <w:color w:val="000000"/>
            <w:sz w:val="22"/>
          </w:rPr>
          <w:t>459.303</w:t>
        </w:r>
      </w:hyperlink>
      <w:r>
        <w:rPr>
          <w:rFonts w:ascii="Times New Roman" w:hAnsi="Times New Roman"/>
          <w:b w:val="false"/>
          <w:i w:val="false"/>
          <w:color w:val="000000"/>
          <w:sz w:val="22"/>
        </w:rPr>
        <w:t xml:space="preserve"> or whether the person has submitted a prior MMP. If the new manure storage structure does not result in an increase in manure volume for the confinement feeding operation and there is no change in animal category for determining animal units, then a new MMP is not required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applies manure in Iowa that was produced in a confinement feeding operation, other than a small operation,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new owner of a confinement feeding operation may apply manure under the most recent owner’s MMP until the new owner develops and submits an original MMP. The new owner must develop and submit an original MMP within 60 days after acquiring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research college is exempt from this subrule and the MMP requirements of rule </w:t>
      </w:r>
      <w:hyperlink r:id="rId381">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(455B,459,459B) for research activities and experiments performed under the authority of the research college and related to confinement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AFO otherwise required to submit an updated MMP and pay an annual compliance fee may make an election to be considered a SAFO for purposes of filing updated MMPs and annual compliance fees if the confinement feeding operation maintains an animal unit capacity of 500 or fewer animal units. The election shall automatically terminate when more than 500 animal units are housed at the confinement feeding operation at any one time. If the confinement feeding operation exceeds more than 500 animal units, an MMP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proposed confinement feeding operation who is not required to obtain a construction permit pursuant to subrule </w:t>
      </w:r>
      <w:hyperlink r:id="rId382">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but who is required to file an MMP pursuant to paragraph </w:t>
      </w:r>
      <w:hyperlink r:id="rId383">
        <w:r>
          <w:rPr>
            <w:rStyle w:val="Hyperlink"/>
            <w:rFonts w:ascii="Times New Roman" w:hAnsi="Times New Roman"/>
            <w:b w:val="false"/>
            <w:i w:val="false"/>
            <w:color w:val="000000"/>
            <w:sz w:val="22"/>
          </w:rPr>
          <w:t>65.110(1)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file a construction design statement and provide the information required in subrule </w:t>
      </w:r>
      <w:hyperlink r:id="rId384">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including the confinement feeding operation’s MMP, to the department at least 30 days before the construction of an AFO structure begins, as defined in subrules </w:t>
      </w:r>
      <w:hyperlink r:id="rId385">
        <w:r>
          <w:rPr>
            <w:rStyle w:val="Hyperlink"/>
            <w:rFonts w:ascii="Times New Roman" w:hAnsi="Times New Roman"/>
            <w:b w:val="false"/>
            <w:i w:val="false"/>
            <w:color w:val="000000"/>
            <w:sz w:val="22"/>
          </w:rPr>
          <w:t>65.6(1)</w:t>
        </w:r>
      </w:hyperlink>
      <w:r>
        <w:rPr>
          <w:rFonts w:ascii="Times New Roman" w:hAnsi="Times New Roman"/>
          <w:b w:val="false"/>
          <w:i w:val="false"/>
          <w:color w:val="000000"/>
          <w:sz w:val="22"/>
        </w:rPr>
        <w:t xml:space="preserve"> and </w:t>
      </w:r>
      <w:hyperlink r:id="rId386">
        <w:r>
          <w:rPr>
            <w:rStyle w:val="Hyperlink"/>
            <w:rFonts w:ascii="Times New Roman" w:hAnsi="Times New Roman"/>
            <w:b w:val="false"/>
            <w:i w:val="false"/>
            <w:color w:val="000000"/>
            <w:sz w:val="22"/>
          </w:rPr>
          <w:t>65.6(2)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65.110(3)</w:t>
      </w:r>
      <w:r>
        <w:rPr>
          <w:rFonts w:ascii="Times New Roman" w:hAnsi="Times New Roman"/>
          <w:b w:val="false"/>
          <w:i w:val="false"/>
          <w:color w:val="000000"/>
          <w:sz w:val="22"/>
        </w:rPr>
        <w:t> </w:t>
      </w:r>
      <w:r>
        <w:rPr>
          <w:rFonts w:ascii="Times New Roman" w:hAnsi="Times New Roman"/>
          <w:b w:val="false"/>
          <w:i w:val="false"/>
          <w:color w:val="000000"/>
          <w:sz w:val="22"/>
        </w:rPr>
        <w:t>Scope of MMP; updated plans; annual compliance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confinement feeding operation required to submit an MMP shall be covered by a separate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 confinement feeding operation who is required to submit an MMP under this rule shall submit an updated MMP on an annual basis to the department. The updated MMP may be submitted by hard copy or by electronic submittal. The updated plan must reflect all amendments made during the period of time since the previous MMP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plan is submitted by hard copy, the submittal process shall be as follows: The owner of the AFO shall also submit the updated MMP on an annual basis to the board of supervisors of each county where the confinement feeding operation is located and to the board of supervisors of each county where manure from the confinement feeding operation is land-applied. If the owner of the AFO has not previously submitted an MMP to the board of supervisors of each county where the confinement feeding operation is located and each county where manure is land-applied, the owner must submit a complete MMP to each required county. The county auditor or other county official or employee designated by the county board of supervisors may accept the updated plan on behalf of the board. The updated plan shall include documentation that the county board of supervisors or other designated county official or employee received the MMP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plan is submitted electronically, the submittal process shall be as follows: The owner of the AFO shall submit the updated MMP to the department through the department’s electronic web application. Once the submittal has been completed, the department shall provide electronic access of the updated MMP to the board of supervisors of each county where the confinement feeding operation is located and each county where manure is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stagger the dates by which the updated MMPs are due and will notify each confinement feeding operation owner of the date on which the updated MMP is due. To satisfy the requirements of an updated MMP, an owner of a confinement feeding operation must submit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department-approved document stating that the MMP submitted in the prior year has not changed;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department-approved document listing all the changes made since the previous MMP was submitted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annual compliance fee of $0.15 per animal unit at the AFO shall accompany an annual MMP update submitted to the department for approval. The annual compliance fee is based on the animal unit capacity of the confinement feeding operation stated in the updated annual MMP submission. If the person submitting the MMP is a contract producer, as provided in Iowa Code chapter </w:t>
      </w:r>
      <w:hyperlink r:id="rId387">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the active contractor shall pay the annual compliance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review and approve or disapprove all complete MMPs within 60 days of the date they are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65.110(5)</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shall not be removed from a manure storage structure which is part of a confinement feeding operation required to submit an MMP until the department has approved the plan. Manure shall be applied in compliance with rule </w:t>
      </w:r>
      <w:hyperlink r:id="rId388">
        <w:r>
          <w:rPr>
            <w:rStyle w:val="Hyperlink"/>
            <w:rFonts w:ascii="Times New Roman" w:hAnsi="Times New Roman"/>
            <w:b w:val="false"/>
            <w:i w:val="false"/>
            <w:color w:val="000000"/>
            <w:sz w:val="22"/>
          </w:rPr>
          <w:t>567—65.100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65.110(6)</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storage indemnity fee. All persons required to submit an MMP to the department shall also pay to the department an indemnity fee as required in Iowa Code section </w:t>
      </w:r>
      <w:hyperlink r:id="rId389">
        <w:r>
          <w:rPr>
            <w:rStyle w:val="Hyperlink"/>
            <w:rFonts w:ascii="Times New Roman" w:hAnsi="Times New Roman"/>
            <w:b w:val="false"/>
            <w:i w:val="false"/>
            <w:color w:val="000000"/>
            <w:sz w:val="22"/>
          </w:rPr>
          <w:t>459.503</w:t>
        </w:r>
      </w:hyperlink>
      <w:r>
        <w:rPr>
          <w:rFonts w:ascii="Times New Roman" w:hAnsi="Times New Roman"/>
          <w:b w:val="false"/>
          <w:i w:val="false"/>
          <w:color w:val="000000"/>
          <w:sz w:val="22"/>
        </w:rPr>
        <w:t xml:space="preserve"> except those operations constructed prior to May 31, 1995, which were not required to obtain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65.110(7)</w:t>
      </w:r>
      <w:r>
        <w:rPr>
          <w:rFonts w:ascii="Times New Roman" w:hAnsi="Times New Roman"/>
          <w:b w:val="false"/>
          <w:i w:val="false"/>
          <w:color w:val="000000"/>
          <w:sz w:val="22"/>
        </w:rPr>
        <w:t> </w:t>
      </w:r>
      <w:r>
        <w:rPr>
          <w:rFonts w:ascii="Times New Roman" w:hAnsi="Times New Roman"/>
          <w:b w:val="false"/>
          <w:i w:val="false"/>
          <w:color w:val="000000"/>
          <w:sz w:val="22"/>
        </w:rPr>
        <w:t>Filing fee. Any person submitting an original MMP must also pay to the department an MMP filing fee of $250. This fee shall be included with each original MMP being submitted. If the confinement feeding operation is required to obtain a construction permit and to submit an original MMP as part of the construction permit requirements, the applicant must pay the MMP filing fee together with the construction permit application fee, which total $500.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567—65.111</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MMP content requirements. </w:t>
      </w:r>
      <w:r>
        <w:rPr>
          <w:rFonts w:ascii="Times New Roman" w:hAnsi="Times New Roman"/>
          <w:b w:val="false"/>
          <w:i w:val="false"/>
          <w:color w:val="000000"/>
          <w:sz w:val="22"/>
        </w:rPr>
        <w:t xml:space="preserve">All MMPs are to be submitted on forms or electronically as prescribed by the department. The plans shall include all of the information specified in Iowa Code section </w:t>
      </w:r>
      <w:hyperlink r:id="rId390">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xml:space="preserve"> and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that is required to submit an MMP to the department shall not apply manure in excess of the nitrogen use levels necessary to obtain optimum crop yields. A confinement feeding operation shall not apply manure in excess of the rates determined in conjunction with the phosphorus index. Information to complete the required calculations may be obtained from the tables in this chapter, actual testing samples or from other credible sources reviewed and approved by the department including but not limited to Iowa State University, the United States Department of Agriculture (USDA), a licensed PE, or an individual certified as a crop consultant under the American Registry of Certified Professionals in Agronomy, Crops, and Soils program, the Certified Crop Advisors program, or the Registry of Environmental and Agricultural Professionals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MMPs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owner and the name of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confinement feeding operation identified by county, township, section, ¼ section and, if available, the 911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of the confinement feeding operation and, if applicable, the animal weight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submits an MMP shall include a phosphorus index as part of the MMP as required in subrule </w:t>
      </w:r>
      <w:hyperlink r:id="rId391">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owner of a confinement feeding operation may apply manure under the most recent owner’s MMP until the new owner develops and submits an original MMP. The new owner must develop and submit an original MMP within 60 days after acquiring the confinement feeding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research college is exempt from this subrule for research activities and experiments performed under the authority of the research college and related to confinement feeding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65.111(2)</w:t>
      </w:r>
      <w:r>
        <w:rPr>
          <w:rFonts w:ascii="Times New Roman" w:hAnsi="Times New Roman"/>
          <w:b w:val="false"/>
          <w:i w:val="false"/>
          <w:color w:val="000000"/>
          <w:sz w:val="22"/>
        </w:rPr>
        <w:t> </w:t>
      </w:r>
      <w:r>
        <w:rPr>
          <w:rFonts w:ascii="Times New Roman" w:hAnsi="Times New Roman"/>
          <w:b w:val="false"/>
          <w:i/>
          <w:color w:val="000000"/>
          <w:sz w:val="22"/>
        </w:rPr>
        <w:t xml:space="preserve">MMP contents. </w:t>
      </w:r>
      <w:r>
        <w:rPr>
          <w:rFonts w:ascii="Times New Roman" w:hAnsi="Times New Roman"/>
          <w:b w:val="false"/>
          <w:i w:val="false"/>
          <w:color w:val="000000"/>
          <w:sz w:val="22"/>
        </w:rPr>
        <w:t>Confinement feeding operations that will not sell all of their manure shall submit the following for that portion of the manure which will not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owner and the name of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confinement feeding operation identified by county, township, section, ¼ section and, if available, the 911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estimate of the nitrogen and phosphorus concentration of the manure and estimate of annual manure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based on regulations in subrule </w:t>
      </w:r>
      <w:hyperlink r:id="rId392">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of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loss calculations using methods specified for Iowa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phosphorus index of each field in the MMP, as defined in paragraph </w:t>
      </w:r>
      <w:hyperlink r:id="rId393">
        <w:r>
          <w:rPr>
            <w:rStyle w:val="Hyperlink"/>
            <w:rFonts w:ascii="Times New Roman" w:hAnsi="Times New Roman"/>
            <w:b w:val="false"/>
            <w:i w:val="false"/>
            <w:color w:val="000000"/>
            <w:sz w:val="22"/>
          </w:rPr>
          <w:t>65.111(12)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the factors used in the calculation. A copy of the NRCS phosphorus index detailed report shall satisfy the requirement to include the factors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65.111(3)</w:t>
      </w:r>
      <w:r>
        <w:rPr>
          <w:rFonts w:ascii="Times New Roman" w:hAnsi="Times New Roman"/>
          <w:b w:val="false"/>
          <w:i w:val="false"/>
          <w:color w:val="000000"/>
          <w:sz w:val="22"/>
        </w:rPr>
        <w:t> </w:t>
      </w:r>
      <w:r>
        <w:rPr>
          <w:rFonts w:ascii="Times New Roman" w:hAnsi="Times New Roman"/>
          <w:b w:val="false"/>
          <w:i/>
          <w:color w:val="000000"/>
          <w:sz w:val="22"/>
        </w:rPr>
        <w:t xml:space="preserve">Estimate of manure concentration and production. </w:t>
      </w:r>
      <w:r>
        <w:rPr>
          <w:rFonts w:ascii="Times New Roman" w:hAnsi="Times New Roman"/>
          <w:b w:val="false"/>
          <w:i w:val="false"/>
          <w:color w:val="000000"/>
          <w:sz w:val="22"/>
        </w:rPr>
        <w:t>An MMP must include an estimate of nitrogen and phosphorus concentration and an estimate of annual manure production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values in Table 4 located at </w:t>
      </w:r>
      <w:hyperlink r:id="rId394">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other credible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concentration and production values from the operation or a similar operation. If an actual sample is used to represent the nutrient content of manure, the sample shall be taken in accordance with Iowa State University Extension and Outreach publication AE 3550, “How to Sample Manure for Nutrient Analysis.” The department may require documentation of the manure sampling protocol or take a split sample to verify the nutrient content of the operation’s manure. If actual nitrogen and phosphorus are used for concentration in the MMP, actual manure production must also be used. Any sample used to estimate the concentration of manure must be less than four years old.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65.111(4)</w:t>
      </w:r>
      <w:r>
        <w:rPr>
          <w:rFonts w:ascii="Times New Roman" w:hAnsi="Times New Roman"/>
          <w:b w:val="false"/>
          <w:i w:val="false"/>
          <w:color w:val="000000"/>
          <w:sz w:val="22"/>
        </w:rPr>
        <w:t> </w:t>
      </w:r>
      <w:r>
        <w:rPr>
          <w:rFonts w:ascii="Times New Roman" w:hAnsi="Times New Roman"/>
          <w:b w:val="false"/>
          <w:i/>
          <w:color w:val="000000"/>
          <w:sz w:val="22"/>
        </w:rPr>
        <w:t xml:space="preserve">Optimum crop yield and crop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the optimum crop yield, the applicant may either exclude the lowest crop yield for the period of the crop schedule in the determination or allow for a crop yield increase of 10 percent. In using these methods, adjustment to update yield averages to current yield levels may be made if it can be shown that the available yield data is not representative of current yields. The optimum crop yield shall be determined using any of the following methods for the cropland where the manure is to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survey interpretation record. The plan shall include a map showing soil map units for the fields where manure will be applied. The optimum crop yield for each field shall be determined by using the weighted average of the soil interpretation record yields for the soils on the cropland where the manure is to be applied. Soil interpretation records from NRCS shall be used to determine yields based on soil map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USDA county crop yields. The plan shall use the county yield data from the USDA Iowa Agricultural Statistics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Proven yield methods. Proven yield methods may only be used if a minimum of the most recent three years of yield data for the crop is used. These yields can be proven on a field-by-field or farm-by-farm basis. To be considered a farm-by-farm basis, the fields must be owned, rented or leased for crop production by the person required to keep records pursuant to subrule </w:t>
      </w:r>
      <w:hyperlink r:id="rId395">
        <w:r>
          <w:rPr>
            <w:rStyle w:val="Hyperlink"/>
            <w:rFonts w:ascii="Times New Roman" w:hAnsi="Times New Roman"/>
            <w:b w:val="false"/>
            <w:i w:val="false"/>
            <w:color w:val="000000"/>
            <w:sz w:val="22"/>
          </w:rPr>
          <w:t>65.111(8)</w:t>
        </w:r>
      </w:hyperlink>
      <w:r>
        <w:rPr>
          <w:rFonts w:ascii="Times New Roman" w:hAnsi="Times New Roman"/>
          <w:b w:val="false"/>
          <w:i w:val="false"/>
          <w:color w:val="000000"/>
          <w:sz w:val="22"/>
        </w:rPr>
        <w:t xml:space="preserve"> or included in a manure application agreement in that person’s MMP. Crop disaster years may be excluded when there is a 30 percent or more reduction in yield for a particular field or farm from the average yield over the most recent five years. Excluded years shall be replaced by the most recent nondisaster years. Proven yield data used to determine application rates shall be maintained with the current MMP. Any of the following proven yield methods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Proven yields for USDA Farm Service Agency. The plan shall use proven yield data or verified yield data for Farm Service Agency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Proven yields for multiperil crop insurance. Yields established for the purpose of purchasing multiperil crop insurance shall be used as proven yield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Proven yields from other methods. The plan shall use the proven yield data and indicate the method used in determining the proven yield.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Crop schedule. Crop schedules shall include the name and total acres of the planned crop on a field-by-field or farm-by-farm basis where manure application will be made. A map may be used to indicate crop schedules by field or farm. The planned crop schedule shall name the crop(s) planned to be grown for the length of the crop rotation beginning with the crop planned or actually grown during the year this plan is submitted or the first year manure will be applied. The confinement feeding operation owner shall not be penalized for exceeding the nitrogen or phosphorus application rate for an unplanned crop if crop schedules are altered because of weather, farm program changes, market factor changes, or other unforeseeable circumstances. However, the penalty preclusion in the previous sentence does not apply to a confinement feeding operation owner subject to the NPDES permit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65.111(5)</w:t>
      </w:r>
      <w:r>
        <w:rPr>
          <w:rFonts w:ascii="Times New Roman" w:hAnsi="Times New Roman"/>
          <w:b w:val="false"/>
          <w:i w:val="false"/>
          <w:color w:val="000000"/>
          <w:sz w:val="22"/>
        </w:rPr>
        <w:t> </w:t>
      </w:r>
      <w:r>
        <w:rPr>
          <w:rFonts w:ascii="Times New Roman" w:hAnsi="Times New Roman"/>
          <w:b w:val="false"/>
          <w:i/>
          <w:color w:val="000000"/>
          <w:sz w:val="22"/>
        </w:rPr>
        <w:t xml:space="preserve">Location of manure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MMP shall identify each field where the manure will be applied, the number of acres that will be available for the application of manure from the confinement feeding operation, and the basis under which the land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each written agreement executed with the owner of the land where manure will be applied shall be maintained with the current MMP. The written agreement shall indicate the number of acres on which manure from the confinement feeding operation may be applied and the length of the agreement. A written agreement is not required if the land is owned or rented for crop production by the owner of the confinement feeding operation. Owners of dry bedded confinement feeding operations required to have an MMP may execute a written agreement with the landowner or the person renting the land for crop production where the dry bedded manure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65.111(6)</w:t>
      </w:r>
      <w:r>
        <w:rPr>
          <w:rFonts w:ascii="Times New Roman" w:hAnsi="Times New Roman"/>
          <w:b w:val="false"/>
          <w:i w:val="false"/>
          <w:color w:val="000000"/>
          <w:sz w:val="22"/>
        </w:rPr>
        <w:t> </w:t>
      </w:r>
      <w:r>
        <w:rPr>
          <w:rFonts w:ascii="Times New Roman" w:hAnsi="Times New Roman"/>
          <w:b w:val="false"/>
          <w:i/>
          <w:color w:val="000000"/>
          <w:sz w:val="22"/>
        </w:rPr>
        <w:t xml:space="preserve">Soil loss calculations for phosphorus index. </w:t>
      </w:r>
      <w:r>
        <w:rPr>
          <w:rFonts w:ascii="Times New Roman" w:hAnsi="Times New Roman"/>
          <w:b w:val="false"/>
          <w:i w:val="false"/>
          <w:color w:val="000000"/>
          <w:sz w:val="22"/>
        </w:rPr>
        <w:t>The MMP shall indicate for each field in the plan the crop rotation, tillage practices and supporting practices used to calculate sheet and rill erosion for the phosphorus index. A copy of an NRCS RUSLE2 erosion calculation record shall satisfy this requirement. The plan shall also identify the highly erodible cropland where manure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65.111(7)</w:t>
      </w:r>
      <w:r>
        <w:rPr>
          <w:rFonts w:ascii="Times New Roman" w:hAnsi="Times New Roman"/>
          <w:b w:val="false"/>
          <w:i w:val="false"/>
          <w:color w:val="000000"/>
          <w:sz w:val="22"/>
        </w:rPr>
        <w:t> </w:t>
      </w:r>
      <w:r>
        <w:rPr>
          <w:rFonts w:ascii="Times New Roman" w:hAnsi="Times New Roman"/>
          <w:b w:val="false"/>
          <w:i/>
          <w:color w:val="000000"/>
          <w:sz w:val="22"/>
        </w:rPr>
        <w:t xml:space="preserve">Current MMP. </w:t>
      </w:r>
      <w:r>
        <w:rPr>
          <w:rFonts w:ascii="Times New Roman" w:hAnsi="Times New Roman"/>
          <w:b w:val="false"/>
          <w:i w:val="false"/>
          <w:color w:val="000000"/>
          <w:sz w:val="22"/>
        </w:rPr>
        <w:t xml:space="preserve">The owner of a confinement feeding operation who is required to submit an MMP shall maintain a current MMP at the site of the confinement feeding operation or at a residence or office of the owner or operator of the operation within 30 miles of the site. The MMP may be an electronic or hard copy. The MMP should include completed manure sales forms if the manure is sold. If manure management practices change, a person required to submit an MMP shall make appropriate changes consistent with this chapter. If values other than the standard table values are used for MMP calculations, the source of the values used shall be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65.111(8)</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Records shall be maintained by the owner of a confinement feeding operation who is required to submit an MMP. Records shall be maintained for five years following the year of application or for the length of the crop rotation, whichever is greater. Records shall be maintained at the site of the confinement feeding operation or at a residence or office of the owner or operator of the facility within 30 miles of the site. Electronic records are acceptable in lieu of paper records at the facility or the office. Records to demonstrate compliance with the MMP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used to calculate 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Optimum yield for the planned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nitrogen credits and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Remaining crop nitrogen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Nitrogen and phosphorus concentration and first-year nitrogen availability of the manure. If an actual sample is used, documentation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phosphorus-based application rates are used, the following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Crop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Phosphorus removed by crop harvest of that crop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allowable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Actual manure application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of application when manure from the confinement feeding operation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when the manure from the confinement feeding operation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Location of the field where the manure from the confinement feeding operation was applied, including the number of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date(s) and application rate(s) of commercial nitrogen and phosphorus on fields that received manure. However, if the date and application rate information is for fields that are not owned for crop production or that are not rented or leased for crop production by the person required to keep records pursuant to this subrule, an enforcement action for noncompliance with an MMP or the requirements of this subrule shall not be pursued against the person required to keep records pursuant to this subrule or against any other person who relied on the date and application rate in records required to be kept pursuant to this subrule, unless that person knew or should have known that nitrogen or phosphorus would be applied in excess of maximum levels set forth in paragraph </w:t>
      </w:r>
      <w:hyperlink r:id="rId396">
        <w:r>
          <w:rPr>
            <w:rStyle w:val="Hyperlink"/>
            <w:rFonts w:ascii="Times New Roman" w:hAnsi="Times New Roman"/>
            <w:b w:val="false"/>
            <w:i w:val="false"/>
            <w:color w:val="000000"/>
            <w:sz w:val="22"/>
          </w:rPr>
          <w:t>65.111(1)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manure is applied to fields not owned, rented or leased for crop production by the person required to keep records pursuant to this subrule, that person shall obtain from the person who owns, rents or leases those fields a statement specifying the planned commercial nitrogen and phosphorus fertilizer rates to be applied to each field receiving the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current soil test lab results for each field in the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sales of manure under paragraph </w:t>
      </w:r>
      <w:hyperlink r:id="rId397">
        <w:r>
          <w:rPr>
            <w:rStyle w:val="Hyperlink"/>
            <w:rFonts w:ascii="Times New Roman" w:hAnsi="Times New Roman"/>
            <w:b w:val="false"/>
            <w:i w:val="false"/>
            <w:color w:val="000000"/>
            <w:sz w:val="22"/>
          </w:rPr>
          <w:t>65.111(15)</w:t>
        </w:r>
      </w:hyperlink>
      <w:r>
        <w:rPr>
          <w:rFonts w:ascii="Times New Roman" w:hAnsi="Times New Roman"/>
          <w:b w:val="false"/>
          <w:i/>
          <w:color w:val="000000"/>
          <w:sz w:val="22"/>
        </w:rPr>
        <w:t>“b,”</w:t>
      </w:r>
      <w:r>
        <w:rPr>
          <w:rFonts w:ascii="Times New Roman" w:hAnsi="Times New Roman"/>
          <w:b w:val="false"/>
          <w:i w:val="false"/>
          <w:color w:val="000000"/>
          <w:sz w:val="22"/>
        </w:rPr>
        <w:t xml:space="preserve"> recordkeeping requirements of subparagraph </w:t>
      </w:r>
      <w:hyperlink r:id="rId398">
        <w:r>
          <w:rPr>
            <w:rStyle w:val="Hyperlink"/>
            <w:rFonts w:ascii="Times New Roman" w:hAnsi="Times New Roman"/>
            <w:b w:val="false"/>
            <w:i w:val="false"/>
            <w:color w:val="000000"/>
            <w:sz w:val="22"/>
          </w:rPr>
          <w:t>65.111(15)</w:t>
        </w:r>
      </w:hyperlink>
      <w:r>
        <w:rPr>
          <w:rFonts w:ascii="Times New Roman" w:hAnsi="Times New Roman"/>
          <w:b w:val="false"/>
          <w:i/>
          <w:color w:val="000000"/>
          <w:sz w:val="22"/>
        </w:rPr>
        <w:t>“b”</w:t>
      </w:r>
      <w:r>
        <w:rPr>
          <w:rFonts w:ascii="Times New Roman" w:hAnsi="Times New Roman"/>
          <w:b w:val="false"/>
          <w:i w:val="false"/>
          <w:color w:val="000000"/>
          <w:sz w:val="22"/>
        </w:rPr>
        <w:t>(7)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manure applicator.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65.111(9)</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 xml:space="preserve">The department may inspect a confinement feeding operation at any time during normal working hours and may inspect the MMP and any records required to be maintained. As required in Iowa Code section </w:t>
      </w:r>
      <w:hyperlink r:id="rId399">
        <w:r>
          <w:rPr>
            <w:rStyle w:val="Hyperlink"/>
            <w:rFonts w:ascii="Times New Roman" w:hAnsi="Times New Roman"/>
            <w:b w:val="false"/>
            <w:i w:val="false"/>
            <w:color w:val="000000"/>
            <w:sz w:val="22"/>
          </w:rPr>
          <w:t>459.312(12)</w:t>
        </w:r>
      </w:hyperlink>
      <w:r>
        <w:rPr>
          <w:rFonts w:ascii="Times New Roman" w:hAnsi="Times New Roman"/>
          <w:b w:val="false"/>
          <w:i w:val="false"/>
          <w:color w:val="000000"/>
          <w:sz w:val="22"/>
        </w:rPr>
        <w:t xml:space="preserve">, Iowa Code chapter </w:t>
      </w:r>
      <w:hyperlink r:id="rId40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shall not apply to the records which shall be kept confidential by the department and its agents and employees. The contents of the records are not subject to disclosure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waiver by the owner of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 action or administrative proceeding commenced under this chapter. Any hearing related to the action or proceeding shall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by subpoena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65.111(10)</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 xml:space="preserve">An owner required to provide the department an MMP pursuant to this rule who fails to provide the department an MMP or who is found in violation of the terms and conditions of the MMP shall not be subject to an enforcement action other than assessment of a civil penalty pursuant to Iowa Code section </w:t>
      </w:r>
      <w:hyperlink r:id="rId401">
        <w:r>
          <w:rPr>
            <w:rStyle w:val="Hyperlink"/>
            <w:rFonts w:ascii="Times New Roman" w:hAnsi="Times New Roman"/>
            <w:b w:val="false"/>
            <w:i w:val="false"/>
            <w:color w:val="000000"/>
            <w:sz w:val="22"/>
          </w:rPr>
          <w:t>455B.191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65.111(11)</w:t>
      </w:r>
      <w:r>
        <w:rPr>
          <w:rFonts w:ascii="Times New Roman" w:hAnsi="Times New Roman"/>
          <w:b w:val="false"/>
          <w:i w:val="false"/>
          <w:color w:val="000000"/>
          <w:sz w:val="22"/>
        </w:rPr>
        <w:t> </w:t>
      </w:r>
      <w:r>
        <w:rPr>
          <w:rFonts w:ascii="Times New Roman" w:hAnsi="Times New Roman"/>
          <w:b w:val="false"/>
          <w:i/>
          <w:color w:val="000000"/>
          <w:sz w:val="22"/>
        </w:rPr>
        <w:t xml:space="preserve">Soil sampling requirements for fields where the phosphorus index must be used. </w:t>
      </w:r>
      <w:r>
        <w:rPr>
          <w:rFonts w:ascii="Times New Roman" w:hAnsi="Times New Roman"/>
          <w:b w:val="false"/>
          <w:i w:val="false"/>
          <w:color w:val="000000"/>
          <w:sz w:val="22"/>
        </w:rPr>
        <w:t>Soil samples shall be obtained from each field in the MMP, and the soil samples shall be four years old or less. Each soil sample shall be analyzed for phosphorus and pH. The soil sampling protocol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soil sampling strategies include but are not limited to grid sampling, management zone sampling, and soil type sampling. Procedural details can be taken from Iowa State University Extension and Outreach publication CROP 31-8, “Take a Good Soil Sample to Help Make Good Fertilization Decisions,” NCR-13 Report 348, “Soil Sampling for Variable-Rate Fertilizer and Lime Application,” effective January 1, 2001, or other credible soil sampling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soil sample must be a composite of at least ten soil cores from the sampling area, with each core containing soil from the top six inches of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soil sample shall represent no more than ten acres. For fields less than or equal to 15 acres, only one soil sample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analysis must be performed by a lab enrolled in the Iowa department of agriculture and land stewardship (IDALS) soil testing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soil phosphorus test method must be an appropriate method for use with the phosphorus index. If soil pH is greater than or equal to 7.4, soil phosphorus data from the Bray-1 extraction method is not acceptable for use with the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manure is applied as phosphorus-based rates within soil sampling periods, each soil sample may represent up to 20 acres for the next required soil sampling.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65.111(12)</w:t>
      </w:r>
      <w:r>
        <w:rPr>
          <w:rFonts w:ascii="Times New Roman" w:hAnsi="Times New Roman"/>
          <w:b w:val="false"/>
          <w:i w:val="false"/>
          <w:color w:val="000000"/>
          <w:sz w:val="22"/>
        </w:rPr>
        <w:t> </w:t>
      </w:r>
      <w:r>
        <w:rPr>
          <w:rFonts w:ascii="Times New Roman" w:hAnsi="Times New Roman"/>
          <w:b w:val="false"/>
          <w:i/>
          <w:color w:val="000000"/>
          <w:sz w:val="22"/>
        </w:rPr>
        <w:t xml:space="preserve">Use of the phosphorus index. </w:t>
      </w:r>
      <w:r>
        <w:rPr>
          <w:rFonts w:ascii="Times New Roman" w:hAnsi="Times New Roman"/>
          <w:b w:val="false"/>
          <w:i w:val="false"/>
          <w:color w:val="000000"/>
          <w:sz w:val="22"/>
        </w:rPr>
        <w:t>Manure application rates shall be determined in conjunction with the use of the Iowa Phosphorus Index as specified by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 Iowa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sheet and rill erosion is calculated for the Iowa Phosphorus Index, the soil map unit used for the calculation shall be the predominant soil map unit of the steepest slope class that comprises at least 10 percent of the total field area. For fields less than 25 acres in size, the predominant soil map unit of the steepest slope class that comprises at least 20 percent of the total field area shall be used. In all MMPs submitted to the department for approval, the soil map unit used for the sheet and rill erosion calculation will be consistent with NRCS Iowa Agronomy Technical Note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29 Dominant Critical Area. For the calculations of ephemeral gullies, the provisions of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 Iowa Phosphorus Index with in-field measurement or estimates from review of at least four aerial photographs shall be used. If aerial photographs are used for the evaluation, aerial photography from the spring prior to crop canopy or fall after harvest must be included in the evaluation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sheet and rill erosion is calculated for the phosphorus index, the soil map unit used for the calculation shall be the predominant highly erodible soil map unit when planning for a highly erodible field and the predominant non-highly erodible soil map unit when planning for a non-highly erodible field. For the calculations of ephemeral gullies, the provisions of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25 Iowa Phosphorus Index shall be used with: (1) supporting documents and spreadsheets or (2) aerial photographs from at least four separate years, with at least one of the photographs being from the most vulnerable time of the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(arithmetic mean) soil phosphorus concentration of a field shall be used in the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Soil phosphorus concentration data is considered valid for use in the phosphorus index if the data is four years old or less and meets the requirements of subrule </w:t>
      </w:r>
      <w:hyperlink r:id="rId402">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original MMP, previous soil sampling data that does not meet the requirements of subrule </w:t>
      </w:r>
      <w:hyperlink r:id="rId403">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xml:space="preserve"> may be used in the phosphorus index if the data is four years old or less. In the case of fields for which soil sampling data is used that does not meet the requirements of subrule </w:t>
      </w:r>
      <w:hyperlink r:id="rId404">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xml:space="preserve">, the fields must be soil-sampled according to the requirements of subrule </w:t>
      </w:r>
      <w:hyperlink r:id="rId405">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xml:space="preserve"> no more than one year after the original MMP is approved and an updated original MMP shall be submitted with the results of the new samples at the time of the next MMP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manure application rate requirements for fields that are assigned the phosphorus index site vulnerability ratings below as determined by the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 Iowa Phosphorus Index to the NRCS 590 standard rounded to the nearest one-hundredth: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Very Low or Low (0-2). Manure shall not be applied in excess of a nitrogen-based rate in accordance with subrule </w:t>
      </w:r>
      <w:hyperlink r:id="rId406">
        <w:r>
          <w:rPr>
            <w:rStyle w:val="Hyperlink"/>
            <w:rFonts w:ascii="Times New Roman" w:hAnsi="Times New Roman"/>
            <w:b w:val="false"/>
            <w:i w:val="false"/>
            <w:color w:val="000000"/>
            <w:sz w:val="22"/>
          </w:rPr>
          <w:t>65.111(13)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Medium (&gt;2-5). Manure shall not be applied (1) in excess of two times the phosphorus removed with crop harvest over the period of the crop rotation or (2) to exceed the nitrogen-based rate of the planned crop receiving the particular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or Very High (&gt;5). Manure shall not be applied on a field with a rating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commercial fertilizer may be applied as follows on fields receiving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Phosphorus fertilizer may be applied in addition to phosphorus provided by the manure up to amounts recommended by soil tests and Iowa State University Extension and Outreach publication PM 1688, “A General Guide for Crop Nutrient and Limestone Recommendations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Nitrogen fertilizer may be applied in addition to nitrogen provided by the manure to meet the remaining nitrogen need of the crop as calculated in the current MMP. Additional nitrogen fertilizer may be applied up to the amounts indicated by soil test nitrogen results or crop nitrogen test results as necessary to obtain the optimum crop yield.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Updating the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any inputs to the phosphorus index change, an operation shall recalculate the phosphorus index and adjust the application rates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additional land becomes available for manure application, the phosphorus index shall be calculated to determine the manure application rate before manure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operation must submit a complete MMP using a new phosphorus index, including soil sampling as required in subrule </w:t>
      </w:r>
      <w:hyperlink r:id="rId407">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for each field in the MMP a minimum of once every four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application of a nitrogen-based manure rate to a field.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Nitrogen-based application rates shall be based on the total nitrogen content of the manure unless the calculations are submitted to show that nitrogen crop usage rates based on plant-available nitrogen have not been exceeded for the crop schedule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correction factor for nitrogen losses shall be determined for the method of application by the following or from other credible sources for nitrogen volatilization correction factors.</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Knifed in or soil injection of liquids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0.98</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liquid or dry with incorporation within 24 hours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liquid or dry with incorporation after 24 hours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0.80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liquids with no incorporation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dry with no incorporation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Irrigated liquids with no incorporation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0.60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Nitrogen-based applications rates shall be based on the optimum crop yields as determined in subrule </w:t>
      </w:r>
      <w:hyperlink r:id="rId408">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xml:space="preserve"> and crop nitrogen usage rate factor values in Table 4 located at </w:t>
      </w:r>
      <w:hyperlink r:id="rId409">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other credible sources. The calculations of manure applied from the facility must account for fertilizer from all other manure and nonmanure sources. Liquid manure applied to land that is currently planted to soybeans or to land where the current crop has been harvested and that will be planted to soybeans the next crop season shall not exceed 100 pounds of available nitrogen per acre. Further, the 100-pounds-per-acre application limitation in the previous sentence does not apply on or after June 1 of each year; in that event, subrule </w:t>
      </w:r>
      <w:hyperlink r:id="rId410">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xml:space="preserve"> and Table 4 would apply as provided in the first sentence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nitrogen-based manure rate shall account for legume production in the year prior to growing corn or other grass crops and shall account for any planned commercial fertilizer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application of a phosphorus-based manure rate to a field.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Phosphorus removal by harvest for each crop in the crop schedule shall be determined using the optimum crop yield as determined in subrule </w:t>
      </w:r>
      <w:hyperlink r:id="rId411">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xml:space="preserve"> and phosphorus removal rates of the harvested crop from Table 4a located at </w:t>
      </w:r>
      <w:hyperlink r:id="rId41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other credible sources. Phosphorus crop removal shall be determined by multiplying optimum crop yield by the phosphorus removal rate of the harvested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Phosphorus removal by the crop schedule shall be determined by summing the phosphorus crop removal values determined in paragraph </w:t>
      </w:r>
      <w:hyperlink r:id="rId413">
        <w:r>
          <w:rPr>
            <w:rStyle w:val="Hyperlink"/>
            <w:rFonts w:ascii="Times New Roman" w:hAnsi="Times New Roman"/>
            <w:b w:val="false"/>
            <w:i w:val="false"/>
            <w:color w:val="000000"/>
            <w:sz w:val="22"/>
          </w:rPr>
          <w:t>65.111(14)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each crop in the crop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phosphorus applied over the duration of the crop schedule shall be less than or equal to the phosphorus removed with harvest during that crop schedule as calculated in paragraph </w:t>
      </w:r>
      <w:hyperlink r:id="rId414">
        <w:r>
          <w:rPr>
            <w:rStyle w:val="Hyperlink"/>
            <w:rFonts w:ascii="Times New Roman" w:hAnsi="Times New Roman"/>
            <w:b w:val="false"/>
            <w:i w:val="false"/>
            <w:color w:val="000000"/>
            <w:sz w:val="22"/>
          </w:rPr>
          <w:t>65.111(14)</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additional phosphorus is recommended by soil tests and Iowa State University Extension and Outreach publication PM 1688, “A General Guide for Crop Nutrient and Limestone Recommendations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phosphorus-based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single manure application shall exceed the nitrogen-based rate of the planned crop receiving the particular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single manure application shall exceed the rate that applies to the expected amount of phosphorus removed with harvest by the next four anticipated crops in the crop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actual crop schedule differs from the planned crop schedule, then any surplus or deficit of phosphorus shall be accounted for in the subsequent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Phosphorus in manure should be considered 100 percent available unless soil phosphorus concentrations are below optimum levels for crop production. If soil phosphorus concentrations are below optimum levels for crop production phosphorus availability, values suggested in Iowa State University Extension and Outreach publication PMR 1003, “Using Manure Nutrients for Crop Production” or other credible sources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65.111(15)</w:t>
      </w:r>
      <w:r>
        <w:rPr>
          <w:rFonts w:ascii="Times New Roman" w:hAnsi="Times New Roman"/>
          <w:b w:val="false"/>
          <w:i w:val="false"/>
          <w:color w:val="000000"/>
          <w:sz w:val="22"/>
        </w:rPr>
        <w:t> </w:t>
      </w:r>
      <w:r>
        <w:rPr>
          <w:rFonts w:ascii="Times New Roman" w:hAnsi="Times New Roman"/>
          <w:b w:val="false"/>
          <w:i/>
          <w:color w:val="000000"/>
          <w:sz w:val="22"/>
        </w:rPr>
        <w:t xml:space="preserve">MMPs for sales of manure. </w:t>
      </w:r>
      <w:r>
        <w:rPr>
          <w:rFonts w:ascii="Times New Roman" w:hAnsi="Times New Roman"/>
          <w:b w:val="false"/>
          <w:i w:val="false"/>
          <w:color w:val="000000"/>
          <w:sz w:val="22"/>
        </w:rPr>
        <w:t xml:space="preserve">Selling manure means the transfer of ownership of the manure for monetary or other valuable consideration. Selling manure does not include a transaction where the consideration is the value of the manure or where an easement, lease or other agreement granting the right to use the land only for manure application is executed.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Confinement feeding operations that will sell dry manure as a commercial fertilizer or soil conditioner regulated by IDALS under Iowa Code chapter </w:t>
      </w:r>
      <w:hyperlink r:id="rId415">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bulk dry manure animal nutrient product regulated by IDALS under Iowa Code chapter </w:t>
      </w:r>
      <w:hyperlink r:id="rId416">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shall submit a copy of their site-specific IDALS license or documentation that manure will be sold pursuant to Iowa Code chapter </w:t>
      </w:r>
      <w:hyperlink r:id="rId417">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w:t>
      </w:r>
      <w:hyperlink r:id="rId418">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along with the department-approved MMP form for sales of dry manure. Operations completely covered by this paragraph are not required to meet other MMP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not fully covered by paragraph </w:t>
      </w:r>
      <w:hyperlink r:id="rId419">
        <w:r>
          <w:rPr>
            <w:rStyle w:val="Hyperlink"/>
            <w:rFonts w:ascii="Times New Roman" w:hAnsi="Times New Roman"/>
            <w:b w:val="false"/>
            <w:i w:val="false"/>
            <w:color w:val="000000"/>
            <w:sz w:val="22"/>
          </w:rPr>
          <w:t>65.111(15)</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has an established practice of selling manure, or a confinement feeding operation that contains an animal species for which selling manure is a common practice, shall submit an MMP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estimate of the number of acres required for manure application calculated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Dividing the total phosphorus (as P</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available to be applied from the confinement feeding operation by the corn crop removal of phosphorus. The corn crop removal of phosphorus may be estimated by using the phosphorus removal rate in Table 4a located at </w:t>
      </w:r>
      <w:hyperlink r:id="rId420">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and an estimate of the optimum crop yield for the property in the vicinity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Totaling the quantity of manure that can be applied to each available field based on application rates determined in conjunction with the phosphorus index in accordance with subrule </w:t>
      </w:r>
      <w:hyperlink r:id="rId421">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 and ensuring that the total quantity that can be applied is equal to or exceeds the manure annually generated at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nitrogen available to be applied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phosphorus (as P</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available to be applied from the confinement feeding operation if the phosphorus index is required in accordance with paragraph </w:t>
      </w:r>
      <w:hyperlink r:id="rId422">
        <w:r>
          <w:rPr>
            <w:rStyle w:val="Hyperlink"/>
            <w:rFonts w:ascii="Times New Roman" w:hAnsi="Times New Roman"/>
            <w:b w:val="false"/>
            <w:i w:val="false"/>
            <w:color w:val="000000"/>
            <w:sz w:val="22"/>
          </w:rPr>
          <w:t>65.111(1)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estimate of the annual animal production and manure volume or weight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manure sales form. If manure will be sold, the manure sales form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place for the name and address of the buyer of the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place for the quantity of manure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planned crop schedule and optimum crop yields.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place for the manure application methods and the timing of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place for the location of the field, including the number of acres where the manure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place for a phosphorus index of each field receiving manure, as defined in paragraph </w:t>
      </w:r>
      <w:hyperlink r:id="rId423">
        <w:r>
          <w:rPr>
            <w:rStyle w:val="Hyperlink"/>
            <w:rFonts w:ascii="Times New Roman" w:hAnsi="Times New Roman"/>
            <w:b w:val="false"/>
            <w:i w:val="false"/>
            <w:color w:val="000000"/>
            <w:sz w:val="22"/>
          </w:rPr>
          <w:t>65.111(12)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the factors used in the calculation. A copy of the NRCS phosphorus index detailed report shall satisfy the requirement to include the factors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Statements of intent if the manure will be sold. The number of acres indicated in the statements of intent shall be sufficient according to the MMP to apply the manure from the confinement feeding operation. The permit holder for an existing confinement feeding operation with a construction permit may submit past records of manure sales instead of statements of intent. The statements of intent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signing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intent of the person to purchase the confinement feeding operation’s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farm where the manure can be applied, including the total number of acres available for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may purchase the confinement feeding operation’s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owner shall maintain in the owner’s records a current MMP and copies of all of the manure sales forms, the sales forms must be completed and signed by each buyer of the manure and the applicant, and the copies must be maintained in the owner’s records for three years after each sale. The owner shall maintain in the owner’s records copies of all of the manure sales forms for five years after each sale. An owner of a confinement feeding operation shall not be required to maintain current statements of intent as part of the MMP.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567—65.112</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Manure applicators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 commercial manure service or a commercial manure service representative shall not transport, handle, store or apply dry or liquid manure to land unless the person is certified. A confinement site manure applicator shall not apply dry or liquid manure to land unless the person is certified. A person is not required to be certified as a confinement site manure applicator if the person applies manure that originates from a manure storage structure that is part of a SAFO. Certification of a commercial manure service representative under this rule will also satisfy the commercial license requirement under </w:t>
      </w:r>
      <w:hyperlink r:id="rId42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 xml:space="preserve"> only as it applies to manure removal and application. Each person who operates a manure applicating vehicle or equipment must be certified individually except as allowed in subrule </w:t>
      </w:r>
      <w:hyperlink r:id="rId425">
        <w:r>
          <w:rPr>
            <w:rStyle w:val="Hyperlink"/>
            <w:rFonts w:ascii="Times New Roman" w:hAnsi="Times New Roman"/>
            <w:b w:val="false"/>
            <w:i w:val="false"/>
            <w:color w:val="000000"/>
            <w:sz w:val="22"/>
          </w:rPr>
          <w:t>65.112(7)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65.112(2)</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w:t>
      </w:r>
      <w:r>
        <w:rPr>
          <w:rFonts w:ascii="Times New Roman" w:hAnsi="Times New Roman"/>
          <w:b w:val="false"/>
          <w:i w:val="false"/>
          <w:color w:val="000000"/>
          <w:sz w:val="22"/>
        </w:rPr>
        <w:t>The fee for a new or renewed certification of a service is $200. The commercial manure service shall designate one manager for the service and shall provide the department with documentation of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representative. </w:t>
      </w:r>
      <w:r>
        <w:rPr>
          <w:rFonts w:ascii="Times New Roman" w:hAnsi="Times New Roman"/>
          <w:b w:val="false"/>
          <w:i w:val="false"/>
          <w:color w:val="000000"/>
          <w:sz w:val="22"/>
        </w:rPr>
        <w:t>The fee for a new or renewed representative certification is $75. The manager of a commercial manure service must be certified as a commercial manure service representative but is exempt from paying the $75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Confinement site manure applicator. </w:t>
      </w:r>
      <w:r>
        <w:rPr>
          <w:rFonts w:ascii="Times New Roman" w:hAnsi="Times New Roman"/>
          <w:b w:val="false"/>
          <w:i w:val="false"/>
          <w:color w:val="000000"/>
          <w:sz w:val="22"/>
        </w:rPr>
        <w:t>The fee for a new or renewed certification is $100. However, the fee is not required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indicates that the person is a family member as defined in this chapter by submitting a completed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as a confinement site manure applicator within one year of the date another family member was certified or whose certification as a confinement site manure applicator was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other family member certified as a confinement site manure applicator has paid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Educational fee. </w:t>
      </w:r>
      <w:r>
        <w:rPr>
          <w:rFonts w:ascii="Times New Roman" w:hAnsi="Times New Roman"/>
          <w:b w:val="false"/>
          <w:i w:val="false"/>
          <w:color w:val="000000"/>
          <w:sz w:val="22"/>
        </w:rPr>
        <w:t>Commercial manure service representatives, managers and confinement site manure applicators shall pay an educational fee to be determined annually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Late fee. </w:t>
      </w:r>
      <w:r>
        <w:rPr>
          <w:rFonts w:ascii="Times New Roman" w:hAnsi="Times New Roman"/>
          <w:b w:val="false"/>
          <w:i w:val="false"/>
          <w:color w:val="000000"/>
          <w:sz w:val="22"/>
        </w:rPr>
        <w:t>Renewal applications received after March 1 require that an additional $12.50 fee be paid before the certification is renewed. An application is considered to be received on the date it is postmarked.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Duplicate certificate. </w:t>
      </w:r>
      <w:r>
        <w:rPr>
          <w:rFonts w:ascii="Times New Roman" w:hAnsi="Times New Roman"/>
          <w:b w:val="false"/>
          <w:i w:val="false"/>
          <w:color w:val="000000"/>
          <w:sz w:val="22"/>
        </w:rPr>
        <w:t>The fee for a duplicate certificate is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To be certified by the department as a commercial manure service, a commercial manure service representative or a confinement site manure applicator, a person must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certification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required fees set forth in subrule </w:t>
      </w:r>
      <w:hyperlink r:id="rId426">
        <w:r>
          <w:rPr>
            <w:rStyle w:val="Hyperlink"/>
            <w:rFonts w:ascii="Times New Roman" w:hAnsi="Times New Roman"/>
            <w:b w:val="false"/>
            <w:i w:val="false"/>
            <w:color w:val="000000"/>
            <w:sz w:val="22"/>
          </w:rPr>
          <w:t>65.112(2)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examination given by the department or, in lieu of the examination, attend continuing instruction courses as described in subrule </w:t>
      </w:r>
      <w:hyperlink r:id="rId427">
        <w:r>
          <w:rPr>
            <w:rStyle w:val="Hyperlink"/>
            <w:rFonts w:ascii="Times New Roman" w:hAnsi="Times New Roman"/>
            <w:b w:val="false"/>
            <w:i w:val="false"/>
            <w:color w:val="000000"/>
            <w:sz w:val="22"/>
          </w:rPr>
          <w:t>65.112(6)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65.112(4)</w:t>
      </w:r>
      <w:r>
        <w:rPr>
          <w:rFonts w:ascii="Times New Roman" w:hAnsi="Times New Roman"/>
          <w:b w:val="false"/>
          <w:i w:val="false"/>
          <w:color w:val="000000"/>
          <w:sz w:val="22"/>
        </w:rPr>
        <w:t> </w:t>
      </w:r>
      <w:r>
        <w:rPr>
          <w:rFonts w:ascii="Times New Roman" w:hAnsi="Times New Roman"/>
          <w:b w:val="false"/>
          <w:i/>
          <w:color w:val="000000"/>
          <w:sz w:val="22"/>
        </w:rPr>
        <w:t xml:space="preserve">Certification term, renewal and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term. </w:t>
      </w:r>
      <w:r>
        <w:rPr>
          <w:rFonts w:ascii="Times New Roman" w:hAnsi="Times New Roman"/>
          <w:b w:val="false"/>
          <w:i w:val="false"/>
          <w:color w:val="000000"/>
          <w:sz w:val="22"/>
        </w:rPr>
        <w:t>Certification for a commercial manure service and commercial manure service representative shall be for a period of one year and shall expire on March 1 of each year. Certification for a confinement site manure applicator shall be for a period of three years and shall expire on December 31 of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Application for renewal of a commercial manure service certification or a commercial manure service representative certification must be received by the department no later than March 1 of the year the certification expires. Application for renewal of a confinement site manure applicator certification must be received by the department or postmarked no later than March 1 after the year the certification expires. Application shall be on forms provided by the department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renewal and educational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grade on the certification examination or proof of attending the required hours of continuing instructional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employees. </w:t>
      </w:r>
      <w:r>
        <w:rPr>
          <w:rFonts w:ascii="Times New Roman" w:hAnsi="Times New Roman"/>
          <w:b w:val="false"/>
          <w:i w:val="false"/>
          <w:color w:val="000000"/>
          <w:sz w:val="22"/>
        </w:rPr>
        <w:t xml:space="preserve">If a commercial manure service pays the certification fee for a representative, the service may substitute representatives. The substituted representative must be certified pursuant to subrule </w:t>
      </w:r>
      <w:hyperlink r:id="rId428">
        <w:r>
          <w:rPr>
            <w:rStyle w:val="Hyperlink"/>
            <w:rFonts w:ascii="Times New Roman" w:hAnsi="Times New Roman"/>
            <w:b w:val="false"/>
            <w:i w:val="false"/>
            <w:color w:val="000000"/>
            <w:sz w:val="22"/>
          </w:rPr>
          <w:t>65.112(3)</w:t>
        </w:r>
      </w:hyperlink>
      <w:r>
        <w:rPr>
          <w:rFonts w:ascii="Times New Roman" w:hAnsi="Times New Roman"/>
          <w:b w:val="false"/>
          <w:i w:val="false"/>
          <w:color w:val="000000"/>
          <w:sz w:val="22"/>
        </w:rPr>
        <w:t>. The service shall provide documentation to the department, on forms provided by the department, that the substitution is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Except as provided in this paragraph, a commercial manure service, a commercial manure service representative or a confinement site manure applicator may not continue to apply manure after expiration of a certificate. A confinement site manure applicator may continue to apply manure until March 1 following the year the certification expires, provided a complete renewal application, as provided in paragraph </w:t>
      </w:r>
      <w:hyperlink r:id="rId429">
        <w:r>
          <w:rPr>
            <w:rStyle w:val="Hyperlink"/>
            <w:rFonts w:ascii="Times New Roman" w:hAnsi="Times New Roman"/>
            <w:b w:val="false"/>
            <w:i w:val="false"/>
            <w:color w:val="000000"/>
            <w:sz w:val="22"/>
          </w:rPr>
          <w:t>65.112(4)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postmarked or received by the department prior to March 1. Commercial manure services and representatives must submit an application for certification renewal by March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65.112(5)</w:t>
      </w:r>
      <w:r>
        <w:rPr>
          <w:rFonts w:ascii="Times New Roman" w:hAnsi="Times New Roman"/>
          <w:b w:val="false"/>
          <w:i w:val="false"/>
          <w:color w:val="000000"/>
          <w:sz w:val="22"/>
        </w:rPr>
        <w:t> </w:t>
      </w:r>
      <w:r>
        <w:rPr>
          <w:rFonts w:ascii="Times New Roman" w:hAnsi="Times New Roman"/>
          <w:b w:val="false"/>
          <w:i/>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take the examination required to become a certified commercial manure service representative or certified confinement site manure applicator may request an appointment. The applicant must have a photo identification card at the time of taking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fails the examination, the person may retake the examination but not on the same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written request by an applicant, the director will consider the presentation of an oral examination on an individual basis when the applicant has failed the written examination at least twice and the applicant has shown difficulty in reading or understanding written questions but may be able to respond to oral questioning.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65.112(6)</w:t>
      </w:r>
      <w:r>
        <w:rPr>
          <w:rFonts w:ascii="Times New Roman" w:hAnsi="Times New Roman"/>
          <w:b w:val="false"/>
          <w:i w:val="false"/>
          <w:color w:val="000000"/>
          <w:sz w:val="22"/>
        </w:rPr>
        <w:t> </w:t>
      </w:r>
      <w:r>
        <w:rPr>
          <w:rFonts w:ascii="Times New Roman" w:hAnsi="Times New Roman"/>
          <w:b w:val="false"/>
          <w:i/>
          <w:color w:val="000000"/>
          <w:sz w:val="22"/>
        </w:rPr>
        <w:t xml:space="preserve">Continuing instruction courses in lieu of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establish or maintain certification, between March 1 and March 1 of the next year, a commercial manure service representative must each year either pass an examination or attend three hours of continuing instructional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or maintain certification, a confinement site manure applicator must either pass an examination every three years or attend two hours of continuing instructional courses each year. A confinement site manure applicator who chooses to attend instructional courses but fails to attend instructional courses each year must pass an examination as provided in subrule </w:t>
      </w:r>
      <w:hyperlink r:id="rId430">
        <w:r>
          <w:rPr>
            <w:rStyle w:val="Hyperlink"/>
            <w:rFonts w:ascii="Times New Roman" w:hAnsi="Times New Roman"/>
            <w:b w:val="false"/>
            <w:i w:val="false"/>
            <w:color w:val="000000"/>
            <w:sz w:val="22"/>
          </w:rPr>
          <w:t>65.112(5)</w:t>
        </w:r>
      </w:hyperlink>
      <w:r>
        <w:rPr>
          <w:rFonts w:ascii="Times New Roman" w:hAnsi="Times New Roman"/>
          <w:b w:val="false"/>
          <w:i w:val="false"/>
          <w:color w:val="000000"/>
          <w:sz w:val="22"/>
        </w:rPr>
        <w:t xml:space="preserve">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65.112(7)</w:t>
      </w:r>
      <w:r>
        <w:rPr>
          <w:rFonts w:ascii="Times New Roman" w:hAnsi="Times New Roman"/>
          <w:b w:val="false"/>
          <w:i w:val="false"/>
          <w:color w:val="000000"/>
          <w:sz w:val="22"/>
        </w:rPr>
        <w:t> </w:t>
      </w:r>
      <w:r>
        <w:rPr>
          <w:rFonts w:ascii="Times New Roman" w:hAnsi="Times New Roman"/>
          <w:b w:val="false"/>
          <w:i/>
          <w:color w:val="000000"/>
          <w:sz w:val="22"/>
        </w:rPr>
        <w:t xml:space="preserve">Exemption from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as a commercial manure service representative is not required of a person who is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Actively engaged in farming and who trades work with another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a person actively engaged in farming not solely as a manure applicator but who applies manure as an incidental part of the person’s general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Engaged in applying manure as an incidental part of a custom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Engaged in applying manure as an incidental part of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Applying, transporting, handling or storing manure within a period of 30 days from the date of initial employment as a commercial manure service representative if the person applying the manure is acting under direct instructions and control of a certified commercial manure service representative who is physically present at the manure application site by being in sight or immediate communication distance of the supervised person where the certified commercial service representative can communicate with the supervised person at all times. If the prospective employee was previously certified for a commercial manure service, the 30-day exemption does not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Employed by a research college to apply manure from AFOs that are part of the research activities or experiments of the research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as a confinement site manure applicator is not required of a person who is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part-time employee or family member of a confinement site manure applicator and is acting under direct instruction and control of a certified confinement site manure applicator who is physically present at the manure application site by being in sight or hearing distance of the supervised person where the certified confinement site manure applicator can physically observe and communicate with the supervised person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a research college to apply manure from an AFO that is part of the research activities or experiments of the research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65.112(8)</w:t>
      </w:r>
      <w:r>
        <w:rPr>
          <w:rFonts w:ascii="Times New Roman" w:hAnsi="Times New Roman"/>
          <w:b w:val="false"/>
          <w:i w:val="false"/>
          <w:color w:val="000000"/>
          <w:sz w:val="22"/>
        </w:rPr>
        <w:t> </w:t>
      </w:r>
      <w:r>
        <w:rPr>
          <w:rFonts w:ascii="Times New Roman" w:hAnsi="Times New Roman"/>
          <w:b w:val="false"/>
          <w:i/>
          <w:color w:val="000000"/>
          <w:sz w:val="22"/>
        </w:rPr>
        <w:t xml:space="preserve">Obligations. </w:t>
      </w:r>
      <w:r>
        <w:rPr>
          <w:rFonts w:ascii="Times New Roman" w:hAnsi="Times New Roman"/>
          <w:b w:val="false"/>
          <w:i w:val="false"/>
          <w:color w:val="000000"/>
          <w:sz w:val="22"/>
        </w:rPr>
        <w:t>Certified commercial manure services have the following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the following records of manure disposal operations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for manure application provided by the owner of the 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that manure was applied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Location of fields where manure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the MMP prepared for the confinement feeding operation and the requirements of rules </w:t>
      </w:r>
      <w:hyperlink r:id="rId431">
        <w:r>
          <w:rPr>
            <w:rStyle w:val="Hyperlink"/>
            <w:rFonts w:ascii="Times New Roman" w:hAnsi="Times New Roman"/>
            <w:b w:val="false"/>
            <w:i w:val="false"/>
            <w:color w:val="000000"/>
            <w:sz w:val="22"/>
          </w:rPr>
          <w:t>567—65.100</w:t>
        </w:r>
      </w:hyperlink>
      <w:r>
        <w:rPr>
          <w:rFonts w:ascii="Times New Roman" w:hAnsi="Times New Roman"/>
          <w:b w:val="false"/>
          <w:i w:val="false"/>
          <w:color w:val="000000"/>
          <w:sz w:val="22"/>
        </w:rPr>
        <w:t xml:space="preserve">(455B,459,459B) and </w:t>
      </w:r>
      <w:hyperlink r:id="rId432">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 xml:space="preserve">(455B,459,459B). If an MMP does not exist, the requirements of rules </w:t>
      </w:r>
      <w:hyperlink r:id="rId433">
        <w:r>
          <w:rPr>
            <w:rStyle w:val="Hyperlink"/>
            <w:rFonts w:ascii="Times New Roman" w:hAnsi="Times New Roman"/>
            <w:b w:val="false"/>
            <w:i w:val="false"/>
            <w:color w:val="000000"/>
            <w:sz w:val="22"/>
          </w:rPr>
          <w:t>567—65.100</w:t>
        </w:r>
      </w:hyperlink>
      <w:r>
        <w:rPr>
          <w:rFonts w:ascii="Times New Roman" w:hAnsi="Times New Roman"/>
          <w:b w:val="false"/>
          <w:i w:val="false"/>
          <w:color w:val="000000"/>
          <w:sz w:val="22"/>
        </w:rPr>
        <w:t xml:space="preserve">(455B,459,459B) and </w:t>
      </w:r>
      <w:hyperlink r:id="rId434">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(455B,459,459B) must still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tanks or equipment used for hauling manure shall not be used for hauling hazardous or toxic wastes, as defined in </w:t>
      </w:r>
      <w:hyperlink r:id="rId435">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or other wastes detrimental to land application and shall not be used in a manner that would contaminate a potable water supply or endanger the food chain or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Pumps and associated piping on manure handling equipment shall be installed with watertight connections to prevent leakage.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vehicle used by a certified commercial manure service or commercial manure service representative to transport manure on a public road shall display the certification number of the commercial manure service with three-inch or larger letters and numbers on the side of the tank or vehicle. The name and address of the certified commercial manure service representative designated as the manager shall also be prominently displayed on the side of the tank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Direct connection shall not be made between a potable water source and the tank or equipment on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65.112(9)</w:t>
      </w:r>
      <w:r>
        <w:rPr>
          <w:rFonts w:ascii="Times New Roman" w:hAnsi="Times New Roman"/>
          <w:b w:val="false"/>
          <w:i w:val="false"/>
          <w:color w:val="000000"/>
          <w:sz w:val="22"/>
        </w:rPr>
        <w:t> </w:t>
      </w:r>
      <w:r>
        <w:rPr>
          <w:rFonts w:ascii="Times New Roman" w:hAnsi="Times New Roman"/>
          <w:b w:val="false"/>
          <w:i/>
          <w:color w:val="000000"/>
          <w:sz w:val="22"/>
        </w:rPr>
        <w:t xml:space="preserve">Discipline of certified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against a certified commercial manure service, a commercial manure service representative or a confinement site manure applicator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Violation of state law or rules applicable to a certified commercial manure service, a commercial manure service representative, or a confinement site manure applicator or the handling or application of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maintain required records of manure application or other reports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shall initiate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applicator against whom disciplinary action is being considered. The notice shall state the informal and formal procedures available for determining the matter. The applicator shall be given 20 days to present any relevant facts and indicate the person’s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applicator who receives notice shall communicate verbally or in writing or in person with the director, and efforts shall be made to clarify the respective positions of the applicator and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communicate facts and position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applicator and the director, a written stipulation and settlement between the department and the applicator shall be entered. The stipulation and settlement shall recite the basic facts and violations alleged, any facts brought forth by the applicator,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director may initiate formal hearing procedures. Notice and formal hearing shall be in accordance with </w:t>
      </w:r>
      <w:hyperlink r:id="rId436">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65.112(10)</w:t>
      </w:r>
      <w:r>
        <w:rPr>
          <w:rFonts w:ascii="Times New Roman" w:hAnsi="Times New Roman"/>
          <w:b w:val="false"/>
          <w:i w:val="false"/>
          <w:color w:val="000000"/>
          <w:sz w:val="22"/>
        </w:rPr>
        <w:t> </w:t>
      </w:r>
      <w:r>
        <w:rPr>
          <w:rFonts w:ascii="Times New Roman" w:hAnsi="Times New Roman"/>
          <w:b w:val="false"/>
          <w:i/>
          <w:color w:val="000000"/>
          <w:sz w:val="22"/>
        </w:rPr>
        <w:t xml:space="preserve">Revocation of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commercial manure service representative or confinement site applicator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a commercial manure service certification may be allowed after three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65.112(11)</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 xml:space="preserve">The department may inspect, with reasonable notice, the records maintained by a commercial manure service. If the records are for an operation required to maintain records to demonstrate compliance with an MMP, the confidentiality provisions of subrule </w:t>
      </w:r>
      <w:hyperlink r:id="rId437">
        <w:r>
          <w:rPr>
            <w:rStyle w:val="Hyperlink"/>
            <w:rFonts w:ascii="Times New Roman" w:hAnsi="Times New Roman"/>
            <w:b w:val="false"/>
            <w:i w:val="false"/>
            <w:color w:val="000000"/>
            <w:sz w:val="22"/>
          </w:rPr>
          <w:t>65.111(9)</w:t>
        </w:r>
      </w:hyperlink>
      <w:r>
        <w:rPr>
          <w:rFonts w:ascii="Times New Roman" w:hAnsi="Times New Roman"/>
          <w:b w:val="false"/>
          <w:i w:val="false"/>
          <w:color w:val="000000"/>
          <w:sz w:val="22"/>
        </w:rPr>
        <w:t xml:space="preserve"> and Iowa Code section </w:t>
      </w:r>
      <w:hyperlink r:id="rId438">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xml:space="preserve"> shall extend to the records maintained by the commercial manure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567—65.113</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Livestock remediation fund. </w:t>
      </w:r>
      <w:r>
        <w:rPr>
          <w:rFonts w:ascii="Times New Roman" w:hAnsi="Times New Roman"/>
          <w:b w:val="false"/>
          <w:i w:val="false"/>
          <w:color w:val="000000"/>
          <w:sz w:val="22"/>
        </w:rPr>
        <w:t xml:space="preserve">The livestock remediation fund created in Iowa Code section </w:t>
      </w:r>
      <w:hyperlink r:id="rId439">
        <w:r>
          <w:rPr>
            <w:rStyle w:val="Hyperlink"/>
            <w:rFonts w:ascii="Times New Roman" w:hAnsi="Times New Roman"/>
            <w:b w:val="false"/>
            <w:i w:val="false"/>
            <w:color w:val="000000"/>
            <w:sz w:val="22"/>
          </w:rPr>
          <w:t>459.501</w:t>
        </w:r>
      </w:hyperlink>
      <w:r>
        <w:rPr>
          <w:rFonts w:ascii="Times New Roman" w:hAnsi="Times New Roman"/>
          <w:b w:val="false"/>
          <w:i w:val="false"/>
          <w:color w:val="000000"/>
          <w:sz w:val="22"/>
        </w:rPr>
        <w:t xml:space="preserve"> will be administered by the department. Moneys in the fund shall be used for the exclusive purpose of administration of the fund and the cleanup of eligible facilities at confinement feeding operation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site. </w:t>
      </w:r>
      <w:r>
        <w:rPr>
          <w:rFonts w:ascii="Times New Roman" w:hAnsi="Times New Roman"/>
          <w:b w:val="false"/>
          <w:i w:val="false"/>
          <w:color w:val="000000"/>
          <w:sz w:val="22"/>
        </w:rPr>
        <w:t>The site of a confinement feeding operation that contains one or more AFO structures is an eligible site for reimbursement of cleanup costs if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county has acquired title to real estate containing the confinement feeding operation following nonpayment of taxes and the site includes a manure storage structure that contains stored manure or site contamination originating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county or the department determines that the confinement feeding operation has caused a clear, present and impending danger to the public health or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65.113(2)</w:t>
      </w:r>
      <w:r>
        <w:rPr>
          <w:rFonts w:ascii="Times New Roman" w:hAnsi="Times New Roman"/>
          <w:b w:val="false"/>
          <w:i w:val="false"/>
          <w:color w:val="000000"/>
          <w:sz w:val="22"/>
        </w:rPr>
        <w:t> </w:t>
      </w:r>
      <w:r>
        <w:rPr>
          <w:rFonts w:ascii="Times New Roman" w:hAnsi="Times New Roman"/>
          <w:b w:val="false"/>
          <w:i/>
          <w:color w:val="000000"/>
          <w:sz w:val="22"/>
        </w:rPr>
        <w:t xml:space="preserve">Site cleanup. </w:t>
      </w:r>
      <w:r>
        <w:rPr>
          <w:rFonts w:ascii="Times New Roman" w:hAnsi="Times New Roman"/>
          <w:b w:val="false"/>
          <w:i w:val="false"/>
          <w:color w:val="000000"/>
          <w:sz w:val="22"/>
        </w:rPr>
        <w:t xml:space="preserve">Site cleanup includes the removal and land application or disposal of manure from an eligible facility site according to manure management procedures approved by the department. Cleanup may include remediation of documented contamination that originates from the confinement feeding operation. Cleanup may also include demolishing and disposing of AFO structures if their existence or further use would contribute to further environmental contamination and their removal is included in a cleanup plan approved by the department. Buildings and equipment must be demolished or disposed of according to rules adopted by the department in </w:t>
      </w:r>
      <w:hyperlink r:id="rId440">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xml:space="preserve"> that apply to the disposal of farm buildings or equipment by an individual or business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65.113(3)</w:t>
      </w:r>
      <w:r>
        <w:rPr>
          <w:rFonts w:ascii="Times New Roman" w:hAnsi="Times New Roman"/>
          <w:b w:val="false"/>
          <w:i w:val="false"/>
          <w:color w:val="000000"/>
          <w:sz w:val="22"/>
        </w:rPr>
        <w:t> </w:t>
      </w:r>
      <w:r>
        <w:rPr>
          <w:rFonts w:ascii="Times New Roman" w:hAnsi="Times New Roman"/>
          <w:b w:val="false"/>
          <w:i/>
          <w:color w:val="000000"/>
          <w:sz w:val="22"/>
        </w:rPr>
        <w:t xml:space="preserve">Claims against the fund. </w:t>
      </w:r>
      <w:r>
        <w:rPr>
          <w:rFonts w:ascii="Times New Roman" w:hAnsi="Times New Roman"/>
          <w:b w:val="false"/>
          <w:i w:val="false"/>
          <w:color w:val="000000"/>
          <w:sz w:val="22"/>
        </w:rPr>
        <w:t>Claims for cleanup costs may be made by a county that has acquired real estate containing an eligible facility site pursuant to a tax deed. A county claim shall be signed by the chairperson of the county board of supervisors. Cleanup may be initiated by the department or may be authorized by the department based on a claim by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claim. </w:t>
      </w:r>
      <w:r>
        <w:rPr>
          <w:rFonts w:ascii="Times New Roman" w:hAnsi="Times New Roman"/>
          <w:b w:val="false"/>
          <w:i w:val="false"/>
          <w:color w:val="000000"/>
          <w:sz w:val="22"/>
        </w:rPr>
        <w:t xml:space="preserve">Prior to or after acquiring a tax deed to an eligible facility site, a county shall notify the department in writing of the existence of the facility and the title acquisition. The county shall request in this notice that the department evaluate the site to determine whether the department will order or initiate cleanup pursuant to its authority under Iowa Code chapter </w:t>
      </w:r>
      <w:hyperlink r:id="rId44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cleanup condition. </w:t>
      </w:r>
      <w:r>
        <w:rPr>
          <w:rFonts w:ascii="Times New Roman" w:hAnsi="Times New Roman"/>
          <w:b w:val="false"/>
          <w:i w:val="false"/>
          <w:color w:val="000000"/>
          <w:sz w:val="22"/>
        </w:rPr>
        <w:t>If a county determines that there exists at a confinement feeding operation site a clear, present and impending danger to the public health or environment, the county shall notify the department of the condition. The danger should be documented as to its presence and the necessity to avoid delay due to its increasing threat. If no cleanup action is initiated by the department within 24 hours after being notified of an emergency condition requiring cleanup, the county may provide cleanup and submit a claim against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65.113(4)</w:t>
      </w:r>
      <w:r>
        <w:rPr>
          <w:rFonts w:ascii="Times New Roman" w:hAnsi="Times New Roman"/>
          <w:b w:val="false"/>
          <w:i w:val="false"/>
          <w:color w:val="000000"/>
          <w:sz w:val="22"/>
        </w:rPr>
        <w:t> </w:t>
      </w:r>
      <w:r>
        <w:rPr>
          <w:rFonts w:ascii="Times New Roman" w:hAnsi="Times New Roman"/>
          <w:b w:val="false"/>
          <w:i/>
          <w:color w:val="000000"/>
          <w:sz w:val="22"/>
        </w:rPr>
        <w:t xml:space="preserve">Contents of a claim against the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county claim against the fund for an eligible site acquired by a county following nonpayment of taxes shall be submitted to the department for approval prior to the cleanup action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advance notice of claim as described in paragraph </w:t>
      </w:r>
      <w:hyperlink r:id="rId442">
        <w:r>
          <w:rPr>
            <w:rStyle w:val="Hyperlink"/>
            <w:rFonts w:ascii="Times New Roman" w:hAnsi="Times New Roman"/>
            <w:b w:val="false"/>
            <w:i w:val="false"/>
            <w:color w:val="000000"/>
            <w:sz w:val="22"/>
          </w:rPr>
          <w:t>65.113(3)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bid by a qualified person, other than a governmental entity, to perform a site cleanup. The bid shall include a summary of the qualifications of the bidder including but not limited to prior experience in removal of hazardous substances or manure, experience in construction of confinement feeding operation facilities or manure storage structures, equipment available for conducting the cleanup, or any other qualifications bearing on the ability of the bidder to remove manure from a site. The bid must reference complying with a cleanup plan. The bid shall include a certification that the bidder has liability insurance in an amount not less than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tax deed to the real estate containing the eligible facility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and address, if known, of the former owner(s) of the site. The claim shall also include a description of any efforts to contact the former owner regarding the removal of manure and any other necessary cleanup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response to the request in the advance notice described in paragraph </w:t>
      </w:r>
      <w:hyperlink r:id="rId443">
        <w:r>
          <w:rPr>
            <w:rStyle w:val="Hyperlink"/>
            <w:rFonts w:ascii="Times New Roman" w:hAnsi="Times New Roman"/>
            <w:b w:val="false"/>
            <w:i w:val="false"/>
            <w:color w:val="000000"/>
            <w:sz w:val="22"/>
          </w:rPr>
          <w:t>65.113(3)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the department will not initiate cleanup action at the site, or that 60 days have passed from the advance notice and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proposed cleanup plan describing all necessary activity including manure to be removed, application rates and sites, any planned remediation of site contamination, and any structure demolition and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county claim against the fund for an emergency cleanup condition may be submitted following the cleanup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bid as described in subparagraph </w:t>
      </w:r>
      <w:hyperlink r:id="rId444">
        <w:r>
          <w:rPr>
            <w:rStyle w:val="Hyperlink"/>
            <w:rFonts w:ascii="Times New Roman" w:hAnsi="Times New Roman"/>
            <w:b w:val="false"/>
            <w:i w:val="false"/>
            <w:color w:val="000000"/>
            <w:sz w:val="22"/>
          </w:rPr>
          <w:t>65.113(4)</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owner(s), or former owner(s), of the site or any other person who may be liable for causing the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on the response from the department to the notice given as described in paragraph </w:t>
      </w:r>
      <w:hyperlink r:id="rId445">
        <w:r>
          <w:rPr>
            <w:rStyle w:val="Hyperlink"/>
            <w:rFonts w:ascii="Times New Roman" w:hAnsi="Times New Roman"/>
            <w:b w:val="false"/>
            <w:i w:val="false"/>
            <w:color w:val="000000"/>
            <w:sz w:val="22"/>
          </w:rPr>
          <w:t>65.113(3)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if none was received, documentation of the time notice was given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cleanup plan or description of the cleanup activities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65.113(5)</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processing of claims against the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Processing of claims. The department will process claims in the order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cleanup plan will be reviewed for acceptability to accomplish necessary actions according to subrule </w:t>
      </w:r>
      <w:hyperlink r:id="rId446">
        <w:r>
          <w:rPr>
            <w:rStyle w:val="Hyperlink"/>
            <w:rFonts w:ascii="Times New Roman" w:hAnsi="Times New Roman"/>
            <w:b w:val="false"/>
            <w:i w:val="false"/>
            <w:color w:val="000000"/>
            <w:sz w:val="22"/>
          </w:rPr>
          <w:t>65.113(2)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bid. Upon receipt of a claim, the department will review the bid accompanying the claim. The department may consult with any person in reviewing the bid. Consideration will be given to the experience of the bidder, the bid amount, and the work required to perform the cleanup plan. If the department is satisfied that the bidder is qualified to perform the cleanup and costs are reasonable, the department will provide written approval to the county within 60 days from the date of receipt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a lower bid. If the department determines that it should seek a lower bid to perform the cleanup, it may obtain the names of qualified persons who may be eligible to perform the cleanup. One or more of those persons will be contacted and invited to view the site and submit a bid for the cleanup. If a lower bid is not received, the original bid may be accepted. If a bid is lower than the original bid submitted by the county, the department will notify the county that it should proceed to contract with that bidder to perform the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65.113(6)</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Upon completion of the cleanup, the county shall submit a certificate of completion to the department. The certificate of completion shall indicate that the manure has been properly land-applied according to the cleanup plan and that any site contamination identified in the approved cleanup plan has been remediated and any approved structure demolition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65.113(7)</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Upon receipt of the certificate of completion, the department shall promptly authorize payment of the claim as previously approved. Payments will be made for claims in the order of receipt of certificates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65.113(8)</w:t>
      </w:r>
      <w:r>
        <w:rPr>
          <w:rFonts w:ascii="Times New Roman" w:hAnsi="Times New Roman"/>
          <w:b w:val="false"/>
          <w:i w:val="false"/>
          <w:color w:val="000000"/>
          <w:sz w:val="22"/>
        </w:rPr>
        <w:t> </w:t>
      </w:r>
      <w:r>
        <w:rPr>
          <w:rFonts w:ascii="Times New Roman" w:hAnsi="Times New Roman"/>
          <w:b w:val="false"/>
          <w:i/>
          <w:color w:val="000000"/>
          <w:sz w:val="22"/>
        </w:rPr>
        <w:t xml:space="preserve">Subrogation. </w:t>
      </w:r>
      <w:r>
        <w:rPr>
          <w:rFonts w:ascii="Times New Roman" w:hAnsi="Times New Roman"/>
          <w:b w:val="false"/>
          <w:i w:val="false"/>
          <w:color w:val="000000"/>
          <w:sz w:val="22"/>
        </w:rPr>
        <w:t xml:space="preserve">The fund is subrogated to all county rights regarding any claim submitted or paid as provided in Iowa Code section </w:t>
      </w:r>
      <w:hyperlink r:id="rId447">
        <w:r>
          <w:rPr>
            <w:rStyle w:val="Hyperlink"/>
            <w:rFonts w:ascii="Times New Roman" w:hAnsi="Times New Roman"/>
            <w:b w:val="false"/>
            <w:i w:val="false"/>
            <w:color w:val="000000"/>
            <w:sz w:val="22"/>
          </w:rPr>
          <w:t>459.505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567—65.114</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Validity of rules. </w:t>
      </w:r>
      <w:r>
        <w:rPr>
          <w:rFonts w:ascii="Times New Roman" w:hAnsi="Times New Roman"/>
          <w:b w:val="false"/>
          <w:i w:val="false"/>
          <w:color w:val="000000"/>
          <w:sz w:val="22"/>
        </w:rPr>
        <w:t>If any part of these rules is declared unconstitutional or invalid for any reason, the remainder of said rules shall not be affected thereby and shall remain in full force and effect, and to that end, these rules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567—65.115</w:t>
      </w:r>
      <w:r>
        <w:rPr>
          <w:rFonts w:ascii="Times New Roman" w:hAnsi="Times New Roman"/>
          <w:b w:val="false"/>
          <w:i w:val="false"/>
          <w:color w:val="000000"/>
          <w:sz w:val="22"/>
        </w:rPr>
        <w:t xml:space="preserve"> to </w:t>
      </w:r>
      <w:r>
        <w:rPr>
          <w:rFonts w:ascii="Times New Roman" w:hAnsi="Times New Roman"/>
          <w:b/>
          <w:i w:val="false"/>
          <w:color w:val="000000"/>
          <w:sz w:val="22"/>
        </w:rPr>
        <w:t>65.199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OPEN FEEDLOT OPERATIONS</w:t>
      </w:r>
    </w:p>
    <w:p>
      <w:pPr>
        <w:spacing w:before="0" w:after="0"/>
        <w:ind w:left="120"/>
        <w:jc w:val="both"/>
      </w:pPr>
      <w:r>
        <w:rPr>
          <w:rFonts w:ascii="Times New Roman" w:hAnsi="Times New Roman"/>
          <w:b/>
          <w:i w:val="false"/>
          <w:color w:val="000000"/>
          <w:sz w:val="22"/>
        </w:rPr>
        <w:t>567—65.200</w:t>
      </w:r>
      <w:r>
        <w:rPr>
          <w:rFonts w:ascii="Times New Roman" w:hAnsi="Times New Roman"/>
          <w:b/>
          <w:i w:val="false"/>
          <w:color w:val="000000"/>
          <w:sz w:val="22"/>
        </w:rPr>
        <w:t xml:space="preserve">(455B,459A) </w:t>
      </w:r>
      <w:r>
        <w:rPr>
          <w:rFonts w:ascii="Times New Roman" w:hAnsi="Times New Roman"/>
          <w:b/>
          <w:i w:val="false"/>
          <w:color w:val="000000"/>
          <w:sz w:val="22"/>
        </w:rPr>
        <w:t xml:space="preserve">Minimum open feedlot effluent control requirements. </w:t>
      </w:r>
      <w:r>
        <w:rPr>
          <w:rFonts w:ascii="Times New Roman" w:hAnsi="Times New Roman"/>
          <w:b w:val="false"/>
          <w:i w:val="false"/>
          <w:color w:val="000000"/>
          <w:sz w:val="22"/>
        </w:rPr>
        <w:t xml:space="preserve">An open feedlot operation shall provide for the management of manure, process wastewater, settled open feedlot effluent, settleable solids, scraped solids, and open feedlot effluent by using an open feedlot control method as provided in subrules </w:t>
      </w:r>
      <w:hyperlink r:id="rId448">
        <w:r>
          <w:rPr>
            <w:rStyle w:val="Hyperlink"/>
            <w:rFonts w:ascii="Times New Roman" w:hAnsi="Times New Roman"/>
            <w:b w:val="false"/>
            <w:i w:val="false"/>
            <w:color w:val="000000"/>
            <w:sz w:val="22"/>
          </w:rPr>
          <w:t>65.200(1) through 65.200(8)</w:t>
        </w:r>
      </w:hyperlink>
      <w:r>
        <w:rPr>
          <w:rFonts w:ascii="Times New Roman" w:hAnsi="Times New Roman"/>
          <w:b w:val="false"/>
          <w:i w:val="false"/>
          <w:color w:val="000000"/>
          <w:sz w:val="22"/>
        </w:rPr>
        <w:t xml:space="preserve">. A release shall be reported to the department as provided in subrule </w:t>
      </w:r>
      <w:hyperlink r:id="rId449">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65.200(1)</w:t>
      </w:r>
      <w:r>
        <w:rPr>
          <w:rFonts w:ascii="Times New Roman" w:hAnsi="Times New Roman"/>
          <w:b w:val="false"/>
          <w:i w:val="false"/>
          <w:color w:val="000000"/>
          <w:sz w:val="22"/>
        </w:rPr>
        <w:t> </w:t>
      </w:r>
      <w:r>
        <w:rPr>
          <w:rFonts w:ascii="Times New Roman" w:hAnsi="Times New Roman"/>
          <w:b w:val="false"/>
          <w:i w:val="false"/>
          <w:color w:val="000000"/>
          <w:sz w:val="22"/>
        </w:rPr>
        <w:t>All settleable solids from open feedlot effluent shall be removed prior to discharge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settleable solids shall be removed by use of a solids settling facility. The construction of a solids settling facility is not required where existing site conditions provide for removal of settleable solids prior to discharge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removal of settleable solids shall be deemed to have occurred when the velocity of flow of the open feedlot effluent has been reduced to less than one-half foot per second for a minimum of five minutes. A solids settling facility shall have sufficient capacity to store settleable solids between periods of land application and to provide required flow-velocity reduction for open feedlot effluent flow volumes resulting from a precipitation event of less intensity than a ten-year, one-hour frequency event. A solids settling facility that receives open feedlot effluent shall provide a minimum of one square foot of surface area for each eight cubic feet of open feedlot effluent per hour resulting from a ten-year, one-hour frequency precipitation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shall apply to an open feedlot operation which has obtained an NPDES permit pursuant to rule </w:t>
      </w:r>
      <w:hyperlink r:id="rId450">
        <w:r>
          <w:rPr>
            <w:rStyle w:val="Hyperlink"/>
            <w:rFonts w:ascii="Times New Roman" w:hAnsi="Times New Roman"/>
            <w:b w:val="false"/>
            <w:i w:val="false"/>
            <w:color w:val="000000"/>
            <w:sz w:val="22"/>
          </w:rPr>
          <w:t>567—65.3</w:t>
        </w:r>
      </w:hyperlink>
      <w:r>
        <w:rPr>
          <w:rFonts w:ascii="Times New Roman" w:hAnsi="Times New Roman"/>
          <w:b w:val="false"/>
          <w:i w:val="false"/>
          <w:color w:val="000000"/>
          <w:sz w:val="22"/>
        </w:rPr>
        <w:t xml:space="preserve">(455B,459,459A,459B) or </w:t>
      </w:r>
      <w:hyperlink r:id="rId451">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open feedlot operation may discharge manure, process wastewater, settled open feedlot effluent, settleable solids, or open feedlot effluent into any waters of the United States due to a precipitation event, if the open feedlot operation is designed, constructed, operated, and maintained to comply with the requirements of subrule </w:t>
      </w:r>
      <w:hyperlink r:id="rId452">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 xml:space="preserve"> and 40 CFR Part 412.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open feedlot operation is designed, constructed, and operated in accordance with the requirements of subrule </w:t>
      </w:r>
      <w:hyperlink r:id="rId453">
        <w:r>
          <w:rPr>
            <w:rStyle w:val="Hyperlink"/>
            <w:rFonts w:ascii="Times New Roman" w:hAnsi="Times New Roman"/>
            <w:b w:val="false"/>
            <w:i w:val="false"/>
            <w:color w:val="000000"/>
            <w:sz w:val="22"/>
          </w:rPr>
          <w:t>2.4(12)</w:t>
        </w:r>
      </w:hyperlink>
      <w:r>
        <w:rPr>
          <w:rFonts w:ascii="Times New Roman" w:hAnsi="Times New Roman"/>
          <w:b w:val="false"/>
          <w:i w:val="false"/>
          <w:color w:val="000000"/>
          <w:sz w:val="22"/>
        </w:rPr>
        <w:t xml:space="preserve"> and in accordance with any of the manure control alternatives listed in Appendix A located at </w:t>
      </w:r>
      <w:hyperlink r:id="rId454">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the AT system requirements in rule </w:t>
      </w:r>
      <w:hyperlink r:id="rId455">
        <w:r>
          <w:rPr>
            <w:rStyle w:val="Hyperlink"/>
            <w:rFonts w:ascii="Times New Roman" w:hAnsi="Times New Roman"/>
            <w:b w:val="false"/>
            <w:i w:val="false"/>
            <w:color w:val="000000"/>
            <w:sz w:val="22"/>
          </w:rPr>
          <w:t>567—65.207</w:t>
        </w:r>
      </w:hyperlink>
      <w:r>
        <w:rPr>
          <w:rFonts w:ascii="Times New Roman" w:hAnsi="Times New Roman"/>
          <w:b w:val="false"/>
          <w:i w:val="false"/>
          <w:color w:val="000000"/>
          <w:sz w:val="22"/>
        </w:rPr>
        <w:t xml:space="preserve">(455B,459A), the operation shall be considered to be in compliance with this rule, unless a discharge from the operation causes a violation of state water quality standards. If water quality standards violations occur, the department may impose additional open feedlot effluent control requirements upon the operation, as specified in subrule </w:t>
      </w:r>
      <w:hyperlink r:id="rId456">
        <w:r>
          <w:rPr>
            <w:rStyle w:val="Hyperlink"/>
            <w:rFonts w:ascii="Times New Roman" w:hAnsi="Times New Roman"/>
            <w:b w:val="false"/>
            <w:i w:val="false"/>
            <w:color w:val="000000"/>
            <w:sz w:val="22"/>
          </w:rPr>
          <w:t>65.200(3)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65.200(3)</w:t>
      </w:r>
      <w:r>
        <w:rPr>
          <w:rFonts w:ascii="Times New Roman" w:hAnsi="Times New Roman"/>
          <w:b w:val="false"/>
          <w:i w:val="false"/>
          <w:color w:val="000000"/>
          <w:sz w:val="22"/>
        </w:rPr>
        <w:t> </w:t>
      </w:r>
      <w:r>
        <w:rPr>
          <w:rFonts w:ascii="Times New Roman" w:hAnsi="Times New Roman"/>
          <w:b w:val="false"/>
          <w:i w:val="false"/>
          <w:color w:val="000000"/>
          <w:sz w:val="22"/>
        </w:rPr>
        <w:t>An open feedlot operation that has an animal unit capacity of 1,000 animal units or more, or an open feedlot operation that is a large CAFO, a medium CAFO, or a designated CAFO, shall not discharge manure, process wastewater, settled open feedlot effluent, settleable solids or open feedlot effluent from an open feedlot operation structure or production area into any waters of the United States, unless the discharge is pursuant to an NPDES permit. The control of manure, process wastewater, settled open feedlot effluent, settleable solids or open feedlot effluent originating from the open feedlot operation may be accomplished by the use of a solids settling facility, settled open feedlot effluent basin, AT system, or any other open feedlot effluent control structure or practice approved by the department. The department may require the diversion of surface drainage prior to contact with an open feedlot operation structure. Settleable solids shall be settled from open feedlot effluent before the effluent enters a settled open feedlot effluent basin or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65.200(4)</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control practices. If, because of topography or other factors related to the site of an open feedlot operation, it is economically or physically impractical to comply with open feedlot effluent control requirements using an open feedlot control method in subrule </w:t>
      </w:r>
      <w:hyperlink r:id="rId457">
        <w:r>
          <w:rPr>
            <w:rStyle w:val="Hyperlink"/>
            <w:rFonts w:ascii="Times New Roman" w:hAnsi="Times New Roman"/>
            <w:b w:val="false"/>
            <w:i w:val="false"/>
            <w:color w:val="000000"/>
            <w:sz w:val="22"/>
          </w:rPr>
          <w:t>65.200(4)</w:t>
        </w:r>
      </w:hyperlink>
      <w:r>
        <w:rPr>
          <w:rFonts w:ascii="Times New Roman" w:hAnsi="Times New Roman"/>
          <w:b w:val="false"/>
          <w:i w:val="false"/>
          <w:color w:val="000000"/>
          <w:sz w:val="22"/>
        </w:rPr>
        <w:t xml:space="preserve">, the department shall allow an open feedlot operation covered by the NPDES permit application requirements of rule </w:t>
      </w:r>
      <w:hyperlink r:id="rId458">
        <w:r>
          <w:rPr>
            <w:rStyle w:val="Hyperlink"/>
            <w:rFonts w:ascii="Times New Roman" w:hAnsi="Times New Roman"/>
            <w:b w:val="false"/>
            <w:i w:val="false"/>
            <w:color w:val="000000"/>
            <w:sz w:val="22"/>
          </w:rPr>
          <w:t>567—65.3</w:t>
        </w:r>
      </w:hyperlink>
      <w:r>
        <w:rPr>
          <w:rFonts w:ascii="Times New Roman" w:hAnsi="Times New Roman"/>
          <w:b w:val="false"/>
          <w:i w:val="false"/>
          <w:color w:val="000000"/>
          <w:sz w:val="22"/>
        </w:rPr>
        <w:t xml:space="preserve">(455B,459,459A,459B) or </w:t>
      </w:r>
      <w:hyperlink r:id="rId459">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 xml:space="preserve">(455B,459A) to use other open feedlot effluent control practices, provided the open feedlot operation satisfactorily demonstrates by appropriate methods that those practices will provide an equivalent level of open feedlot effluent control. Demonstration of equivalent performance must include the submission of computer modeling results that compares the predicted performance of the proposed system with that of a conventional runoff containment system over the same period. The specific requirements that must be met for an open feedlot operation to qualify for use of an AT system and the information that must be submitted to the department are outlined in rule </w:t>
      </w:r>
      <w:hyperlink r:id="rId460">
        <w:r>
          <w:rPr>
            <w:rStyle w:val="Hyperlink"/>
            <w:rFonts w:ascii="Times New Roman" w:hAnsi="Times New Roman"/>
            <w:b w:val="false"/>
            <w:i w:val="false"/>
            <w:color w:val="000000"/>
            <w:sz w:val="22"/>
          </w:rPr>
          <w:t>567—65.207</w:t>
        </w:r>
      </w:hyperlink>
      <w:r>
        <w:rPr>
          <w:rFonts w:ascii="Times New Roman" w:hAnsi="Times New Roman"/>
          <w:b w:val="false"/>
          <w:i w:val="false"/>
          <w:color w:val="000000"/>
          <w:sz w:val="22"/>
        </w:rPr>
        <w:t>(455B,459A). Design requirements have been established for a stand-alone VTA. If other AT systems are developed that meet the equivalent performance standard established under EPA’s CAFO rules, the department will consider their acceptance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65.200(5)</w:t>
      </w:r>
      <w:r>
        <w:rPr>
          <w:rFonts w:ascii="Times New Roman" w:hAnsi="Times New Roman"/>
          <w:b w:val="false"/>
          <w:i w:val="false"/>
          <w:color w:val="000000"/>
          <w:sz w:val="22"/>
        </w:rPr>
        <w:t> </w:t>
      </w:r>
      <w:r>
        <w:rPr>
          <w:rFonts w:ascii="Times New Roman" w:hAnsi="Times New Roman"/>
          <w:b w:val="false"/>
          <w:i w:val="false"/>
          <w:color w:val="000000"/>
          <w:sz w:val="22"/>
        </w:rPr>
        <w:t>No direct discharge of open feedlot effluent shall be allowed from an open feedlot operation into a publicly owned lake, a known sinkhole, or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65.200(6)</w:t>
      </w:r>
      <w:r>
        <w:rPr>
          <w:rFonts w:ascii="Times New Roman" w:hAnsi="Times New Roman"/>
          <w:b w:val="false"/>
          <w:i w:val="false"/>
          <w:color w:val="000000"/>
          <w:sz w:val="22"/>
        </w:rPr>
        <w:t> </w:t>
      </w:r>
      <w:r>
        <w:rPr>
          <w:rFonts w:ascii="Times New Roman" w:hAnsi="Times New Roman"/>
          <w:b w:val="false"/>
          <w:i w:val="false"/>
          <w:color w:val="000000"/>
          <w:sz w:val="22"/>
        </w:rPr>
        <w:t>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Open feedlot effluent shall be land-applied in a manner that will not cause pollution of surface water or groundwater. Application in accordance with the provisions of state law and the rules in this chapter shall be deemed as compliance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Designated areas. </w:t>
      </w:r>
      <w:r>
        <w:rPr>
          <w:rFonts w:ascii="Times New Roman" w:hAnsi="Times New Roman"/>
          <w:b w:val="false"/>
          <w:i w:val="false"/>
          <w:color w:val="000000"/>
          <w:sz w:val="22"/>
        </w:rPr>
        <w:t>A person shall not apply manure on land within 200 feet from a designated area or, in the case of a high-quality water resource, within 800 feet,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manure is land-applied by injection or incorporation on the same date as the manure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area of permanent vegetation cover, including filter strips and riparian forest buffers, exists for 50 feet surrounding the designated area other than an unplugged agricultural drainage well or surface intake to an unplugged agricultural drainage well, and the area of permanent vegetation cover is not subject to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CAFOs.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application discharges from a CAFO are subject to NPDES permit requirements. The discharge of manure, process wastewater, settled open feedlot effluent, settleable solids and open feedlot effluent to waters of the United States from a CAFO as a result of the application of that manure, process wastewater, settled open feedlot effluent, settleable solids and open feedlot effluent by the CAFO to land areas under its control is a discharge from that CAFO subject to NPDES permit requirements, except where the discharge is an agricultural storm water discharge as provided in 33 U.S.C. 1362(14). For the purpose of this paragraph, where the manure, process wastewater, settled open feedlot effluent, settleable solids or open feedlot effluent has been applied in accordance with site-specific nutrient management practices that ensure appropriate agricultural utilization of the nutrients in the manure, process wastewater, settled open feedlot effluent, settleable solids and open feedlot effluent as specified in subrule </w:t>
      </w:r>
      <w:hyperlink r:id="rId461">
        <w:r>
          <w:rPr>
            <w:rStyle w:val="Hyperlink"/>
            <w:rFonts w:ascii="Times New Roman" w:hAnsi="Times New Roman"/>
            <w:b w:val="false"/>
            <w:i w:val="false"/>
            <w:color w:val="000000"/>
            <w:sz w:val="22"/>
          </w:rPr>
          <w:t>65.209(8)</w:t>
        </w:r>
      </w:hyperlink>
      <w:r>
        <w:rPr>
          <w:rFonts w:ascii="Times New Roman" w:hAnsi="Times New Roman"/>
          <w:b w:val="false"/>
          <w:i w:val="false"/>
          <w:color w:val="000000"/>
          <w:sz w:val="22"/>
        </w:rPr>
        <w:t>, a precipitation-related discharge of manure, process wastewater, settled open feedlot effluent, settleable solids and open feedlot effluent from land areas under the control of a CAFO is an agricultural storm water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Setback requirements for open feedlot operations with NPDES permits. For open feedlot operations with NPDES permits, the following is adopted by reference: 40 CFR 412.4(a), (b) and (c)(5).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open feedlot operation who discontinues the use of the operation shall remove and land-apply in accordance with state law all manure, process wastewater and open feedlot effluent from the open feedlot operation structures as soon as practical but not later than six months following the date the open feedlot operation is discontinued. The owner of a CAFO shall maintain compliance with all requirements in the CAFO’s NPDES permit until all manure, process wastewater and open feedlot effluent has been removed and land applied pursuant to the CAFO’s NMP, and the NPDES permit has been terminated in accordance with subrule </w:t>
      </w:r>
      <w:hyperlink r:id="rId462">
        <w:r>
          <w:rPr>
            <w:rStyle w:val="Hyperlink"/>
            <w:rFonts w:ascii="Times New Roman" w:hAnsi="Times New Roman"/>
            <w:b w:val="false"/>
            <w:i w:val="false"/>
            <w:color w:val="000000"/>
            <w:sz w:val="22"/>
          </w:rPr>
          <w:t>65.202(9)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65.200(8)</w:t>
      </w:r>
      <w:r>
        <w:rPr>
          <w:rFonts w:ascii="Times New Roman" w:hAnsi="Times New Roman"/>
          <w:b w:val="false"/>
          <w:i w:val="false"/>
          <w:color w:val="000000"/>
          <w:sz w:val="22"/>
        </w:rPr>
        <w:t> </w:t>
      </w:r>
      <w:r>
        <w:rPr>
          <w:rFonts w:ascii="Times New Roman" w:hAnsi="Times New Roman"/>
          <w:b w:val="false"/>
          <w:i w:val="false"/>
          <w:color w:val="000000"/>
          <w:sz w:val="22"/>
        </w:rPr>
        <w:t>Stockpiling of scraped solids and settleable solids. Stockpiles of solids scraped from open feedlot operations and stockpiles of settleable solids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Stockpiles must be land-applied in accordance with subrule </w:t>
      </w:r>
      <w:hyperlink r:id="rId463">
        <w:r>
          <w:rPr>
            <w:rStyle w:val="Hyperlink"/>
            <w:rFonts w:ascii="Times New Roman" w:hAnsi="Times New Roman"/>
            <w:b w:val="false"/>
            <w:i w:val="false"/>
            <w:color w:val="000000"/>
            <w:sz w:val="22"/>
          </w:rPr>
          <w:t>65.200(6)</w:t>
        </w:r>
      </w:hyperlink>
      <w:r>
        <w:rPr>
          <w:rFonts w:ascii="Times New Roman" w:hAnsi="Times New Roman"/>
          <w:b w:val="false"/>
          <w:i w:val="false"/>
          <w:color w:val="000000"/>
          <w:sz w:val="22"/>
        </w:rPr>
        <w:t xml:space="preserve"> as soon as possible but not later than six months after they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400 feet from a designated area or, in the case of a high-quality water resource, within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in grassed waterways or areas where water ponds or has concentrated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200 feet of a terrace tile inlet or surface tile inlet or known sinkhole unless the stockpile is located so that any runoff from the stockpile will not reach the inlet or sinkhole.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on land having a slope of more than 3 percent unless methods, structures or practices are implemented to contain the stockpiled solids, including but not limited to hay bales, silt fences, temporary earthen berms, or other effective measures, and to prevent or diminish precipitation-induced runoff from the stockpiled solids.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567—65.201</w:t>
      </w:r>
      <w:r>
        <w:rPr>
          <w:rFonts w:ascii="Times New Roman" w:hAnsi="Times New Roman"/>
          <w:b/>
          <w:i w:val="false"/>
          <w:color w:val="000000"/>
          <w:sz w:val="22"/>
        </w:rPr>
        <w:t xml:space="preserve">(455B,459A) </w:t>
      </w:r>
      <w:r>
        <w:rPr>
          <w:rFonts w:ascii="Times New Roman" w:hAnsi="Times New Roman"/>
          <w:b/>
          <w:i w:val="false"/>
          <w:color w:val="000000"/>
          <w:sz w:val="22"/>
        </w:rPr>
        <w:t xml:space="preserve">Departmental evaluation; CAFO designation; remedial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65.201(1)</w:t>
      </w:r>
      <w:r>
        <w:rPr>
          <w:rFonts w:ascii="Times New Roman" w:hAnsi="Times New Roman"/>
          <w:b w:val="false"/>
          <w:i w:val="false"/>
          <w:color w:val="000000"/>
          <w:sz w:val="22"/>
        </w:rPr>
        <w:t> </w:t>
      </w:r>
      <w:r>
        <w:rPr>
          <w:rFonts w:ascii="Times New Roman" w:hAnsi="Times New Roman"/>
          <w:b w:val="false"/>
          <w:i w:val="false"/>
          <w:color w:val="000000"/>
          <w:sz w:val="22"/>
        </w:rPr>
        <w:t>The department may evaluate any AFO that is not defined as a large or medium CAFO, and designate it as a CAFO if, after an on-site inspection, it is determined to be a significant contributor of manure or process wastewater to waters of the United States. In making this determination,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of the operation and the amount of manure or process wastewater reaching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operation relative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means of conveyance of manure or process wastewater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slope, vegetation, rainfall, and other factors affecting the likelihood or frequency of discharge of manure or process wastewater into waters of the United States;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65.201(2)</w:t>
      </w:r>
      <w:r>
        <w:rPr>
          <w:rFonts w:ascii="Times New Roman" w:hAnsi="Times New Roman"/>
          <w:b w:val="false"/>
          <w:i w:val="false"/>
          <w:color w:val="000000"/>
          <w:sz w:val="22"/>
        </w:rPr>
        <w:t> </w:t>
      </w:r>
      <w:r>
        <w:rPr>
          <w:rFonts w:ascii="Times New Roman" w:hAnsi="Times New Roman"/>
          <w:b w:val="false"/>
          <w:i w:val="false"/>
          <w:color w:val="000000"/>
          <w:sz w:val="22"/>
        </w:rPr>
        <w:t>No AFO with an animal capacity less than that specified for a medium CAFO shall be designated as a CAFO unless manure or process wastewater from the operation is discharged into a water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Through a manmade ditch, flushing system, or other similar manmade device;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originates outside of and passes over, across or through the facility or otherwise comes into direct contact with animals confined in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designated CAFO shall apply for an NPDES permit no later than 90 days after receiving written notice of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65.201(4)</w:t>
      </w:r>
      <w:r>
        <w:rPr>
          <w:rFonts w:ascii="Times New Roman" w:hAnsi="Times New Roman"/>
          <w:b w:val="false"/>
          <w:i w:val="false"/>
          <w:color w:val="000000"/>
          <w:sz w:val="22"/>
        </w:rPr>
        <w:t> </w:t>
      </w:r>
      <w:r>
        <w:rPr>
          <w:rFonts w:ascii="Times New Roman" w:hAnsi="Times New Roman"/>
          <w:b w:val="false"/>
          <w:i w:val="false"/>
          <w:color w:val="000000"/>
          <w:sz w:val="22"/>
        </w:rPr>
        <w:t xml:space="preserve">If departmental evaluation determines that any of the conditions listed in paragraph </w:t>
      </w:r>
      <w:hyperlink r:id="rId464">
        <w:r>
          <w:rPr>
            <w:rStyle w:val="Hyperlink"/>
            <w:rFonts w:ascii="Times New Roman" w:hAnsi="Times New Roman"/>
            <w:b w:val="false"/>
            <w:i w:val="false"/>
            <w:color w:val="000000"/>
            <w:sz w:val="22"/>
          </w:rPr>
          <w:t>65.201(4)</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exist, the open feedlot operation shall institute necessary remedial actions within a time specified by the department to eliminate the conditions warranting the determination, if the operation receives a written notification from the department of the need to correct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Settled open feedlot effluent, settleable solids from the open feedlot operation, or open feedlot effluent is being discharged into a water of the state and the operation is not providing the applicable minimum level of manure control as specified in rule </w:t>
      </w:r>
      <w:hyperlink r:id="rId465">
        <w:r>
          <w:rPr>
            <w:rStyle w:val="Hyperlink"/>
            <w:rFonts w:ascii="Times New Roman" w:hAnsi="Times New Roman"/>
            <w:b w:val="false"/>
            <w:i w:val="false"/>
            <w:color w:val="000000"/>
            <w:sz w:val="22"/>
          </w:rPr>
          <w:t>567—65.200</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Settled open feedlot effluent, settleable solids from the open feedlot operation, or open feedlot effluent is causing or may reasonably be expected to cause pollution of a water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Settled open feedlot effluent, settleable solids from the open feedlot operation, or open feedlot effluent is causing or may reasonably be expected to cause a violation of state water quality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567—65.202</w:t>
      </w:r>
      <w:r>
        <w:rPr>
          <w:rFonts w:ascii="Times New Roman" w:hAnsi="Times New Roman"/>
          <w:b/>
          <w:i w:val="false"/>
          <w:color w:val="000000"/>
          <w:sz w:val="22"/>
        </w:rPr>
        <w:t xml:space="preserve">(455B,459A) </w:t>
      </w:r>
      <w:r>
        <w:rPr>
          <w:rFonts w:ascii="Times New Roman" w:hAnsi="Times New Roman"/>
          <w:b/>
          <w:i w:val="false"/>
          <w:color w:val="000000"/>
          <w:sz w:val="22"/>
        </w:rPr>
        <w:t xml:space="preserve">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65.202(1)</w:t>
      </w:r>
      <w:r>
        <w:rPr>
          <w:rFonts w:ascii="Times New Roman" w:hAnsi="Times New Roman"/>
          <w:b w:val="false"/>
          <w:i w:val="false"/>
          <w:color w:val="000000"/>
          <w:sz w:val="22"/>
        </w:rPr>
        <w:t> </w:t>
      </w:r>
      <w:r>
        <w:rPr>
          <w:rFonts w:ascii="Times New Roman" w:hAnsi="Times New Roman"/>
          <w:b w:val="false"/>
          <w:i/>
          <w:color w:val="000000"/>
          <w:sz w:val="22"/>
        </w:rPr>
        <w:t xml:space="preserve">Existing AFOs not holding an NPDES permit. </w:t>
      </w:r>
      <w:r>
        <w:rPr>
          <w:rFonts w:ascii="Times New Roman" w:hAnsi="Times New Roman"/>
          <w:b w:val="false"/>
          <w:i w:val="false"/>
          <w:color w:val="000000"/>
          <w:sz w:val="22"/>
        </w:rPr>
        <w:t>AFOs in existence prior to April 14, 2003, that were defined as CAFOs under rules that were in effect prior to April 14, 2003, but that have not obtained a permit, should have applied for an NPDES permit by April 14, 2003. AFOs in existence on April 14, 2003, that were not defined as CAFOs under rules that were in effect prior to April 14, 2003, shall apply for an NPDES permit no later than July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65.202(2)</w:t>
      </w:r>
      <w:r>
        <w:rPr>
          <w:rFonts w:ascii="Times New Roman" w:hAnsi="Times New Roman"/>
          <w:b w:val="false"/>
          <w:i w:val="false"/>
          <w:color w:val="000000"/>
          <w:sz w:val="22"/>
        </w:rPr>
        <w:t> </w:t>
      </w:r>
      <w:r>
        <w:rPr>
          <w:rFonts w:ascii="Times New Roman" w:hAnsi="Times New Roman"/>
          <w:b w:val="false"/>
          <w:i/>
          <w:color w:val="000000"/>
          <w:sz w:val="22"/>
        </w:rPr>
        <w:t xml:space="preserve">Expansion or modification of existing AFOs. </w:t>
      </w:r>
      <w:r>
        <w:rPr>
          <w:rFonts w:ascii="Times New Roman" w:hAnsi="Times New Roman"/>
          <w:b w:val="false"/>
          <w:i w:val="false"/>
          <w:color w:val="000000"/>
          <w:sz w:val="22"/>
        </w:rPr>
        <w:t>A person intending to expand or modify an existing AFO that, upon completion of the expansion or modification, will be defined as a CAFO and if the operation discharges pollutants to waters of the United States shall apply for an NPDES permit at least 90 days prior to the scheduled expansion or modification. Operation of the expanded portion of the facility shall not begin until an NPDES permit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65.202(3)</w:t>
      </w:r>
      <w:r>
        <w:rPr>
          <w:rFonts w:ascii="Times New Roman" w:hAnsi="Times New Roman"/>
          <w:b w:val="false"/>
          <w:i w:val="false"/>
          <w:color w:val="000000"/>
          <w:sz w:val="22"/>
        </w:rPr>
        <w:t> </w:t>
      </w:r>
      <w:r>
        <w:rPr>
          <w:rFonts w:ascii="Times New Roman" w:hAnsi="Times New Roman"/>
          <w:b w:val="false"/>
          <w:i/>
          <w:color w:val="000000"/>
          <w:sz w:val="22"/>
        </w:rPr>
        <w:t xml:space="preserve">New AFOs. </w:t>
      </w:r>
      <w:r>
        <w:rPr>
          <w:rFonts w:ascii="Times New Roman" w:hAnsi="Times New Roman"/>
          <w:b w:val="false"/>
          <w:i w:val="false"/>
          <w:color w:val="000000"/>
          <w:sz w:val="22"/>
        </w:rPr>
        <w:t>A person intending to construct a new AFO after July 22, 1987, or resuming a discontinued operation after 24 months or more, upon resumption or completion, will be defined as a CAFO and if the operation discharges pollutants to waters of the United States shall apply for an NPDES permit at least 180 days prior to the date operation of the animal feeding facility is scheduled. Operation of the facility shall not begin until an NPDES permit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65.202(4)</w:t>
      </w:r>
      <w:r>
        <w:rPr>
          <w:rFonts w:ascii="Times New Roman" w:hAnsi="Times New Roman"/>
          <w:b w:val="false"/>
          <w:i w:val="false"/>
          <w:color w:val="000000"/>
          <w:sz w:val="22"/>
        </w:rPr>
        <w:t> </w:t>
      </w:r>
      <w:r>
        <w:rPr>
          <w:rFonts w:ascii="Times New Roman" w:hAnsi="Times New Roman"/>
          <w:b w:val="false"/>
          <w:i/>
          <w:color w:val="000000"/>
          <w:sz w:val="22"/>
        </w:rPr>
        <w:t xml:space="preserve">Permits required as a result of departmental designation. </w:t>
      </w:r>
      <w:r>
        <w:rPr>
          <w:rFonts w:ascii="Times New Roman" w:hAnsi="Times New Roman"/>
          <w:b w:val="false"/>
          <w:i w:val="false"/>
          <w:color w:val="000000"/>
          <w:sz w:val="22"/>
        </w:rPr>
        <w:t xml:space="preserve">An AFO that is required to apply for an NPDES permit as a result of departmental designation (in accordance with the provisions of rule </w:t>
      </w:r>
      <w:hyperlink r:id="rId466">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(455B,459A)) shall apply for an NPDES permit within 90 days of receiving written notification of the need to obtain a permit. Once application has been made, the AFO is authorized to continue to operate without a permit until the application has either been approved or disapproved by the department, provided that the owner or operator has submitted all requested information and promptly taken all steps necessary to obtain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and requirements. </w:t>
      </w:r>
      <w:r>
        <w:rPr>
          <w:rFonts w:ascii="Times New Roman" w:hAnsi="Times New Roman"/>
          <w:b w:val="false"/>
          <w:i w:val="false"/>
          <w:color w:val="000000"/>
          <w:sz w:val="22"/>
        </w:rPr>
        <w:t xml:space="preserve">An application for an NPDES permit shall be made on a form provided by the department. The application shall be complete and shall contain information required by the department. Applications shall include an NMP as required in rule </w:t>
      </w:r>
      <w:hyperlink r:id="rId467">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 xml:space="preserve">(455B,459A). Applications involving AT systems shall include results of predictive computer modeling as required by subrule </w:t>
      </w:r>
      <w:hyperlink r:id="rId468">
        <w:r>
          <w:rPr>
            <w:rStyle w:val="Hyperlink"/>
            <w:rFonts w:ascii="Times New Roman" w:hAnsi="Times New Roman"/>
            <w:b w:val="false"/>
            <w:i w:val="false"/>
            <w:color w:val="000000"/>
            <w:sz w:val="22"/>
          </w:rPr>
          <w:t>65.207(6)</w:t>
        </w:r>
      </w:hyperlink>
      <w:r>
        <w:rPr>
          <w:rFonts w:ascii="Times New Roman" w:hAnsi="Times New Roman"/>
          <w:b w:val="false"/>
          <w:i w:val="false"/>
          <w:color w:val="000000"/>
          <w:sz w:val="22"/>
        </w:rPr>
        <w:t>. The application shall be signed and certified by the person who is legally responsible for the AFO and its associated manure or process wastewater control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65.202(6)</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When necessary to comply with a standard that must be met at a future date, an NPDES permit shall include a schedule for modification of the permitted facility to meet the standard. The schedule shall not relieve the permittee of the duty to obtain a construction permit pursuant to rule </w:t>
      </w:r>
      <w:hyperlink r:id="rId469">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65.202(7)</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NPDES permits shall contain conditions required by 40 CFR 122.41, monitoring conditions required by 40 CFR 122.48, and conditions considered necessary by the department to ensure compliance with all applicable rules of the department; to ensure that the production area and land application areas are operated and maintained as required by Iowa law; to protect the public health and beneficial uses of waters of the United States; and to prevent water pollution from manure storage or application operations. Any more stringent conditions of Iowa Code chapter </w:t>
      </w:r>
      <w:hyperlink r:id="rId470">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subrule </w:t>
      </w:r>
      <w:hyperlink r:id="rId471">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 and this chapter that apply to AFOs shall govern. For CAFOs that maintain cattle, swine, or poultry, the following applicable conditions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NMP. </w:t>
      </w:r>
      <w:r>
        <w:rPr>
          <w:rFonts w:ascii="Times New Roman" w:hAnsi="Times New Roman"/>
          <w:b w:val="false"/>
          <w:i w:val="false"/>
          <w:color w:val="000000"/>
          <w:sz w:val="22"/>
        </w:rPr>
        <w:t xml:space="preserve">Open feedlot CAFOs shall comply with the requirements of rule </w:t>
      </w:r>
      <w:hyperlink r:id="rId472">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(455B,459A) and any additional NMP requirements for CAFOs in these rules. CAFOs that seek to obtain coverage under an NPDES permit shall have an NMP developed and implemented upon the date of permit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Visual inspections. Routine visual inspections of the CAFO production area must be conducted, and at a minimum, the following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Weekly inspections of all storm water diversion, runoff diversion structures, and devices channeling contaminated storm water to the open feedlot operation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Daily inspection of water lines, including drinking water or cooling water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actions. Any deficiencies found as a result of the inspections required in subparagraph </w:t>
      </w:r>
      <w:hyperlink r:id="rId473">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as a result of the liquid level reporting required in paragraph </w:t>
      </w:r>
      <w:hyperlink r:id="rId474">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“e”</w:t>
      </w:r>
      <w:r>
        <w:rPr>
          <w:rFonts w:ascii="Times New Roman" w:hAnsi="Times New Roman"/>
          <w:b w:val="false"/>
          <w:i w:val="false"/>
          <w:color w:val="000000"/>
          <w:sz w:val="22"/>
        </w:rPr>
        <w:t xml:space="preserve"> must be corrected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records must be maintained on site for a period of five years from the date they are created and must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documenting the inspections required in subparagraph </w:t>
      </w:r>
      <w:hyperlink r:id="rId475">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weekly liquid level observations as required in paragraph </w:t>
      </w:r>
      <w:hyperlink r:id="rId476">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documenting any actions taken to correct deficiencies as required in subparagraph </w:t>
      </w:r>
      <w:hyperlink r:id="rId477">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Transfer of manure, process wastewater, settled open feedlot effluent, settleable solids, or open feedlot effluent. </w:t>
      </w:r>
      <w:r>
        <w:rPr>
          <w:rFonts w:ascii="Times New Roman" w:hAnsi="Times New Roman"/>
          <w:b w:val="false"/>
          <w:i w:val="false"/>
          <w:color w:val="000000"/>
          <w:sz w:val="22"/>
        </w:rPr>
        <w:t>Prior to transferring manure, process wastewater, settled open feedlot effluent, settleable solids or open feedlot effluent to other persons, a CAFO must provide the recipient of the manure, process wastewater, settled open feedlot effluent, settleable solids or open feedlot effluent with the most current nutrient analysis. A CAFO must retain for five years records of the date, recipient name and address, nutrient analysis and approximate amount of manure, process wastewater, settled open feedlot effluent, settleable solids or open feedlot effluent transferred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monitoring requirements for AT systems. </w:t>
      </w:r>
      <w:r>
        <w:rPr>
          <w:rFonts w:ascii="Times New Roman" w:hAnsi="Times New Roman"/>
          <w:b w:val="false"/>
          <w:i w:val="false"/>
          <w:color w:val="000000"/>
          <w:sz w:val="22"/>
        </w:rPr>
        <w:t>Monitoring is required for the entire operational life of the AT system. The department may reduce or revise monitoring requirements after the first five years of system operation. During the first five years of operation of an AT system, the following minimum monitoring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Discharge monitoring. An effluent collection point must be established at the outlet of the AT system, and the flow volume recorded and an effluent sample collected on each day a discharge from the AT system occurs. Discharge samples must be submitted to a certified laboratory and analyzed for: total Kjeldahl N, NH4 N, total P, COD, total suspended solids, and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Discharge monitoring—tile lines. If the AT system includes a perforated tile system installed under any VTA berms to enhance infiltration within the VTA, water samples shall be collected from a sampling point located downgradient of the VTA on each individual tile line or combination of tile lines on the following schedule: one sample shall be taken from each sampling point in March or April of each year when the tile system is flowing and the level of flow in the tile system recorded at the time of sampling. If there is no discharge from the tile line at a time that meets these requirements, documentation on appropriate department forms can be substituted for the sample and analysis. Collected samples shall be submitted to a certified laboratory and analyzed for Ortho-phosphate as 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A minimum of two groundwater monitoring wells or piezometers (one upgradient and one downgradient) must be established at each AT system. Additional wells or piezometers may be required if the department determines they are necessary to adequately assess the impacts the AT system is having on groundwater. Samples must be collected from these wells in March or April of each year and analyzed for NH4 N, NO3 N, Ortho phosphate as P, and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sampling. Both shallow and deep soil sampling is required in the VTAs of an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Shallow soil sampling shall be conducted prior to initial discharge of open feedlot effluent into the AT system and repeated annually. Within the VTA, a minimum of three sampling locations shall be established at the entrance to each VTA to be sampled. The three sampling locations shall be spread evenly across the entrances to adequately monitor the effluent application onto the VTAs. Samples shall be collected in the spring. Each sample shall be taken to a depth of six inches and analyzed for pH and P using the Mehlich-3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Deep soil sampling shall be conducted prior to initial discharge of open feedlot effluent into the AT system and repeated every five years prior to the submission of an application for an NPDES permit renewal. A minimum of two sampling sites shall be established within each VTA to be sampled, one located where runoff enters the VTA, generally the same location as the shallow soil sampling location, and one where runoff is discharged from the VTA. Soil samples shall be taken from these sites to a depth of four feet, with separate samples taken to represent the 0 to 6-inch depth, the 6- to 12-inch depth, and in one-foot increments thereafter. All samples shall be analyzed for NO3 N, NH4 N, pH, and P by the Mehlich-3 method.</w:t>
      </w:r>
    </w:p>
    <w:p>
      <w:pPr>
        <w:spacing w:before="0" w:after="0"/>
        <w:ind w:left="120"/>
        <w:jc w:val="both"/>
      </w:pPr>
      <w:r>
        <w:rPr>
          <w:rFonts w:ascii="Times New Roman" w:hAnsi="Times New Roman"/>
          <w:b w:val="false"/>
          <w:i w:val="false"/>
          <w:color w:val="000000"/>
          <w:sz w:val="22"/>
        </w:rPr>
        <w:t>If the length of effluent flow through the VTA exceeds 400 feet, an additional soil sample representing the zero to six-inch depth should be taken for each additional 200 feet of VTA length. Samples shall be analyzed for NO3 N, NH4 N, pH, and P by the Mehlich-3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requirements for large CAFOs with outside liquid impoundments. </w:t>
      </w:r>
      <w:r>
        <w:rPr>
          <w:rFonts w:ascii="Times New Roman" w:hAnsi="Times New Roman"/>
          <w:b w:val="false"/>
          <w:i w:val="false"/>
          <w:color w:val="000000"/>
          <w:sz w:val="22"/>
        </w:rPr>
        <w:t>A permittee with outside liquid impoundments must submit quarterly reports by April 10, July 10, October 10, and January 10, following the respective calendar quarters; documenting daily precipitation; weekly impoundment liquid levels; volume of liquid removed from the impoundments; and the date, time, duration, and estimated volume of any overflow. Liquid levels must be obtained by observing a depth marker that clearly indicates the minimum capacity necessary to contain the runoff and direct precipitation of the 25-year, 24-hour precipitation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all CAFOs with systems other than AT systems. </w:t>
      </w:r>
      <w:r>
        <w:rPr>
          <w:rFonts w:ascii="Times New Roman" w:hAnsi="Times New Roman"/>
          <w:b w:val="false"/>
          <w:i w:val="false"/>
          <w:color w:val="000000"/>
          <w:sz w:val="22"/>
        </w:rPr>
        <w:t>Permittees with systems other than an AT system must submit an annual report to the department by January 10 of the following year. The annual report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type of animals in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Estimated amount of manure, process wastewater, settled open feedlot effluent, settleable solids, or open feedlot effluent generated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 of total manure transferred to other persons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number of acres for land application covered by the NMP and the total number of acres under control of the CAFO that were used for land application of manure in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all manure, process wastewater, settled open feedlot effluent, settleable solids, or open feedlot effluent discharges from the production area that have occurred in the previous 12 months, including date, time, and approximate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current version of the CAFO’s NMP was developed or approved by a certified nutrient management planner;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Actual crops planted and actual yield for the preceding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Results of all samples of manure, litter and process wastewater for nitrogen and phosphorus content for manure, litter and process wastewater that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requirements for CAFOs with AT systems. </w:t>
      </w:r>
      <w:r>
        <w:rPr>
          <w:rFonts w:ascii="Times New Roman" w:hAnsi="Times New Roman"/>
          <w:b w:val="false"/>
          <w:i w:val="false"/>
          <w:color w:val="000000"/>
          <w:sz w:val="22"/>
        </w:rPr>
        <w:t>A permittee with an AT system must submit quarterly reports by April 10, July 10, October 10, and January 10, following the respective calendar quarters. The quarterly reports shall provide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on which manure, process wastewater, settled open feedlot effluent, open feedlot effluent, or settleable solids were removed from the production area and estimated amounts of manure, process wastewater, settled open feedlot effluent, settleable solids, or open feedlot effluent removed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on which discharges from the production area or the AT system occurred and the estimated duration and volume of discharge on each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Results of laboratory analyses of discharge samples for each date a discharge from the production area or the AT system occurred. If the results of laboratory analyses are not available by the due date of the quarterly report, the results shall be provided with the following quarter’s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CAFOs with AT systems. </w:t>
      </w:r>
      <w:r>
        <w:rPr>
          <w:rFonts w:ascii="Times New Roman" w:hAnsi="Times New Roman"/>
          <w:b w:val="false"/>
          <w:i w:val="false"/>
          <w:color w:val="000000"/>
          <w:sz w:val="22"/>
        </w:rPr>
        <w:t>A permittee shall submit an annual report by January 10 of the following year. The annual report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type of animals in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Estimated amount of total manure, process wastewater, settled open feedlot effluent, settleable solids, or open feedlot effluent generated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 of total manure, process wastewater, settled open feedlot effluent, settleable solids, or open feedlot effluent transferred to other persons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number of acres for land application covered by the NMP and the total number of acres under control of the CAFO that were used for land application of manure, process wastewater, settled open feedlot effluent, settleable solids, or open feedlot effluent in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all manure, process wastewater, settled open feedlot effluent, settleable solids, or open feedlot effluent discharges from the production area or AT system that have occurred in the previous 12 months, including date, time, and approximate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Harvest dates and estimated amounts of forage removed from the AT system during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Results of soil and groundwater monitoring well sampling within the AT system during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current version of the CAFO’s NMP was developed or approved by a certified nutrient management planner.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65.202(8)</w:t>
      </w:r>
      <w:r>
        <w:rPr>
          <w:rFonts w:ascii="Times New Roman" w:hAnsi="Times New Roman"/>
          <w:b w:val="false"/>
          <w:i w:val="false"/>
          <w:color w:val="000000"/>
          <w:sz w:val="22"/>
        </w:rPr>
        <w:t> </w:t>
      </w:r>
      <w:r>
        <w:rPr>
          <w:rFonts w:ascii="Times New Roman" w:hAnsi="Times New Roman"/>
          <w:b w:val="false"/>
          <w:i/>
          <w:color w:val="000000"/>
          <w:sz w:val="22"/>
        </w:rPr>
        <w:t xml:space="preserve">NPDES permit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An NPDES permit may be granted for any period of time not to exceed five years. An application for renewal of an NPDES permit must be submitted to the department at least 180 days prior to the date the permit expires. Each permit to be renewed shall be subject to the rules of the department in effect at the time of renewal. A permitted AFO that ceases to be a CAFO will be exempted from the need to retain an NPDES permit if the permittee can demonstrate to the satisfaction of the department that there is no remaining potential for a discharge of manure that was generated while the operation was a CAFO, other than agricultural storm water from land application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Permits involving use of AT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permit involving use of an AT system is contingent upon proper operation and maintenance of the AT system, submittal of all required records and reports, and demonstration that the AT system is providing an equivalent level of performance to that achieved by a containment system that is designed and operated as required by statute, subrule </w:t>
      </w:r>
      <w:hyperlink r:id="rId478">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 xml:space="preserve"> and this division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departmental review of an AT system indicates the system is not meeting the equivalent performance standard, the permittee may either be required to make needed system modifications to enable compliance with this standard or be required to install a conventional runoff containment system. Open feedlot operations found to be in compliance with the equivalent performance standard will be issued a five-year NPDES permit that allows continued use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65.202(9)</w:t>
      </w:r>
      <w:r>
        <w:rPr>
          <w:rFonts w:ascii="Times New Roman" w:hAnsi="Times New Roman"/>
          <w:b w:val="false"/>
          <w:i w:val="false"/>
          <w:color w:val="000000"/>
          <w:sz w:val="22"/>
        </w:rPr>
        <w:t> </w:t>
      </w:r>
      <w:r>
        <w:rPr>
          <w:rFonts w:ascii="Times New Roman" w:hAnsi="Times New Roman"/>
          <w:b w:val="false"/>
          <w:i/>
          <w:color w:val="000000"/>
          <w:sz w:val="22"/>
        </w:rPr>
        <w:t xml:space="preserve">Permit amendment, revocation, and reissuance or termination. </w:t>
      </w:r>
      <w:r>
        <w:rPr>
          <w:rFonts w:ascii="Times New Roman" w:hAnsi="Times New Roman"/>
          <w:b w:val="false"/>
          <w:i w:val="false"/>
          <w:color w:val="000000"/>
          <w:sz w:val="22"/>
        </w:rPr>
        <w:t>The department may amend, revoke and reissue or terminate in whole or part any NPDES permit for cause, either at the request of any interested person, including the permittee, or upon the director’s initiative. Any more stringent requirement pursuant to 40 CFR 122.62, 122.63 or 122.64 shall control. All requests shall be in writing and shall contain reasons for the request. Cause for permit amendment, revocation and reissuance, or termination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change in any condition that requires either a temporary or permanent reduction or elimination of the permitted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retain, make available, or submit the records and information that the department requires in order to ensure compliance with the operation and discharge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all required application material or appropriate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determination by the department that the continued operation of a CAFO constitutes a clear, present and impending danger to public health or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567—65.203</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65.203(1)</w:t>
      </w:r>
      <w:r>
        <w:rPr>
          <w:rFonts w:ascii="Times New Roman" w:hAnsi="Times New Roman"/>
          <w:b w:val="false"/>
          <w:i w:val="false"/>
          <w:color w:val="000000"/>
          <w:sz w:val="22"/>
        </w:rPr>
        <w:t> </w:t>
      </w:r>
      <w:r>
        <w:rPr>
          <w:rFonts w:ascii="Times New Roman" w:hAnsi="Times New Roman"/>
          <w:b w:val="false"/>
          <w:i/>
          <w:color w:val="000000"/>
          <w:sz w:val="22"/>
        </w:rPr>
        <w:t xml:space="preserve">Open feedlot operations required to obtain a construction permit. </w:t>
      </w:r>
      <w:r>
        <w:rPr>
          <w:rFonts w:ascii="Times New Roman" w:hAnsi="Times New Roman"/>
          <w:b w:val="false"/>
          <w:i w:val="false"/>
          <w:color w:val="000000"/>
          <w:sz w:val="22"/>
        </w:rPr>
        <w:t>An open feedlot operation must obtain a construction permit prior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Constructing or expanding a settled open feedlot effluent basin or AT system or installing a settled open feedlot effluent transfer piping system if the open feedlot operation is required to be issued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Increasing the animal unit capacity of the open feedlot operation to more than the animal unit capacity approved by the department in a previous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Increasing the volume of settled open feedlot effluent, settleable solids or open feedlot effluent stored at the open feedlot operation to more than the volume approved by the department in a previous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Repopulating the open feedlot operation if it was discontinued for 24 months or more and the animal unit capacity will be 1,000 animal units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65.203(2)</w:t>
      </w:r>
      <w:r>
        <w:rPr>
          <w:rFonts w:ascii="Times New Roman" w:hAnsi="Times New Roman"/>
          <w:b w:val="false"/>
          <w:i w:val="false"/>
          <w:color w:val="000000"/>
          <w:sz w:val="22"/>
        </w:rPr>
        <w:t> </w:t>
      </w:r>
      <w:r>
        <w:rPr>
          <w:rFonts w:ascii="Times New Roman" w:hAnsi="Times New Roman"/>
          <w:b w:val="false"/>
          <w:i/>
          <w:color w:val="000000"/>
          <w:sz w:val="22"/>
        </w:rPr>
        <w:t xml:space="preserve">When a construction permit is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Research colleges. </w:t>
      </w:r>
      <w:r>
        <w:rPr>
          <w:rFonts w:ascii="Times New Roman" w:hAnsi="Times New Roman"/>
          <w:b w:val="false"/>
          <w:i w:val="false"/>
          <w:color w:val="000000"/>
          <w:sz w:val="22"/>
        </w:rPr>
        <w:t xml:space="preserve">A construction permit is not required for construction of a settled open feedlot effluent basin or AT system if the basin or system is part of an open feedlot operation that is owned by a research college conducting research activities as provided in Iowa Code section </w:t>
      </w:r>
      <w:hyperlink r:id="rId479">
        <w:r>
          <w:rPr>
            <w:rStyle w:val="Hyperlink"/>
            <w:rFonts w:ascii="Times New Roman" w:hAnsi="Times New Roman"/>
            <w:b w:val="false"/>
            <w:i w:val="false"/>
            <w:color w:val="000000"/>
            <w:sz w:val="22"/>
          </w:rPr>
          <w:t>459A.105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Solids settling facilities. </w:t>
      </w:r>
      <w:r>
        <w:rPr>
          <w:rFonts w:ascii="Times New Roman" w:hAnsi="Times New Roman"/>
          <w:b w:val="false"/>
          <w:i w:val="false"/>
          <w:color w:val="000000"/>
          <w:sz w:val="22"/>
        </w:rPr>
        <w:t>If only solids settling facilities are being constructed, a construction permit is not required. If solids settling facilities are proposed as part of a project that includes facilities that require a construction permit, then the proposed solids settling facilities are subject to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65.203(3)</w:t>
      </w:r>
      <w:r>
        <w:rPr>
          <w:rFonts w:ascii="Times New Roman" w:hAnsi="Times New Roman"/>
          <w:b w:val="false"/>
          <w:i w:val="false"/>
          <w:color w:val="000000"/>
          <w:sz w:val="22"/>
        </w:rPr>
        <w:t> </w:t>
      </w:r>
      <w:r>
        <w:rPr>
          <w:rFonts w:ascii="Times New Roman" w:hAnsi="Times New Roman"/>
          <w:b w:val="false"/>
          <w:i/>
          <w:color w:val="000000"/>
          <w:sz w:val="22"/>
        </w:rPr>
        <w:t xml:space="preserve">Applications that cannot be approved. </w:t>
      </w:r>
      <w:r>
        <w:rPr>
          <w:rFonts w:ascii="Times New Roman" w:hAnsi="Times New Roman"/>
          <w:b w:val="false"/>
          <w:i w:val="false"/>
          <w:color w:val="000000"/>
          <w:sz w:val="22"/>
        </w:rPr>
        <w:t>The department shall not approve an application for a construction permit unless 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NMP as provided in rule </w:t>
      </w:r>
      <w:hyperlink r:id="rId480">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an NRCS-qualified staff person certifying that the design of the settled open feedlot effluent basin or AT system complies with the construction design standards required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65.203(4)</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time for approval or disapproval.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w:t>
      </w:r>
      <w:r>
        <w:rPr>
          <w:rFonts w:ascii="Times New Roman" w:hAnsi="Times New Roman"/>
          <w:b w:val="false"/>
          <w:i w:val="false"/>
          <w:color w:val="000000"/>
          <w:sz w:val="22"/>
        </w:rPr>
        <w:t>Review of plans and specifications shall be conducted by the department to determine the potential of the settled open feedlot effluent basin or AT system to achieve the level of control being required of the open feedlot operation. Applicable criteria contained in federal law, state law, these rules, NRCS design standards and specifications, unless inconsistent with federal or state law or these rules, and United States Department of Commerce precipitation data will be used in the review of large CAFOs. If the proposed facility plans are not adequately covered by these criteria, applicable criteria contained in current technical literature shall be used. Medium CAFOs and designated CAFOs shall be evaluated using the department’s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approval or disapproval. </w:t>
      </w:r>
      <w:r>
        <w:rPr>
          <w:rFonts w:ascii="Times New Roman" w:hAnsi="Times New Roman"/>
          <w:b w:val="false"/>
          <w:i w:val="false"/>
          <w:color w:val="000000"/>
          <w:sz w:val="22"/>
        </w:rPr>
        <w:t>The department shall approve or disapprove an application for a construction permit within 60 days after receiving the permit application. However, the applicant may deliver a notice requesting a continuance. Upon receipt of a notice, the time required for the department to act upon the application shall be suspended for the period provided in the notice but for not more than 30 days after the department’s receipt of the notice. The applicant may submit more than one notice. If review of the application is delayed because the application is incomplete, and the applicant fails to supply requested information within a reasonable time prior to the deadline for action on the application, the permit may be denied and a new application will be required if the applicant wishes to proceed. The department may also provide for a continuance when it considers the application. The department shall provide notice to the applicant of the continuance. The time required for the department to act upon the application shall be suspended for the period provided in the notice but for not more than 30 days. However, the department shall not provide for more than one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65.203(5)</w:t>
      </w:r>
      <w:r>
        <w:rPr>
          <w:rFonts w:ascii="Times New Roman" w:hAnsi="Times New Roman"/>
          <w:b w:val="false"/>
          <w:i w:val="false"/>
          <w:color w:val="000000"/>
          <w:sz w:val="22"/>
        </w:rPr>
        <w:t> </w:t>
      </w:r>
      <w:r>
        <w:rPr>
          <w:rFonts w:ascii="Times New Roman" w:hAnsi="Times New Roman"/>
          <w:b w:val="false"/>
          <w:i/>
          <w:color w:val="000000"/>
          <w:sz w:val="22"/>
        </w:rPr>
        <w:t xml:space="preserve">Expiration of construction permits. </w:t>
      </w:r>
      <w:r>
        <w:rPr>
          <w:rFonts w:ascii="Times New Roman" w:hAnsi="Times New Roman"/>
          <w:b w:val="false"/>
          <w:i w:val="false"/>
          <w:color w:val="000000"/>
          <w:sz w:val="22"/>
        </w:rPr>
        <w:t xml:space="preserve">The construction permit shall expire if construction, as defined in rule </w:t>
      </w:r>
      <w:hyperlink r:id="rId481">
        <w:r>
          <w:rPr>
            <w:rStyle w:val="Hyperlink"/>
            <w:rFonts w:ascii="Times New Roman" w:hAnsi="Times New Roman"/>
            <w:b w:val="false"/>
            <w:i w:val="false"/>
            <w:color w:val="000000"/>
            <w:sz w:val="22"/>
          </w:rPr>
          <w:t>567—65.6</w:t>
        </w:r>
      </w:hyperlink>
      <w:r>
        <w:rPr>
          <w:rFonts w:ascii="Times New Roman" w:hAnsi="Times New Roman"/>
          <w:b w:val="false"/>
          <w:i w:val="false"/>
          <w:color w:val="000000"/>
          <w:sz w:val="22"/>
        </w:rPr>
        <w:t>(455B,459,459A,459B), is not begun within one year and completed within three years of the date of issuance. The director may grant an extension of time to begin or complete construction if it is necessary or justified, upon showing of such necessity or justification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65.203(6)</w:t>
      </w:r>
      <w:r>
        <w:rPr>
          <w:rFonts w:ascii="Times New Roman" w:hAnsi="Times New Roman"/>
          <w:b w:val="false"/>
          <w:i w:val="false"/>
          <w:color w:val="000000"/>
          <w:sz w:val="22"/>
        </w:rPr>
        <w:t> </w:t>
      </w:r>
      <w:r>
        <w:rPr>
          <w:rFonts w:ascii="Times New Roman" w:hAnsi="Times New Roman"/>
          <w:b w:val="false"/>
          <w:i/>
          <w:color w:val="000000"/>
          <w:sz w:val="22"/>
        </w:rPr>
        <w:t xml:space="preserve">Revocation of construction permits. </w:t>
      </w:r>
      <w:r>
        <w:rPr>
          <w:rFonts w:ascii="Times New Roman" w:hAnsi="Times New Roman"/>
          <w:b w:val="false"/>
          <w:i w:val="false"/>
          <w:color w:val="000000"/>
          <w:sz w:val="22"/>
        </w:rPr>
        <w:t xml:space="preserve">The department may suspend or revoke a construction permit, modify the terms or conditions of a construction permit, or refuse to renew a permit expiring according to subrule </w:t>
      </w:r>
      <w:hyperlink r:id="rId482">
        <w:r>
          <w:rPr>
            <w:rStyle w:val="Hyperlink"/>
            <w:rFonts w:ascii="Times New Roman" w:hAnsi="Times New Roman"/>
            <w:b w:val="false"/>
            <w:i w:val="false"/>
            <w:color w:val="000000"/>
            <w:sz w:val="22"/>
          </w:rPr>
          <w:t>65.203(5)</w:t>
        </w:r>
      </w:hyperlink>
      <w:r>
        <w:rPr>
          <w:rFonts w:ascii="Times New Roman" w:hAnsi="Times New Roman"/>
          <w:b w:val="false"/>
          <w:i w:val="false"/>
          <w:color w:val="000000"/>
          <w:sz w:val="22"/>
        </w:rPr>
        <w:t xml:space="preserve"> if it determines that the operation of the open feedlot operation constitutes a clear, present and impending danger to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65.203(7)</w:t>
      </w:r>
      <w:r>
        <w:rPr>
          <w:rFonts w:ascii="Times New Roman" w:hAnsi="Times New Roman"/>
          <w:b w:val="false"/>
          <w:i w:val="false"/>
          <w:color w:val="000000"/>
          <w:sz w:val="22"/>
        </w:rPr>
        <w:t> </w:t>
      </w:r>
      <w:r>
        <w:rPr>
          <w:rFonts w:ascii="Times New Roman" w:hAnsi="Times New Roman"/>
          <w:b w:val="false"/>
          <w:i/>
          <w:color w:val="000000"/>
          <w:sz w:val="22"/>
        </w:rPr>
        <w:t xml:space="preserve">Permit prior to construction. </w:t>
      </w:r>
      <w:r>
        <w:rPr>
          <w:rFonts w:ascii="Times New Roman" w:hAnsi="Times New Roman"/>
          <w:b w:val="false"/>
          <w:i w:val="false"/>
          <w:color w:val="000000"/>
          <w:sz w:val="22"/>
        </w:rPr>
        <w:t>An applicant for a construction permit shall notify the department prior to the start of construction for any open feedlot operation structure not required to be covered by a construction permit. The applicant shall not begin construction of a settled open feedlot effluent basin or AT system, or begin installation of a settled open feedlot effluent transfer piping system, until the person has been granted a permit for the construction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567—65.204</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permit application. </w:t>
      </w:r>
      <w:r>
        <w:rPr>
          <w:rFonts w:ascii="Times New Roman" w:hAnsi="Times New Roman"/>
          <w:b w:val="false"/>
          <w:i w:val="false"/>
          <w:color w:val="000000"/>
          <w:sz w:val="22"/>
        </w:rPr>
        <w:t xml:space="preserve">An open feedlot operation required to obtain a construction permit in accordance with the provisions of subrule </w:t>
      </w:r>
      <w:hyperlink r:id="rId483">
        <w:r>
          <w:rPr>
            <w:rStyle w:val="Hyperlink"/>
            <w:rFonts w:ascii="Times New Roman" w:hAnsi="Times New Roman"/>
            <w:b w:val="false"/>
            <w:i w:val="false"/>
            <w:color w:val="000000"/>
            <w:sz w:val="22"/>
          </w:rPr>
          <w:t>65.203(1)</w:t>
        </w:r>
      </w:hyperlink>
      <w:r>
        <w:rPr>
          <w:rFonts w:ascii="Times New Roman" w:hAnsi="Times New Roman"/>
          <w:b w:val="false"/>
          <w:i w:val="false"/>
          <w:color w:val="000000"/>
          <w:sz w:val="22"/>
        </w:rPr>
        <w:t xml:space="preserve"> shall apply for a construction permit at least 90 days before the date that construction, installation, or modification is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65.204(1)</w:t>
      </w:r>
      <w:r>
        <w:rPr>
          <w:rFonts w:ascii="Times New Roman" w:hAnsi="Times New Roman"/>
          <w:b w:val="false"/>
          <w:i w:val="false"/>
          <w:color w:val="000000"/>
          <w:sz w:val="22"/>
        </w:rPr>
        <w:t> </w:t>
      </w:r>
      <w:r>
        <w:rPr>
          <w:rFonts w:ascii="Times New Roman" w:hAnsi="Times New Roman"/>
          <w:b w:val="false"/>
          <w:i w:val="false"/>
          <w:color w:val="000000"/>
          <w:sz w:val="22"/>
        </w:rPr>
        <w:t>Conceptual design. Prior to submitting an application for a construction permit, the applicant may submit a conceptual design and site investigation report to the department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for an open feedlot operation shall be made on a form provided by the department. The application shall include all of the information necessary to enable the department to determine the potential of the proposed settled open feedlot effluent basin or AT system to achieve the level of control required of the open feedlot operation. A construction permit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owner of the open feedlot operation and the name of the open feedlot operation, including the owner’s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open feedlot operation, including the person’s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providing that the application is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 settled open feedlot effluent basin or AT system for an existing open feedlot operation that is not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 settled open feedlot effluent basin or AT system for an existing open feedlot operation that is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construction of a settled open feedlot effluent basin or AT system for a proposed new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for each animal species in the open feedlot operation before and after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by an NRCS-qualified staff person for the settled open feedlot effluent basin or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on the soil and hydrogeologic information for the site, as described in subrules </w:t>
      </w:r>
      <w:hyperlink r:id="rId484">
        <w:r>
          <w:rPr>
            <w:rStyle w:val="Hyperlink"/>
            <w:rFonts w:ascii="Times New Roman" w:hAnsi="Times New Roman"/>
            <w:b w:val="false"/>
            <w:i w:val="false"/>
            <w:color w:val="000000"/>
            <w:sz w:val="22"/>
          </w:rPr>
          <w:t>65.206(2)</w:t>
        </w:r>
      </w:hyperlink>
      <w:r>
        <w:rPr>
          <w:rFonts w:ascii="Times New Roman" w:hAnsi="Times New Roman"/>
          <w:b w:val="false"/>
          <w:i w:val="false"/>
          <w:color w:val="000000"/>
          <w:sz w:val="22"/>
        </w:rPr>
        <w:t xml:space="preserve"> and </w:t>
      </w:r>
      <w:hyperlink r:id="rId485">
        <w:r>
          <w:rPr>
            <w:rStyle w:val="Hyperlink"/>
            <w:rFonts w:ascii="Times New Roman" w:hAnsi="Times New Roman"/>
            <w:b w:val="false"/>
            <w:i w:val="false"/>
            <w:color w:val="000000"/>
            <w:sz w:val="22"/>
          </w:rPr>
          <w:t>65.207(4)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including but not limited to maps, drawings and aerial photos that clearly show the location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feedlot operation and all existing and proposed settled open feedlot effluent basins or AT systems, clean water diversions, and other pertinent features or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open feedlot operation under common ownership or common management and located within 1,250 feet of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public water supply system as defined in Iowa Code section </w:t>
      </w:r>
      <w:hyperlink r:id="rId48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or drinking water well that is located less than the distance from the open feedlot operation required by rule </w:t>
      </w:r>
      <w:hyperlink r:id="rId487">
        <w:r>
          <w:rPr>
            <w:rStyle w:val="Hyperlink"/>
            <w:rFonts w:ascii="Times New Roman" w:hAnsi="Times New Roman"/>
            <w:b w:val="false"/>
            <w:i w:val="false"/>
            <w:color w:val="000000"/>
            <w:sz w:val="22"/>
          </w:rPr>
          <w:t>567—65.205</w:t>
        </w:r>
      </w:hyperlink>
      <w:r>
        <w:rPr>
          <w:rFonts w:ascii="Times New Roman" w:hAnsi="Times New Roman"/>
          <w:b w:val="false"/>
          <w:i w:val="false"/>
          <w:color w:val="000000"/>
          <w:sz w:val="22"/>
        </w:rPr>
        <w:t>(455B,459A). Information shall also be provided as to whether the proposed settled open feedlot effluent basin or AT system will meet all applicable separation distances.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567—65.205</w:t>
      </w:r>
      <w:r>
        <w:rPr>
          <w:rFonts w:ascii="Times New Roman" w:hAnsi="Times New Roman"/>
          <w:b/>
          <w:i w:val="false"/>
          <w:color w:val="000000"/>
          <w:sz w:val="22"/>
        </w:rPr>
        <w:t xml:space="preserve">(455B,459A) </w:t>
      </w:r>
      <w:r>
        <w:rPr>
          <w:rFonts w:ascii="Times New Roman" w:hAnsi="Times New Roman"/>
          <w:b/>
          <w:i w:val="false"/>
          <w:color w:val="000000"/>
          <w:sz w:val="22"/>
        </w:rPr>
        <w:t xml:space="preserve">Water well separation distances for open feedlot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65.205(1)</w:t>
      </w:r>
      <w:r>
        <w:rPr>
          <w:rFonts w:ascii="Times New Roman" w:hAnsi="Times New Roman"/>
          <w:b w:val="false"/>
          <w:i w:val="false"/>
          <w:color w:val="000000"/>
          <w:sz w:val="22"/>
        </w:rPr>
        <w:t> </w:t>
      </w:r>
      <w:r>
        <w:rPr>
          <w:rFonts w:ascii="Times New Roman" w:hAnsi="Times New Roman"/>
          <w:b w:val="false"/>
          <w:i/>
          <w:color w:val="000000"/>
          <w:sz w:val="22"/>
        </w:rPr>
        <w:t xml:space="preserve">Unformed settled open feedlot effluent basins. </w:t>
      </w:r>
      <w:r>
        <w:rPr>
          <w:rFonts w:ascii="Times New Roman" w:hAnsi="Times New Roman"/>
          <w:b w:val="false"/>
          <w:i w:val="false"/>
          <w:color w:val="000000"/>
          <w:sz w:val="22"/>
        </w:rPr>
        <w:t>Unformed settled open feedlot effluent basins shall be separated from water wells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wells. </w:t>
      </w:r>
      <w:r>
        <w:rPr>
          <w:rFonts w:ascii="Times New Roman" w:hAnsi="Times New Roman"/>
          <w:b w:val="false"/>
          <w:i w:val="false"/>
          <w:color w:val="000000"/>
          <w:sz w:val="22"/>
        </w:rPr>
        <w:t>1,000 feet from shallow wells and 400 feet from deep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Private wells. </w:t>
      </w:r>
      <w:r>
        <w:rPr>
          <w:rFonts w:ascii="Times New Roman" w:hAnsi="Times New Roman"/>
          <w:b w:val="false"/>
          <w:i w:val="false"/>
          <w:color w:val="000000"/>
          <w:sz w:val="22"/>
        </w:rPr>
        <w:t>400 feet from both shallow wells and deep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65.205(2)</w:t>
      </w:r>
      <w:r>
        <w:rPr>
          <w:rFonts w:ascii="Times New Roman" w:hAnsi="Times New Roman"/>
          <w:b w:val="false"/>
          <w:i w:val="false"/>
          <w:color w:val="000000"/>
          <w:sz w:val="22"/>
        </w:rPr>
        <w:t> </w:t>
      </w:r>
      <w:r>
        <w:rPr>
          <w:rFonts w:ascii="Times New Roman" w:hAnsi="Times New Roman"/>
          <w:b w:val="false"/>
          <w:i/>
          <w:color w:val="000000"/>
          <w:sz w:val="22"/>
        </w:rPr>
        <w:t xml:space="preserve">Open feedlots, solids settling facilities, formed settled open feedlot effluent basins, feed storage runoff control structures and AT systems. </w:t>
      </w:r>
      <w:r>
        <w:rPr>
          <w:rFonts w:ascii="Times New Roman" w:hAnsi="Times New Roman"/>
          <w:b w:val="false"/>
          <w:i w:val="false"/>
          <w:color w:val="000000"/>
          <w:sz w:val="22"/>
        </w:rPr>
        <w:t>Open feedlots, solids settling facilities, formed settled open feedlot effluent basins, feed storage runoff control structures and AT systems shall be separated from water wells as follows: for both public wells and private wells, 200 feet from shallow wells and 100 feet from deep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567—65.206</w:t>
      </w:r>
      <w:r>
        <w:rPr>
          <w:rFonts w:ascii="Times New Roman" w:hAnsi="Times New Roman"/>
          <w:b/>
          <w:i w:val="false"/>
          <w:color w:val="000000"/>
          <w:sz w:val="22"/>
        </w:rPr>
        <w:t xml:space="preserve">(455B,459A) </w:t>
      </w:r>
      <w:r>
        <w:rPr>
          <w:rFonts w:ascii="Times New Roman" w:hAnsi="Times New Roman"/>
          <w:b/>
          <w:i w:val="false"/>
          <w:color w:val="000000"/>
          <w:sz w:val="22"/>
        </w:rPr>
        <w:t xml:space="preserve">Settled open feedlot effluent basins—investigation, design and construction requirements. </w:t>
      </w:r>
      <w:r>
        <w:rPr>
          <w:rFonts w:ascii="Times New Roman" w:hAnsi="Times New Roman"/>
          <w:b w:val="false"/>
          <w:i w:val="false"/>
          <w:color w:val="000000"/>
          <w:sz w:val="22"/>
        </w:rPr>
        <w:t xml:space="preserve">A settled open feedlot effluent basin required to be constructed pursuant to a construction permit issued pursuant to Iowa Code section </w:t>
      </w:r>
      <w:hyperlink r:id="rId488">
        <w:r>
          <w:rPr>
            <w:rStyle w:val="Hyperlink"/>
            <w:rFonts w:ascii="Times New Roman" w:hAnsi="Times New Roman"/>
            <w:b w:val="false"/>
            <w:i w:val="false"/>
            <w:color w:val="000000"/>
            <w:sz w:val="22"/>
          </w:rPr>
          <w:t>459A.205</w:t>
        </w:r>
      </w:hyperlink>
      <w:r>
        <w:rPr>
          <w:rFonts w:ascii="Times New Roman" w:hAnsi="Times New Roman"/>
          <w:b w:val="false"/>
          <w:i w:val="false"/>
          <w:color w:val="000000"/>
          <w:sz w:val="22"/>
        </w:rPr>
        <w:t xml:space="preserve"> shall meet the design and construction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65.206(1)</w:t>
      </w:r>
      <w:r>
        <w:rPr>
          <w:rFonts w:ascii="Times New Roman" w:hAnsi="Times New Roman"/>
          <w:b w:val="false"/>
          <w:i w:val="false"/>
          <w:color w:val="000000"/>
          <w:sz w:val="22"/>
        </w:rPr>
        <w:t> </w:t>
      </w:r>
      <w:r>
        <w:rPr>
          <w:rFonts w:ascii="Times New Roman" w:hAnsi="Times New Roman"/>
          <w:b w:val="false"/>
          <w:i/>
          <w:color w:val="000000"/>
          <w:sz w:val="22"/>
        </w:rPr>
        <w:t xml:space="preserve">Drainage tile investigation and removal. </w:t>
      </w:r>
      <w:r>
        <w:rPr>
          <w:rFonts w:ascii="Times New Roman" w:hAnsi="Times New Roman"/>
          <w:b w:val="false"/>
          <w:i w:val="false"/>
          <w:color w:val="000000"/>
          <w:sz w:val="22"/>
        </w:rPr>
        <w:t>Prior to constructing a settled open feedlot effluent basin, the site for the basin shall be investigated for drainage tile lines as provided in this subrule. All applicable records of known drainage tiles shall be examined for the existence of drainage tile lines. Prior to the excavation for an unformed manure storage structure, an inspection trench of at least ten inches wide shall be dug around the structure to a depth of at least 6 feet below the original grade and within 25 feet of the proposed outside of the toe of the berm. Drainage tile lines discovered during the tile inspection of a settled open feedlot effluent basin shall be removed and rerouted in the inspection trench or in an area outside of the inspection trench. All tiles within the inspection trench perimeter shall be removed or completely plugged with concrete, grout or similar materials. Drainage tile lines installed at the time of construction to lower the groundwater may remain in place as long as they are outside of the proposed toe of the berm.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65.206(2)</w:t>
      </w:r>
      <w:r>
        <w:rPr>
          <w:rFonts w:ascii="Times New Roman" w:hAnsi="Times New Roman"/>
          <w:b w:val="false"/>
          <w:i w:val="false"/>
          <w:color w:val="000000"/>
          <w:sz w:val="22"/>
        </w:rPr>
        <w:t> </w:t>
      </w:r>
      <w:r>
        <w:rPr>
          <w:rFonts w:ascii="Times New Roman" w:hAnsi="Times New Roman"/>
          <w:b w:val="false"/>
          <w:i/>
          <w:color w:val="000000"/>
          <w:sz w:val="22"/>
        </w:rPr>
        <w:t xml:space="preserve">Soils and hydrogeologic report. </w:t>
      </w:r>
      <w:r>
        <w:rPr>
          <w:rFonts w:ascii="Times New Roman" w:hAnsi="Times New Roman"/>
          <w:b w:val="false"/>
          <w:i w:val="false"/>
          <w:color w:val="000000"/>
          <w:sz w:val="22"/>
        </w:rPr>
        <w:t xml:space="preserve">A settled open feedlot effluent basin required to be constructed pursuant to a construction permit issued pursuant to rule </w:t>
      </w:r>
      <w:hyperlink r:id="rId489">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 xml:space="preserve">(455B,459A) shall meet design standards as required by a soils and hydrogeologic report. The report shall be submitted with the construction permit application as provided in rule </w:t>
      </w:r>
      <w:hyperlink r:id="rId490">
        <w:r>
          <w:rPr>
            <w:rStyle w:val="Hyperlink"/>
            <w:rFonts w:ascii="Times New Roman" w:hAnsi="Times New Roman"/>
            <w:b w:val="false"/>
            <w:i w:val="false"/>
            <w:color w:val="000000"/>
            <w:sz w:val="22"/>
          </w:rPr>
          <w:t>567—65.204</w:t>
        </w:r>
      </w:hyperlink>
      <w:r>
        <w:rPr>
          <w:rFonts w:ascii="Times New Roman" w:hAnsi="Times New Roman"/>
          <w:b w:val="false"/>
          <w:i w:val="false"/>
          <w:color w:val="000000"/>
          <w:sz w:val="22"/>
        </w:rPr>
        <w:t>(455B,459A). The report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steps taken to determine the soils and hydrogeologic conditions at the proposed construction site, a description of the geologic units encountered, and a description of the effects of the soil and groundwater elevation and direction of flow on the construction and operation of the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subsurface soil classification of the site. A subsurface soil classification shall be based on ASTM international designation D 2487-06 or D 2488-06.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soils investigation conducted at a minimum of three locations within the area of the basin reflecting the continuous soil profile existing within the area of the basin. The soils investigation results shall be used in determining subsurface soil characteristics and groundwater elevation and direction of flow at the proposed site. The soils investigation shall be conducted and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qualified person ordinarily engaged in the practice of performing soils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locations that reflect the continuous soil profile conditions existing within the area of the proposed basin, including conditions found near the corners and the deepest point of the proposed basin. The soils investigation shall be conducted to a minimum depth of ten feet below the proposed bottom elevation of the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methods that identify the continuous soil profile and do not result in mixing of soil layers. Soil corings using hollow stem augers and other suitable methods that do not result in soil layer mixing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Soil corings may be used to determine current groundwater levels by completing the corings as temporary monitoring wells as provided in subparagraph </w:t>
      </w:r>
      <w:hyperlink r:id="rId491">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measuring the water levels in these wells no earlier than seven days after installation as provided in subparagraph </w:t>
      </w:r>
      <w:hyperlink r:id="rId492">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abandonment of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excavation methods are used in conducting the soils investigation, upon closure these excavations must be filled with suitable materials and adequately compacted to ensure they will not compromise the integrity of the basin liner.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65.206(3)</w:t>
      </w:r>
      <w:r>
        <w:rPr>
          <w:rFonts w:ascii="Times New Roman" w:hAnsi="Times New Roman"/>
          <w:b w:val="false"/>
          <w:i w:val="false"/>
          <w:color w:val="000000"/>
          <w:sz w:val="22"/>
        </w:rPr>
        <w:t> </w:t>
      </w:r>
      <w:r>
        <w:rPr>
          <w:rFonts w:ascii="Times New Roman" w:hAnsi="Times New Roman"/>
          <w:b w:val="false"/>
          <w:i/>
          <w:color w:val="000000"/>
          <w:sz w:val="22"/>
        </w:rPr>
        <w:t xml:space="preserve">Hydrology.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groundwater table is the seasonal high-water table determined by a PE, a groundwater professional certified pursuant to </w:t>
      </w:r>
      <w:hyperlink r:id="rId493">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groundwater levels shall be measured as provided in this subparagraph for either a formed settled open feedlot effluent basin or an unformed settled open feedlot effluent basin. Three temporary monitoring wells shall be developed according to paragraph </w:t>
      </w:r>
      <w:hyperlink r:id="rId494">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top of the well screen shall be within five feet of the ground surface. Each well shall be extended to at least two feet below the proposed top of the liner of an unformed settled open feedlot effluent basin, or to at least two feet below the proposed bottom of the footings of a formed settled open feedlot effluent basin. In addition, the wells must be installed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Unformed basins. For an unformed settled open feedlot effluent basin, the monitoring wells may be installed in the soil core holes developed as part of conducting the soils investigation required in paragraph </w:t>
      </w:r>
      <w:hyperlink r:id="rId495">
        <w:r>
          <w:rPr>
            <w:rStyle w:val="Hyperlink"/>
            <w:rFonts w:ascii="Times New Roman" w:hAnsi="Times New Roman"/>
            <w:b w:val="false"/>
            <w:i w:val="false"/>
            <w:color w:val="000000"/>
            <w:sz w:val="22"/>
          </w:rPr>
          <w:t>65.206(2)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Formed basins. For a formed settled open feedlot effluent basin, at least three temporary monitoring wells shall be installed as close as possible to three corners of the structure, with one of the wells close to the corner of deepest excavation. If the formed settled open feedlot effluent basin is circular, the three monitoring wells shall be equally spaced and one well shall be placed at the point of deepest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high-water table shall be determined by considering all relevant data, including the groundwater levels measured in the temporary monitoring wells not earlier than seven days following installation, NRCS soil survey information, soil characteristics such as color and mottling, other existing water table data, and other pertinent information. If a drainage system for artificially lowering the groundwater table will be installed in accordance with the requirements of paragraph </w:t>
      </w:r>
      <w:hyperlink r:id="rId496">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settled open feedlot effluent basin shall be constructed with a minimum separation of two feet between the top of the liner of the basin and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drainage tile line around the perimeter of the basin is installed a minimum of two feet below the top of the basin liner to artificially lower the seasonal high-water table, the top of the basin’s liner may be a maximum of four feet below the seasonal high-water table which existed prior to installation of the perimeter tile system. The seasonal high-water table may be artificially lowered by gravity flow tile lines or other similar system. However,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497">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“b”</w:t>
      </w:r>
      <w:r>
        <w:rPr>
          <w:rFonts w:ascii="Times New Roman" w:hAnsi="Times New Roman"/>
          <w:b w:val="false"/>
          <w:i w:val="false"/>
          <w:color w:val="000000"/>
          <w:sz w:val="22"/>
        </w:rPr>
        <w:t>(2), an open feedlot operation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open feedlot operation was constructed before July 1, 2005, the operation may continue to use its existing nongravity mechanical system that uses pumping equipment or it may construct a new nongravity mechanical system that uses pumping equipment. However, an open feedlot operation that expands the area of its open feedlot on or after April 1, 2011,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tile lines may be installed to artificially lower the seasonal high-water table at a settled open feedlot effluent basin, if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device to allow monitoring of the water in the drainage tile lines and a device to allow shutoff of the flow in the drainage tile lines are installed, if the drainage tile lines do not have a surface outlet accessible on the property where the settled open feedlot effluent basin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Drainage tile lines are installed horizontally within 25 feet away from the outside toe of the berm of the settled open feedlot effluent basin. Drainage tile lines shall be placed in a vertical trench and encased in granular material that extends upward to the level of the seasonal high-water table which existed prior to installation of the perimeter tile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Open feedlot operation structures exceeding storage capacity or dam height thresholds may be required to obtain department permits, as specified in rule </w:t>
      </w:r>
      <w:hyperlink r:id="rId498">
        <w:r>
          <w:rPr>
            <w:rStyle w:val="Hyperlink"/>
            <w:rFonts w:ascii="Times New Roman" w:hAnsi="Times New Roman"/>
            <w:b w:val="false"/>
            <w:i w:val="false"/>
            <w:color w:val="000000"/>
            <w:sz w:val="22"/>
          </w:rPr>
          <w:t>567—71.3</w:t>
        </w:r>
      </w:hyperlink>
      <w:r>
        <w:rPr>
          <w:rFonts w:ascii="Times New Roman" w:hAnsi="Times New Roman"/>
          <w:b w:val="false"/>
          <w:i w:val="false"/>
          <w:color w:val="000000"/>
          <w:sz w:val="22"/>
        </w:rPr>
        <w:t xml:space="preserve">(455B) and </w:t>
      </w:r>
      <w:hyperlink r:id="rId499">
        <w:r>
          <w:rPr>
            <w:rStyle w:val="Hyperlink"/>
            <w:rFonts w:ascii="Times New Roman" w:hAnsi="Times New Roman"/>
            <w:b w:val="false"/>
            <w:i w:val="false"/>
            <w:color w:val="000000"/>
            <w:sz w:val="22"/>
          </w:rPr>
          <w:t>567—Chapter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65.206(4)</w:t>
      </w:r>
      <w:r>
        <w:rPr>
          <w:rFonts w:ascii="Times New Roman" w:hAnsi="Times New Roman"/>
          <w:b w:val="false"/>
          <w:i w:val="false"/>
          <w:color w:val="000000"/>
          <w:sz w:val="22"/>
        </w:rPr>
        <w:t> </w:t>
      </w:r>
      <w:r>
        <w:rPr>
          <w:rFonts w:ascii="Times New Roman" w:hAnsi="Times New Roman"/>
          <w:b w:val="false"/>
          <w:i/>
          <w:color w:val="000000"/>
          <w:sz w:val="22"/>
        </w:rPr>
        <w:t xml:space="preserve">Liner design and construction. </w:t>
      </w:r>
      <w:r>
        <w:rPr>
          <w:rFonts w:ascii="Times New Roman" w:hAnsi="Times New Roman"/>
          <w:b w:val="false"/>
          <w:i w:val="false"/>
          <w:color w:val="000000"/>
          <w:sz w:val="22"/>
        </w:rPr>
        <w:t>The liner of a settled open feedlot effluent basin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basin as determined by percolation tests conducted by the PE. If a clay soil liner is used, the liner shall be constructed with a minimum thickness of 12 inches or the minimum thickness necessary to comply with the percolation rate in this paragraph,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basin. The design of the liner will specify a moisture content, compaction requirement, and liner thickness that will comply with the maximum allowable percolation requirement, and will be based on moisture content and percentage of maximum density as determined by a standard 5-point proctor test performed in accordance with ASTM D698 (Method A), effective November 11, 1991. The liner thickness will be based on laboratory tests of the compacted material, with a minimum liner thickness of 12 inches. Appropriate field or laboratory testing during construction shall be provided to verify the design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65.206(5)</w:t>
      </w:r>
      <w:r>
        <w:rPr>
          <w:rFonts w:ascii="Times New Roman" w:hAnsi="Times New Roman"/>
          <w:b w:val="false"/>
          <w:i w:val="false"/>
          <w:color w:val="000000"/>
          <w:sz w:val="22"/>
        </w:rPr>
        <w:t> </w:t>
      </w:r>
      <w:r>
        <w:rPr>
          <w:rFonts w:ascii="Times New Roman" w:hAnsi="Times New Roman"/>
          <w:b w:val="false"/>
          <w:i/>
          <w:color w:val="000000"/>
          <w:sz w:val="22"/>
        </w:rPr>
        <w:t xml:space="preserve">Berm erosion inspection and repair. </w:t>
      </w:r>
      <w:r>
        <w:rPr>
          <w:rFonts w:ascii="Times New Roman" w:hAnsi="Times New Roman"/>
          <w:b w:val="false"/>
          <w:i w:val="false"/>
          <w:color w:val="000000"/>
          <w:sz w:val="22"/>
        </w:rPr>
        <w:t>The owner of an open feedlot operation using a settled open feedlot effluent basin shall inspect the berms of the basin at least semiannually for evidence of erosion. If the inspection reveals erosion which may impact the basin’s structural stability or the integrity of the basin’s liner, the owner shall repair the berms.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65.206(6)</w:t>
      </w:r>
      <w:r>
        <w:rPr>
          <w:rFonts w:ascii="Times New Roman" w:hAnsi="Times New Roman"/>
          <w:b w:val="false"/>
          <w:i w:val="false"/>
          <w:color w:val="000000"/>
          <w:sz w:val="22"/>
        </w:rPr>
        <w:t> </w:t>
      </w:r>
      <w:r>
        <w:rPr>
          <w:rFonts w:ascii="Times New Roman" w:hAnsi="Times New Roman"/>
          <w:b w:val="false"/>
          <w:i/>
          <w:color w:val="000000"/>
          <w:sz w:val="22"/>
        </w:rPr>
        <w:t xml:space="preserve">Unformed basins containing confinement manure and open feedlot effluent. </w:t>
      </w:r>
      <w:r>
        <w:rPr>
          <w:rFonts w:ascii="Times New Roman" w:hAnsi="Times New Roman"/>
          <w:b w:val="false"/>
          <w:i w:val="false"/>
          <w:color w:val="000000"/>
          <w:sz w:val="22"/>
        </w:rPr>
        <w:t xml:space="preserve">Unformed basins containing confinement manure and open feedlot effluent shall meet the confinement construction standards and separation distance requirements provided in Division II of this chapter. The unformed basin design shall ensure adequate storage for the annual manure generation of confinement animals, the annual runoff from the open feedlot portion, including the basin surface area, and the open feedlot runoff resulting from the 25-year, 24-hour precipitation event below the two-foot freeboard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65.206(7)</w:t>
      </w:r>
      <w:r>
        <w:rPr>
          <w:rFonts w:ascii="Times New Roman" w:hAnsi="Times New Roman"/>
          <w:b w:val="false"/>
          <w:i w:val="false"/>
          <w:color w:val="000000"/>
          <w:sz w:val="22"/>
        </w:rPr>
        <w:t> </w:t>
      </w:r>
      <w:r>
        <w:rPr>
          <w:rFonts w:ascii="Times New Roman" w:hAnsi="Times New Roman"/>
          <w:b w:val="false"/>
          <w:i/>
          <w:color w:val="000000"/>
          <w:sz w:val="22"/>
        </w:rPr>
        <w:t xml:space="preserve">Settled open feedlot effluent basin (SOFEB) design and operation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SOFEBs shall have a minimum ten-foot wide top of dike.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SOFEBs shall have a minimum three-foot horizontal to one-foot vertical interior and exterior side slopes.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SOFEBs shall have depth markers installed labeling each foot of depth and critical pumping depths noted according to the designed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SOFEBs shall be designed using the latest available NOAA Atlas 14 Volume 8 Version 2, effective 2013, rainfall data for the county where the SOFEB is located. NOAA data can be obtained from the National Weather Service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567—65.207</w:t>
      </w:r>
      <w:r>
        <w:rPr>
          <w:rFonts w:ascii="Times New Roman" w:hAnsi="Times New Roman"/>
          <w:b/>
          <w:i w:val="false"/>
          <w:color w:val="000000"/>
          <w:sz w:val="22"/>
        </w:rPr>
        <w:t xml:space="preserve">(455B,459A) </w:t>
      </w:r>
      <w:r>
        <w:rPr>
          <w:rFonts w:ascii="Times New Roman" w:hAnsi="Times New Roman"/>
          <w:b/>
          <w:i w:val="false"/>
          <w:color w:val="000000"/>
          <w:sz w:val="22"/>
        </w:rPr>
        <w:t xml:space="preserve">AT systems—design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65.207(1)</w:t>
      </w:r>
      <w:r>
        <w:rPr>
          <w:rFonts w:ascii="Times New Roman" w:hAnsi="Times New Roman"/>
          <w:b w:val="false"/>
          <w:i w:val="false"/>
          <w:color w:val="000000"/>
          <w:sz w:val="22"/>
        </w:rPr>
        <w:t> </w:t>
      </w:r>
      <w:r>
        <w:rPr>
          <w:rFonts w:ascii="Times New Roman" w:hAnsi="Times New Roman"/>
          <w:b w:val="false"/>
          <w:i/>
          <w:color w:val="000000"/>
          <w:sz w:val="22"/>
        </w:rPr>
        <w:t xml:space="preserve">Containment volume.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capacity must be provided within the AT system or within the solids settling facility for the open feedlot operation to contain expected open feedlot effluent from November 1 to March 30 or to hold the precipitation event as required by paragraph </w:t>
      </w:r>
      <w:hyperlink r:id="rId500">
        <w:r>
          <w:rPr>
            <w:rStyle w:val="Hyperlink"/>
            <w:rFonts w:ascii="Times New Roman" w:hAnsi="Times New Roman"/>
            <w:b w:val="false"/>
            <w:i w:val="false"/>
            <w:color w:val="000000"/>
            <w:sz w:val="22"/>
          </w:rPr>
          <w:t>65.200(2)</w:t>
        </w:r>
      </w:hyperlink>
      <w:r>
        <w:rPr>
          <w:rFonts w:ascii="Times New Roman" w:hAnsi="Times New Roman"/>
          <w:b w:val="false"/>
          <w:i/>
          <w:color w:val="000000"/>
          <w:sz w:val="22"/>
        </w:rPr>
        <w:t>“a,”</w:t>
      </w:r>
      <w:r>
        <w:rPr>
          <w:rFonts w:ascii="Times New Roman" w:hAnsi="Times New Roman"/>
          <w:b w:val="false"/>
          <w:i w:val="false"/>
          <w:color w:val="000000"/>
          <w:sz w:val="22"/>
        </w:rPr>
        <w:t xml:space="preserve"> whichever is greater. Controls on the solids settling facility or the AT system shall prevent release of collected open feedlot effluent to waters of the United States during the period from November 1 to March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containment volume required in paragraph </w:t>
      </w:r>
      <w:hyperlink r:id="rId501">
        <w:r>
          <w:rPr>
            <w:rStyle w:val="Hyperlink"/>
            <w:rFonts w:ascii="Times New Roman" w:hAnsi="Times New Roman"/>
            <w:b w:val="false"/>
            <w:i w:val="false"/>
            <w:color w:val="000000"/>
            <w:sz w:val="22"/>
          </w:rPr>
          <w:t>65.207(1)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provided in an open feedlot operation structure whose primary purpose is to remove settleable solids from open feedlot effluent prior to discharge into an AT system, the basin shall not be required to comply with the liner design and construction requirements of subrule </w:t>
      </w:r>
      <w:hyperlink r:id="rId502">
        <w:r>
          <w:rPr>
            <w:rStyle w:val="Hyperlink"/>
            <w:rFonts w:ascii="Times New Roman" w:hAnsi="Times New Roman"/>
            <w:b w:val="false"/>
            <w:i w:val="false"/>
            <w:color w:val="000000"/>
            <w:sz w:val="22"/>
          </w:rPr>
          <w:t>65.206(4)</w:t>
        </w:r>
      </w:hyperlink>
      <w:r>
        <w:rPr>
          <w:rFonts w:ascii="Times New Roman" w:hAnsi="Times New Roman"/>
          <w:b w:val="false"/>
          <w:i w:val="false"/>
          <w:color w:val="000000"/>
          <w:sz w:val="22"/>
        </w:rPr>
        <w:t>, provided the basin does not retain collected open feedlot effluent for more than seven consecutive days following a precipitation event during the period from March 30 to November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65.207(2)</w:t>
      </w:r>
      <w:r>
        <w:rPr>
          <w:rFonts w:ascii="Times New Roman" w:hAnsi="Times New Roman"/>
          <w:b w:val="false"/>
          <w:i w:val="false"/>
          <w:color w:val="000000"/>
          <w:sz w:val="22"/>
        </w:rPr>
        <w:t> </w:t>
      </w:r>
      <w:r>
        <w:rPr>
          <w:rFonts w:ascii="Times New Roman" w:hAnsi="Times New Roman"/>
          <w:b w:val="false"/>
          <w:i/>
          <w:color w:val="000000"/>
          <w:sz w:val="22"/>
        </w:rPr>
        <w:t xml:space="preserve">Solids settling. </w:t>
      </w:r>
      <w:r>
        <w:rPr>
          <w:rFonts w:ascii="Times New Roman" w:hAnsi="Times New Roman"/>
          <w:b w:val="false"/>
          <w:i w:val="false"/>
          <w:color w:val="000000"/>
          <w:sz w:val="22"/>
        </w:rPr>
        <w:t xml:space="preserve">Settleable solids shall be removed from open feedlot effluent prior to discharge of the effluent into an AT system. Solids settling shall be conducted in conformance with the requirements of paragraph </w:t>
      </w:r>
      <w:hyperlink r:id="rId503">
        <w:r>
          <w:rPr>
            <w:rStyle w:val="Hyperlink"/>
            <w:rFonts w:ascii="Times New Roman" w:hAnsi="Times New Roman"/>
            <w:b w:val="false"/>
            <w:i w:val="false"/>
            <w:color w:val="000000"/>
            <w:sz w:val="22"/>
          </w:rPr>
          <w:t>65.200(1)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65.207(3)</w:t>
      </w:r>
      <w:r>
        <w:rPr>
          <w:rFonts w:ascii="Times New Roman" w:hAnsi="Times New Roman"/>
          <w:b w:val="false"/>
          <w:i w:val="false"/>
          <w:color w:val="000000"/>
          <w:sz w:val="22"/>
        </w:rPr>
        <w:t> </w:t>
      </w:r>
      <w:r>
        <w:rPr>
          <w:rFonts w:ascii="Times New Roman" w:hAnsi="Times New Roman"/>
          <w:b w:val="false"/>
          <w:i/>
          <w:color w:val="000000"/>
          <w:sz w:val="22"/>
        </w:rPr>
        <w:t xml:space="preserve">Drainage tile investigation and removal. </w:t>
      </w:r>
      <w:r>
        <w:rPr>
          <w:rFonts w:ascii="Times New Roman" w:hAnsi="Times New Roman"/>
          <w:b w:val="false"/>
          <w:i w:val="false"/>
          <w:color w:val="000000"/>
          <w:sz w:val="22"/>
        </w:rPr>
        <w:t xml:space="preserve">Prior to constructing an AT system, the owner of the open feedlot operation shall investigate the site for the AT system for drainage tile lines. The investigation shall be made by digging a core trench to a depth of at least six feet from ground level at the projected center of the berm of the AT system. A written record of the investigation shall be submitted as part of the construction certification required in rule </w:t>
      </w:r>
      <w:hyperlink r:id="rId504">
        <w:r>
          <w:rPr>
            <w:rStyle w:val="Hyperlink"/>
            <w:rFonts w:ascii="Times New Roman" w:hAnsi="Times New Roman"/>
            <w:b w:val="false"/>
            <w:i w:val="false"/>
            <w:color w:val="000000"/>
            <w:sz w:val="22"/>
          </w:rPr>
          <w:t>567—65.208</w:t>
        </w:r>
      </w:hyperlink>
      <w:r>
        <w:rPr>
          <w:rFonts w:ascii="Times New Roman" w:hAnsi="Times New Roman"/>
          <w:b w:val="false"/>
          <w:i w:val="false"/>
          <w:color w:val="000000"/>
          <w:sz w:val="22"/>
        </w:rPr>
        <w:t>(455B,459A). If a drainage tile line is discovered, one of the following solutions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drainage tile line shall be rerouted around the perimeter of the AT system at a distance of least 25 feet horizontally separated from the toe of the outside berm of the AT system. For an area of the system where there is not a berm, the drainage tile line shall be rerouted at least 50 feet horizontally separated from the edge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drainage tile line shall be replaced with a nonperforated tile line under the AT system. The nonperforated tile line shall be continuous and without connecting joints. There must be a minimum of three feet of separation between the nonperforated tile line and the soil surface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65.207(4)</w:t>
      </w:r>
      <w:r>
        <w:rPr>
          <w:rFonts w:ascii="Times New Roman" w:hAnsi="Times New Roman"/>
          <w:b w:val="false"/>
          <w:i w:val="false"/>
          <w:color w:val="000000"/>
          <w:sz w:val="22"/>
        </w:rPr>
        <w:t> </w:t>
      </w:r>
      <w:r>
        <w:rPr>
          <w:rFonts w:ascii="Times New Roman" w:hAnsi="Times New Roman"/>
          <w:b w:val="false"/>
          <w:i/>
          <w:color w:val="000000"/>
          <w:sz w:val="22"/>
        </w:rPr>
        <w:t xml:space="preserve">Soils and hydrogeologic report. </w:t>
      </w:r>
      <w:r>
        <w:rPr>
          <w:rFonts w:ascii="Times New Roman" w:hAnsi="Times New Roman"/>
          <w:b w:val="false"/>
          <w:i w:val="false"/>
          <w:color w:val="000000"/>
          <w:sz w:val="22"/>
        </w:rPr>
        <w:t xml:space="preserve">An AT system constructed pursuant to a construction permit issued pursuant to rule </w:t>
      </w:r>
      <w:hyperlink r:id="rId505">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 xml:space="preserve">(455B,459A) shall meet design standards as required by a soils and hydrogeologic report. The report shall be submitted with the construction permit application as provided in rule </w:t>
      </w:r>
      <w:hyperlink r:id="rId506">
        <w:r>
          <w:rPr>
            <w:rStyle w:val="Hyperlink"/>
            <w:rFonts w:ascii="Times New Roman" w:hAnsi="Times New Roman"/>
            <w:b w:val="false"/>
            <w:i w:val="false"/>
            <w:color w:val="000000"/>
            <w:sz w:val="22"/>
          </w:rPr>
          <w:t>567—65.204</w:t>
        </w:r>
      </w:hyperlink>
      <w:r>
        <w:rPr>
          <w:rFonts w:ascii="Times New Roman" w:hAnsi="Times New Roman"/>
          <w:b w:val="false"/>
          <w:i w:val="false"/>
          <w:color w:val="000000"/>
          <w:sz w:val="22"/>
        </w:rPr>
        <w:t>(455B, 459A). The report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steps taken to determine the soils and hydrogeologic conditions at the proposed construction site, a description of the geologic units encountered, and a description of the effects of the soil and groundwater elevation and direction of flow on the construction and operation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Subsurface soil classification of the site. A subsurface soil classification shall be based on ASTM international designation D 2487-06 or D 2488-06.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soils investigation conducted at a minimum of three locations within the area of the proposed AT system for AT systems of five acres or less, with one additional soils investigation site utilized for each additional three acres of surface area or fraction thereof. The soils investigation results shall be used in determining subsurface soil characteristics and groundwater elevation and direction of flow at the proposed AT system site. The soils investigation shall be conducted and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qualified person ordinarily engaged in the practice of performing soils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locations that reflect the continuous soil profile conditions existing within the area of the proposed AT system. The soils investigation shall be conducted to a minimum depth of ten feet below the elevation of the soil surface of the proposed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methods that identify the continuous soil profile and do not result in mixing of soil layers. Investigation methods may include soil corings using hollow stem augers, soil test pits, or other suitable methods that do not result in soil layer mixing.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core holes may be used to determine current groundwater levels by completing the core holes as temporary monitoring wells and measuring the water levels in these wells not earlier than seven days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abandonment of the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soil test pits or other excavation methods are used in conducting the soils investigation, upon closure these excavations must be filled with suitable materials and adequately compacted to ensure they will not compromise the integrity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65.207(5)</w:t>
      </w:r>
      <w:r>
        <w:rPr>
          <w:rFonts w:ascii="Times New Roman" w:hAnsi="Times New Roman"/>
          <w:b w:val="false"/>
          <w:i w:val="false"/>
          <w:color w:val="000000"/>
          <w:sz w:val="22"/>
        </w:rPr>
        <w:t> </w:t>
      </w:r>
      <w:r>
        <w:rPr>
          <w:rFonts w:ascii="Times New Roman" w:hAnsi="Times New Roman"/>
          <w:b w:val="false"/>
          <w:i/>
          <w:color w:val="000000"/>
          <w:sz w:val="22"/>
        </w:rPr>
        <w:t xml:space="preserve">Hydrology—groundwater table. </w:t>
      </w:r>
      <w:r>
        <w:rPr>
          <w:rFonts w:ascii="Times New Roman" w:hAnsi="Times New Roman"/>
          <w:b w:val="false"/>
          <w:i w:val="false"/>
          <w:color w:val="000000"/>
          <w:sz w:val="22"/>
        </w:rPr>
        <w:t xml:space="preserve">For purposes of this rule, groundwater table is the seasonal high-water table determined by a PE, a groundwater professional certified pursuant to </w:t>
      </w:r>
      <w:hyperlink r:id="rId50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 measurements. </w:t>
      </w:r>
      <w:r>
        <w:rPr>
          <w:rFonts w:ascii="Times New Roman" w:hAnsi="Times New Roman"/>
          <w:b w:val="false"/>
          <w:i w:val="false"/>
          <w:color w:val="000000"/>
          <w:sz w:val="22"/>
        </w:rPr>
        <w:t>Groundwater levels shall be measured using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monitoring wells. Three temporary monitoring wells shall be developed to a minimum of ten feet below the surface of the proposed AT system and constructed in accordance with requirements of paragraph </w:t>
      </w:r>
      <w:hyperlink r:id="rId508">
        <w:r>
          <w:rPr>
            <w:rStyle w:val="Hyperlink"/>
            <w:rFonts w:ascii="Times New Roman" w:hAnsi="Times New Roman"/>
            <w:b w:val="false"/>
            <w:i w:val="false"/>
            <w:color w:val="000000"/>
            <w:sz w:val="22"/>
          </w:rPr>
          <w:t>65.109(6)</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top of the well screen shall be within five feet of the ground surface. These monitoring wells may be installed in the soil core holes developed as part of conducting the soils investigation required in paragraph </w:t>
      </w:r>
      <w:hyperlink r:id="rId509">
        <w:r>
          <w:rPr>
            <w:rStyle w:val="Hyperlink"/>
            <w:rFonts w:ascii="Times New Roman" w:hAnsi="Times New Roman"/>
            <w:b w:val="false"/>
            <w:i w:val="false"/>
            <w:color w:val="000000"/>
            <w:sz w:val="22"/>
          </w:rPr>
          <w:t>65.207(4)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pits. Test pits may be used in lieu of temporary monitoring wells to determine the seasonal high-water table or prior to the construction of an AT system to ensure the required separation distance to the seasonal high-water table is being met. The bottom of each pit shall be a minimum of five feet below the proposed surface of the AT system. However, if the test pit is also being used to conduct the soils investigation required in paragraph </w:t>
      </w:r>
      <w:hyperlink r:id="rId510">
        <w:r>
          <w:rPr>
            <w:rStyle w:val="Hyperlink"/>
            <w:rFonts w:ascii="Times New Roman" w:hAnsi="Times New Roman"/>
            <w:b w:val="false"/>
            <w:i w:val="false"/>
            <w:color w:val="000000"/>
            <w:sz w:val="22"/>
          </w:rPr>
          <w:t>65.207(4)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bottom of the pit shall be a minimum of ten feet below the surface of the proposed AT system. Each pit shall be allowed to remain open and unaltered for a minimum of seven days for viewing by the department or an NRCS-qualified staff person. Adequate protection (temporary berms and covers) shall be provided to prevent surface runoff from entering the test pits. Test pits shall be located as needed to provide an accurate assessment of soil materials and seasonal high groundwater levels throughout the area of the proposed AT system. A description of the materials present in the test pit shall be documented by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Digital photos;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soils including mottling;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Weather conditions both prior to and during the period in which test pits are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seasonal high-water table. </w:t>
      </w:r>
      <w:r>
        <w:rPr>
          <w:rFonts w:ascii="Times New Roman" w:hAnsi="Times New Roman"/>
          <w:b w:val="false"/>
          <w:i w:val="false"/>
          <w:color w:val="000000"/>
          <w:sz w:val="22"/>
        </w:rPr>
        <w:t>The seasonal high-water table shall be determined by considering all relevant data, including the groundwater levels measured in the temporary monitoring wells or test pits not earlier than seven days following installation, NRCS soil survey information, soil characteristics such as color and mottling found in soil cores and test pits, other existing water table data, and other pertinent information. If a drainage system for artificially lowering the groundwater table will be installed,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Seasonal high-water table. </w:t>
      </w:r>
      <w:r>
        <w:rPr>
          <w:rFonts w:ascii="Times New Roman" w:hAnsi="Times New Roman"/>
          <w:b w:val="false"/>
          <w:i w:val="false"/>
          <w:color w:val="000000"/>
          <w:sz w:val="22"/>
        </w:rPr>
        <w:t>The seasonal high-water table shall be a minimum of four feet below the finished grade of a VTA.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65.207(6)</w:t>
      </w:r>
      <w:r>
        <w:rPr>
          <w:rFonts w:ascii="Times New Roman" w:hAnsi="Times New Roman"/>
          <w:b w:val="false"/>
          <w:i w:val="false"/>
          <w:color w:val="000000"/>
          <w:sz w:val="22"/>
        </w:rPr>
        <w:t> </w:t>
      </w:r>
      <w:r>
        <w:rPr>
          <w:rFonts w:ascii="Times New Roman" w:hAnsi="Times New Roman"/>
          <w:b w:val="false"/>
          <w:i/>
          <w:color w:val="000000"/>
          <w:sz w:val="22"/>
        </w:rPr>
        <w:t xml:space="preserve">Stand-alone VTA.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Computer modeling. </w:t>
      </w:r>
      <w:r>
        <w:rPr>
          <w:rFonts w:ascii="Times New Roman" w:hAnsi="Times New Roman"/>
          <w:b w:val="false"/>
          <w:i w:val="false"/>
          <w:color w:val="000000"/>
          <w:sz w:val="22"/>
        </w:rPr>
        <w:t xml:space="preserve">Results of predictive computer modeling for the proposed alternative technology system shall be used to determine suitability of the proposed site for the system and to predict performance of the alternative technology system as compared to the use of a 25-year, 24-hour runoff containment system, over a 25-year period. A summary of the computer modeling results shall be approved and provided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computer model used to determine whether the proposed AT system will meet the equivalent performance standard shall also be used to establish the minimum required size of the VTA. However, in no case shall the size of the VTA be less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100 percent of the total drainage area (feedlot and other) served if the soil permeability is from six-tenths of an inch to two inches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200 percent of the total drainage area (feedlot and other) served if the soil permeability is from two-tenths to six-tenths of an inch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Slope. </w:t>
      </w:r>
      <w:r>
        <w:rPr>
          <w:rFonts w:ascii="Times New Roman" w:hAnsi="Times New Roman"/>
          <w:b w:val="false"/>
          <w:i w:val="false"/>
          <w:color w:val="000000"/>
          <w:sz w:val="22"/>
        </w:rPr>
        <w:t>The constructed VTA shall be level in one dimension and have a slight slope (maximum of 5 percent) in the other dimension.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Berming. </w:t>
      </w:r>
      <w:r>
        <w:rPr>
          <w:rFonts w:ascii="Times New Roman" w:hAnsi="Times New Roman"/>
          <w:b w:val="false"/>
          <w:i w:val="false"/>
          <w:color w:val="000000"/>
          <w:sz w:val="22"/>
        </w:rPr>
        <w:t>The VTA must be bermed to prevent inflow of surface water from outside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Spreaders. </w:t>
      </w:r>
      <w:r>
        <w:rPr>
          <w:rFonts w:ascii="Times New Roman" w:hAnsi="Times New Roman"/>
          <w:b w:val="false"/>
          <w:i w:val="false"/>
          <w:color w:val="000000"/>
          <w:sz w:val="22"/>
        </w:rPr>
        <w:t>Settled open feedlot effluent must be discharged evenly across the top width of the VTA and allowed to slowly flow downslope through the VTA. Level spreaders, at a maximum six inches tall, or other practices may be required to maintain uniform flow of settled open feedlot effluent across the width of the VTA as flow moves downslope through the VTA.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permeability. </w:t>
      </w:r>
      <w:r>
        <w:rPr>
          <w:rFonts w:ascii="Times New Roman" w:hAnsi="Times New Roman"/>
          <w:b w:val="false"/>
          <w:i w:val="false"/>
          <w:color w:val="000000"/>
          <w:sz w:val="22"/>
        </w:rPr>
        <w:t>Soil permeability within the VTA must be from two-tenths to two inches per hour throughout the soil profile to a depth of five feet. Soil permeability must be verified by conducting on-site or laboratory soil permeability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Groundwater lowering system. </w:t>
      </w:r>
      <w:r>
        <w:rPr>
          <w:rFonts w:ascii="Times New Roman" w:hAnsi="Times New Roman"/>
          <w:b w:val="false"/>
          <w:i w:val="false"/>
          <w:color w:val="000000"/>
          <w:sz w:val="22"/>
        </w:rPr>
        <w:t>The seasonal high-water table within the VTA must be capable of being lowered to a depth of four to five feet with a perimeter tile system installed outside of the VTA. Design information must be provided that demonstrates the adequacy of the proposed groundwater lowering system. The tile system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tile system does not have a surface outlet accessible on the property where the AT system is located, a device to allow monitoring of the water in the tile system and a device to allow shutoff of the flow in the tile system must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Tile lines in the system must be installed horizontally at least 25 feet away from the outside toe of the berm of the VTA.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Tile system to enhance infiltration within the VTA. </w:t>
      </w:r>
      <w:r>
        <w:rPr>
          <w:rFonts w:ascii="Times New Roman" w:hAnsi="Times New Roman"/>
          <w:b w:val="false"/>
          <w:i w:val="false"/>
          <w:color w:val="000000"/>
          <w:sz w:val="22"/>
        </w:rPr>
        <w:t>A tile system may be installed at the perimeter of the VTA cells to enhance infiltration within the VTA. The tile system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Tile lines shall be installed at the centerline of the berms of the VTA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tile lines shall be constructed such that no settled open feedlot effluent can enter the lines except through infiltration through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shutoff valve and sampling point located downslope of the VTA cell shall be provided for each individual tile line. However, if multiple tile lines are brought together into a common tile line, a single shutoff valve and sampling point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the tile lines must be conducted in accordance with the requirements of subparagraph </w:t>
      </w:r>
      <w:hyperlink r:id="rId511">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Depth to sands, gravels, or glacial outwash. </w:t>
      </w:r>
      <w:r>
        <w:rPr>
          <w:rFonts w:ascii="Times New Roman" w:hAnsi="Times New Roman"/>
          <w:b w:val="false"/>
          <w:i w:val="false"/>
          <w:color w:val="000000"/>
          <w:sz w:val="22"/>
        </w:rPr>
        <w:t>A VTA is not allowed if the depth to sands, gravels, or glacial outwash is less than six feet. A soils investigation that documents sands found are in isolated sand lenses that will not have a significant impact on subsurface water flow or groundwater quality shall not prohibit use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Depth to bedrock. </w:t>
      </w:r>
      <w:r>
        <w:rPr>
          <w:rFonts w:ascii="Times New Roman" w:hAnsi="Times New Roman"/>
          <w:b w:val="false"/>
          <w:i w:val="false"/>
          <w:color w:val="000000"/>
          <w:sz w:val="22"/>
        </w:rPr>
        <w:t>A minimum of ten feet of overburden or loose material must exist between the surface of the constructed VTA and underground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Flooding. </w:t>
      </w:r>
      <w:r>
        <w:rPr>
          <w:rFonts w:ascii="Times New Roman" w:hAnsi="Times New Roman"/>
          <w:b w:val="false"/>
          <w:i w:val="false"/>
          <w:color w:val="000000"/>
          <w:sz w:val="22"/>
        </w:rPr>
        <w:t>The VTA must be constructed in areas that are not subject to flooding more frequently than once in 25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Distance to water bodies. </w:t>
      </w:r>
      <w:r>
        <w:rPr>
          <w:rFonts w:ascii="Times New Roman" w:hAnsi="Times New Roman"/>
          <w:b w:val="false"/>
          <w:i w:val="false"/>
          <w:color w:val="000000"/>
          <w:sz w:val="22"/>
        </w:rPr>
        <w:t>The following distances, measured along the path of water flow, shall be provided between the point of discharge from the VTA and the receiving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use streams referenced in </w:t>
      </w:r>
      <w:hyperlink r:id="rId512">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 A minimum distance of 500 feet or ½ foot distance per animal unit capacity of the feedlot area which drains to the VTA, whichever is greater,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other uncrossable intermittent streams. A minimum distance of 200 feet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567—65.208</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open feedlot operation who is issued a construction permit for a settled open feedlot effluent basin or AT system as provided in rule </w:t>
      </w:r>
      <w:hyperlink r:id="rId513">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 shall submit to the department a construction certification from a PE certifying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settled open feedlot effluent basin or AT system was constructed in accordance with the design plans submitted to the department as part of an application for a construction permit pursuant to rule </w:t>
      </w:r>
      <w:hyperlink r:id="rId514">
        <w:r>
          <w:rPr>
            <w:rStyle w:val="Hyperlink"/>
            <w:rFonts w:ascii="Times New Roman" w:hAnsi="Times New Roman"/>
            <w:b w:val="false"/>
            <w:i w:val="false"/>
            <w:color w:val="000000"/>
            <w:sz w:val="22"/>
          </w:rPr>
          <w:t>567—65.204</w:t>
        </w:r>
      </w:hyperlink>
      <w:r>
        <w:rPr>
          <w:rFonts w:ascii="Times New Roman" w:hAnsi="Times New Roman"/>
          <w:b w:val="false"/>
          <w:i w:val="false"/>
          <w:color w:val="000000"/>
          <w:sz w:val="22"/>
        </w:rPr>
        <w:t>(455B,459A). If the actual construction deviates from the approved design plans, the construction certification shall identify all changes and certify that the changes were consistent with all applicable standards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settled open feedlot effluent basin or AT system was inspected by the PE after completion of construction and before commencement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65.208(2)</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record of an investigation for drainage tile lines, including the findings of the investigation and actions taken to comply with subrules </w:t>
      </w:r>
      <w:hyperlink r:id="rId515">
        <w:r>
          <w:rPr>
            <w:rStyle w:val="Hyperlink"/>
            <w:rFonts w:ascii="Times New Roman" w:hAnsi="Times New Roman"/>
            <w:b w:val="false"/>
            <w:i w:val="false"/>
            <w:color w:val="000000"/>
            <w:sz w:val="22"/>
          </w:rPr>
          <w:t>65.206(1)</w:t>
        </w:r>
      </w:hyperlink>
      <w:r>
        <w:rPr>
          <w:rFonts w:ascii="Times New Roman" w:hAnsi="Times New Roman"/>
          <w:b w:val="false"/>
          <w:i w:val="false"/>
          <w:color w:val="000000"/>
          <w:sz w:val="22"/>
        </w:rPr>
        <w:t xml:space="preserve"> and </w:t>
      </w:r>
      <w:hyperlink r:id="rId516">
        <w:r>
          <w:rPr>
            <w:rStyle w:val="Hyperlink"/>
            <w:rFonts w:ascii="Times New Roman" w:hAnsi="Times New Roman"/>
            <w:b w:val="false"/>
            <w:i w:val="false"/>
            <w:color w:val="000000"/>
            <w:sz w:val="22"/>
          </w:rPr>
          <w:t>65.207(3)</w:t>
        </w:r>
      </w:hyperlink>
      <w:r>
        <w:rPr>
          <w:rFonts w:ascii="Times New Roman" w:hAnsi="Times New Roman"/>
          <w:b w:val="false"/>
          <w:i w:val="false"/>
          <w:color w:val="000000"/>
          <w:sz w:val="22"/>
        </w:rPr>
        <w:t>, shall be submitted as part of the construction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567—65.209</w:t>
      </w:r>
      <w:r>
        <w:rPr>
          <w:rFonts w:ascii="Times New Roman" w:hAnsi="Times New Roman"/>
          <w:b/>
          <w:i w:val="false"/>
          <w:color w:val="000000"/>
          <w:sz w:val="22"/>
        </w:rPr>
        <w:t xml:space="preserve">(455B,459A) </w:t>
      </w:r>
      <w:r>
        <w:rPr>
          <w:rFonts w:ascii="Times New Roman" w:hAnsi="Times New Roman"/>
          <w:b/>
          <w:i w:val="false"/>
          <w:color w:val="000000"/>
          <w:sz w:val="22"/>
        </w:rPr>
        <w:t xml:space="preserve">NMP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65.209(1)</w:t>
      </w:r>
      <w:r>
        <w:rPr>
          <w:rFonts w:ascii="Times New Roman" w:hAnsi="Times New Roman"/>
          <w:b w:val="false"/>
          <w:i w:val="false"/>
          <w:color w:val="000000"/>
          <w:sz w:val="22"/>
        </w:rPr>
        <w:t> </w:t>
      </w:r>
      <w:r>
        <w:rPr>
          <w:rFonts w:ascii="Times New Roman" w:hAnsi="Times New Roman"/>
          <w:b w:val="false"/>
          <w:i w:val="false"/>
          <w:color w:val="000000"/>
          <w:sz w:val="22"/>
        </w:rPr>
        <w:t>The owner of an open feedlot operation that has an animal unit capacity of 1,000 animal units or more or that is required to be issued an NPDES permit shall develop and implement an NMP meeting the requirements of this rule. The owner of an open feedlot operation who seeks to obtain or is required to be issued an NPDES permit shall develop and implement an NMP meeting the requirements of this rule no later than the date on which the NPDES permit becomes effective. For the purpose of this rule, requirements pertaining to open feedlot effluent also apply to settled open feedlot effluent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65.209(2)</w:t>
      </w:r>
      <w:r>
        <w:rPr>
          <w:rFonts w:ascii="Times New Roman" w:hAnsi="Times New Roman"/>
          <w:b w:val="false"/>
          <w:i w:val="false"/>
          <w:color w:val="000000"/>
          <w:sz w:val="22"/>
        </w:rPr>
        <w:t> </w:t>
      </w:r>
      <w:r>
        <w:rPr>
          <w:rFonts w:ascii="Times New Roman" w:hAnsi="Times New Roman"/>
          <w:b w:val="false"/>
          <w:i w:val="false"/>
          <w:color w:val="000000"/>
          <w:sz w:val="22"/>
        </w:rPr>
        <w:t xml:space="preserve">Not more than one open feedlot operation shall be covered by a single NMP. For an open feedlot operation that is required to have an NPDES permit and the AFO includes an open feedlot operation and a confinement feeding operation, the NMP must include both the open feedlot operation and the confinement feeding operation if the confinement feeding operation does not have an MMP. If the confinement feeding operation portion of the AFO does have an MMP as required in rules </w:t>
      </w:r>
      <w:hyperlink r:id="rId517">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 xml:space="preserve">(455B,459,459B) and </w:t>
      </w:r>
      <w:hyperlink r:id="rId518">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 xml:space="preserve">(455B,459,459B), the confinement feeding operation portion shall not be included in the NMP; however, in that event, the MMP must be amended to include the information specified in paragraph </w:t>
      </w:r>
      <w:hyperlink r:id="rId519">
        <w:r>
          <w:rPr>
            <w:rStyle w:val="Hyperlink"/>
            <w:rFonts w:ascii="Times New Roman" w:hAnsi="Times New Roman"/>
            <w:b w:val="false"/>
            <w:i w:val="false"/>
            <w:color w:val="000000"/>
            <w:sz w:val="22"/>
          </w:rPr>
          <w:t>65.209(8)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65.209(3)</w:t>
      </w:r>
      <w:r>
        <w:rPr>
          <w:rFonts w:ascii="Times New Roman" w:hAnsi="Times New Roman"/>
          <w:b w:val="false"/>
          <w:i w:val="false"/>
          <w:color w:val="000000"/>
          <w:sz w:val="22"/>
        </w:rPr>
        <w:t> </w:t>
      </w:r>
      <w:r>
        <w:rPr>
          <w:rFonts w:ascii="Times New Roman" w:hAnsi="Times New Roman"/>
          <w:b w:val="false"/>
          <w:i w:val="false"/>
          <w:color w:val="000000"/>
          <w:sz w:val="22"/>
        </w:rPr>
        <w:t>A person shall not remove manure, process wastewater or open feedlot effluent from an open feedlot operation structure that is part of an open feedlot operation for which an NMP is required under this rule, unless the department approves an NMP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approve an application for a permit to construct a settled open feedlot effluent basin or AT system unless the owner of the open feedlot operation applying for approval submits an NMP together with the application for the construction permit as provided in rule </w:t>
      </w:r>
      <w:hyperlink r:id="rId520">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 xml:space="preserve">(455B,459A). The owner shall also submit proof that the owner has published a notice for public comment as provided in subrule </w:t>
      </w:r>
      <w:hyperlink r:id="rId521">
        <w:r>
          <w:rPr>
            <w:rStyle w:val="Hyperlink"/>
            <w:rFonts w:ascii="Times New Roman" w:hAnsi="Times New Roman"/>
            <w:b w:val="false"/>
            <w:i w:val="false"/>
            <w:color w:val="000000"/>
            <w:sz w:val="22"/>
          </w:rPr>
          <w:t>65.209(7)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construction permit is required as provided in rule </w:t>
      </w:r>
      <w:hyperlink r:id="rId522">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 the department shall approve or disapprove the NMP as part of the construction permit application. If a construction permit is not required, the department shall approve or disapprove the NMP within 60 days from the date that the department receives the NMP.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65.209(6)</w:t>
      </w:r>
      <w:r>
        <w:rPr>
          <w:rFonts w:ascii="Times New Roman" w:hAnsi="Times New Roman"/>
          <w:b w:val="false"/>
          <w:i w:val="false"/>
          <w:color w:val="000000"/>
          <w:sz w:val="22"/>
        </w:rPr>
        <w:t> </w:t>
      </w:r>
      <w:r>
        <w:rPr>
          <w:rFonts w:ascii="Times New Roman" w:hAnsi="Times New Roman"/>
          <w:b w:val="false"/>
          <w:i w:val="false"/>
          <w:color w:val="000000"/>
          <w:sz w:val="22"/>
        </w:rPr>
        <w:t>Prior to approving or disapproving an NMP as required in this rule, the department may receive comments exclusively to determine whether the NMP is submitted according to procedures required by the department and that the NMP complies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65.209(7)</w:t>
      </w:r>
      <w:r>
        <w:rPr>
          <w:rFonts w:ascii="Times New Roman" w:hAnsi="Times New Roman"/>
          <w:b w:val="false"/>
          <w:i w:val="false"/>
          <w:color w:val="000000"/>
          <w:sz w:val="22"/>
        </w:rPr>
        <w:t> </w:t>
      </w:r>
      <w:r>
        <w:rPr>
          <w:rFonts w:ascii="Times New Roman" w:hAnsi="Times New Roman"/>
          <w:b w:val="false"/>
          <w:i w:val="false"/>
          <w:color w:val="000000"/>
          <w:sz w:val="22"/>
        </w:rPr>
        <w:t>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the open feedlot operation shall publish a notice for public comment in a newspaper having a general circulation in the county where the open feedlot operation is or is proposed to be located and in the county where manure, process wastewater, or open feedlot effluent that originates from the open feedlot operation may be applied under the terms and conditions of the NMP.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for public comment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owner of the open feedlot operation submitting the NMP.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township where the open feedlot operation is or is proposed to be located and the name of the township where manure, process wastewater, or open feedlot effluent originating from the open feedlot operation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of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when and the place where the NMP may be examined as provided in Iowa Code section </w:t>
      </w:r>
      <w:hyperlink r:id="rId523">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public comment to the department. The notice shall also include procedures for requesting a public hearing conducted by the department. The department is not required to conduct a public hearing if it does not receive a request for the public hearing within ten days after the first publication of the notice for public comment as provided in this subrule. If such a request is received, the public hearing must be conducted within 30 days after the first date that the notice for public comment was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a person may acquire information relevant to making comments under this subrule by accessing the department’s Internet website. The notice for public comment shall include the address of the department’s Internet website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65.209(8)</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24">
        <w:r>
          <w:rPr>
            <w:rStyle w:val="Hyperlink"/>
            <w:rFonts w:ascii="Times New Roman" w:hAnsi="Times New Roman"/>
            <w:b w:val="false"/>
            <w:i w:val="false"/>
            <w:color w:val="000000"/>
            <w:sz w:val="22"/>
          </w:rPr>
          <w:t>65.209(8)</w:t>
        </w:r>
      </w:hyperlink>
      <w:r>
        <w:rPr>
          <w:rFonts w:ascii="Times New Roman" w:hAnsi="Times New Roman"/>
          <w:b w:val="false"/>
          <w:i/>
          <w:color w:val="000000"/>
          <w:sz w:val="22"/>
        </w:rPr>
        <w:t>“f,”</w:t>
      </w:r>
      <w:r>
        <w:rPr>
          <w:rFonts w:ascii="Times New Roman" w:hAnsi="Times New Roman"/>
          <w:b w:val="false"/>
          <w:i w:val="false"/>
          <w:color w:val="000000"/>
          <w:sz w:val="22"/>
        </w:rPr>
        <w:t xml:space="preserve"> an NMP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nitrogen and phosphorus concentration of manure, process wastewater and open feedlot effluent and an estimate of the manure, process wastewater, and open feedlot volume or weight produced by the open feedlot operation, in accordance with subrule </w:t>
      </w:r>
      <w:hyperlink r:id="rId525">
        <w:r>
          <w:rPr>
            <w:rStyle w:val="Hyperlink"/>
            <w:rFonts w:ascii="Times New Roman" w:hAnsi="Times New Roman"/>
            <w:b w:val="false"/>
            <w:i w:val="false"/>
            <w:color w:val="000000"/>
            <w:sz w:val="22"/>
          </w:rPr>
          <w:t>65.111(3)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consistent with the requirements of subrule </w:t>
      </w:r>
      <w:hyperlink r:id="rId526">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 xml:space="preserve">. The 100 pounds of available nitrogen per acre limitation specified in paragraph </w:t>
      </w:r>
      <w:hyperlink r:id="rId527">
        <w:r>
          <w:rPr>
            <w:rStyle w:val="Hyperlink"/>
            <w:rFonts w:ascii="Times New Roman" w:hAnsi="Times New Roman"/>
            <w:b w:val="false"/>
            <w:i w:val="false"/>
            <w:color w:val="000000"/>
            <w:sz w:val="22"/>
          </w:rPr>
          <w:t>65.111(13)</w:t>
        </w:r>
      </w:hyperlink>
      <w:r>
        <w:rPr>
          <w:rFonts w:ascii="Times New Roman" w:hAnsi="Times New Roman"/>
          <w:b w:val="false"/>
          <w:i/>
          <w:color w:val="000000"/>
          <w:sz w:val="22"/>
        </w:rPr>
        <w:t>“c”</w:t>
      </w:r>
      <w:r>
        <w:rPr>
          <w:rFonts w:ascii="Times New Roman" w:hAnsi="Times New Roman"/>
          <w:b w:val="false"/>
          <w:i w:val="false"/>
          <w:color w:val="000000"/>
          <w:sz w:val="22"/>
        </w:rPr>
        <w:t xml:space="preserve"> (applicable to open feedlot operations and combined open feedlot operations and confinement operations with an NPDES permit because of requirements in subrule </w:t>
      </w:r>
      <w:hyperlink r:id="rId528">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pertaining to liquid manure applied to land currently planted to soybeans or to land where a soybean crop is planned applies only to liquid manure, process wastewater or settled open feedlot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manure application. If the application is on land other than land owned or rented for crop production by the owner of the open feedlot operation, the plan shall include a copy of each written agreement executed by the owner of the open feedlot operation and the landowner or the person renting the land for crop production where the manure, process wastewater or open feedlot effluent may be applied. The written agreement shall indicate the number of acres on which the manure, process wastewater or effluent may be applied and the length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phosphorus index of each field in the nutrient management plan, as defined in paragraph </w:t>
      </w:r>
      <w:hyperlink r:id="rId529">
        <w:r>
          <w:rPr>
            <w:rStyle w:val="Hyperlink"/>
            <w:rFonts w:ascii="Times New Roman" w:hAnsi="Times New Roman"/>
            <w:b w:val="false"/>
            <w:i w:val="false"/>
            <w:color w:val="000000"/>
            <w:sz w:val="22"/>
          </w:rPr>
          <w:t>65.111(12)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the factors used in the calculation. A copy of the NRCS phosphorus index detailed report shall satisfy the requirement to include the factors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that shows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storage for manure, process wastewater, stockpiled manure and open feedlot effluent, including procedures to ensure proper operation and maintenance of the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 management of animal mortalities to prevent discharge of pollutants to surface water and to ensure that animals are not disposed of in an open feedlot operation structure or a treatment system that is not specifically designed to treat animal mortalities.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Surface drainage prior to contact with an open feedlot structure is diverted, as appropriate, from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Animals kept in the open feedlot operation do not have direct contact with any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Chemicals or other contaminants handled on site are not disposed of in manure, process wastewater, an open feedlot operation structure or a treatment system that is not specifically designed to treat such chemicals or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used for the land application of manure, process wastewater or open feedlot effluent must be periodically inspected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Appropriate site-specific conservation practices to be implemented, including as appropriate buffers or equivalent practices, to control runoff of pollutants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Protocols for appropriate testing of manure, process wastewater, open feedlot effluent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Protocols to land-apply manure, process wastewater or open feedlot effluent in accordance with site-specific nutrient management practices that ensure appropriate agricultural utilization of the nutrients in the manure, litter, process wastewater or open feedlot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specific records that will be maintained to document the implementation and management of the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scraped solids or settleable solids licensed by IDALS. Open feedlot operations that will sell scraped solids or settleable solids as a commercial fertilizer or soil conditioner regulated by IDALS under Iowa Code chapter </w:t>
      </w:r>
      <w:hyperlink r:id="rId530">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bulk dry animal nutrient product under Iowa Code chapter </w:t>
      </w:r>
      <w:hyperlink r:id="rId531">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shall submit a copy of their site-specific IDALS license or documentation that manure will be sold pursuant to Iowa Code chapter </w:t>
      </w:r>
      <w:hyperlink r:id="rId532">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w:t>
      </w:r>
      <w:hyperlink r:id="rId533">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as regulated by IDALS and may, in lieu of complying with this subrule for that portion of open feedlot effluent, submit to the department a copy of the operation’s site-specific IDALS license or documentation for any scraped solids or settleable solids that will be sold pursuant to Iowa Code chapter </w:t>
      </w:r>
      <w:hyperlink r:id="rId534">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w:t>
      </w:r>
      <w:hyperlink r:id="rId535">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along with the department-approved NMP form for sales of scraped solids or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open feedlot operation must submit a complete NMP using a new phosphorus index, including soil sampling as required in subrule </w:t>
      </w:r>
      <w:hyperlink r:id="rId536">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for each field in the NMP a minimum of once every five years, submitting the plan with the NPDES permit renewal application if the open feedlot operation has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65.209(9)</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open feedlot operation uses an alternative technology system as provided in rule </w:t>
      </w:r>
      <w:hyperlink r:id="rId537">
        <w:r>
          <w:rPr>
            <w:rStyle w:val="Hyperlink"/>
            <w:rFonts w:ascii="Times New Roman" w:hAnsi="Times New Roman"/>
            <w:b w:val="false"/>
            <w:i w:val="false"/>
            <w:color w:val="000000"/>
            <w:sz w:val="22"/>
          </w:rPr>
          <w:t>567—65.207</w:t>
        </w:r>
      </w:hyperlink>
      <w:r>
        <w:rPr>
          <w:rFonts w:ascii="Times New Roman" w:hAnsi="Times New Roman"/>
          <w:b w:val="false"/>
          <w:i w:val="false"/>
          <w:color w:val="000000"/>
          <w:sz w:val="22"/>
        </w:rPr>
        <w:t>(455B,459A), the NMP is not required to provide for settled open feedlot effluent that enters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65.209(10)</w:t>
      </w:r>
      <w:r>
        <w:rPr>
          <w:rFonts w:ascii="Times New Roman" w:hAnsi="Times New Roman"/>
          <w:b w:val="false"/>
          <w:i w:val="false"/>
          <w:color w:val="000000"/>
          <w:sz w:val="22"/>
        </w:rPr>
        <w:t> </w:t>
      </w:r>
      <w:r>
        <w:rPr>
          <w:rFonts w:ascii="Times New Roman" w:hAnsi="Times New Roman"/>
          <w:b w:val="false"/>
          <w:i w:val="false"/>
          <w:color w:val="000000"/>
          <w:sz w:val="22"/>
        </w:rPr>
        <w:t>Current NMP; recordkeeping; record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NMP. </w:t>
      </w:r>
      <w:r>
        <w:rPr>
          <w:rFonts w:ascii="Times New Roman" w:hAnsi="Times New Roman"/>
          <w:b w:val="false"/>
          <w:i w:val="false"/>
          <w:color w:val="000000"/>
          <w:sz w:val="22"/>
        </w:rPr>
        <w:t>The owner of an open feedlot operation who is required to submit an NMP shall maintain a current NMP at the site of the open feedlot operation and shall make the current NMP available to the department upon request. If nutrient management practices change, a person required to submit an NMP shall make appropriate changes consistent with this rule. If values other than the standard table values are used for NMP calculations, the source of the values used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Records shall be maintained by the owner of an open feedlot operation who is required to submit an NMP. This recorded information shall be maintained for five years following the year of application or for the length of the crop rotation, whichever is greater. Records shall be maintained at the site of the open feedlot operation and shall be made available to the department upon request. Records to demonstrate compliance with the NMP shall include the requirements of rule </w:t>
      </w:r>
      <w:hyperlink r:id="rId538">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(455B,459,459B)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Weather conditions at time of application and for 24 hours prior to and following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Date(s) when application equipment was inspected.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records identified in paragraph </w:t>
      </w:r>
      <w:hyperlink r:id="rId539">
        <w:r>
          <w:rPr>
            <w:rStyle w:val="Hyperlink"/>
            <w:rFonts w:ascii="Times New Roman" w:hAnsi="Times New Roman"/>
            <w:b w:val="false"/>
            <w:i w:val="false"/>
            <w:color w:val="000000"/>
            <w:sz w:val="22"/>
          </w:rPr>
          <w:t>65.209(8)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The department may inspect an open feedlot operation at any time during normal working hours and may inspect the NMP and any records required to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567—65.210</w:t>
      </w:r>
      <w:r>
        <w:rPr>
          <w:rFonts w:ascii="Times New Roman" w:hAnsi="Times New Roman"/>
          <w:b w:val="false"/>
          <w:i w:val="false"/>
          <w:color w:val="000000"/>
          <w:sz w:val="22"/>
        </w:rPr>
        <w:t xml:space="preserve"> to </w:t>
      </w:r>
      <w:r>
        <w:rPr>
          <w:rFonts w:ascii="Times New Roman" w:hAnsi="Times New Roman"/>
          <w:b/>
          <w:i w:val="false"/>
          <w:color w:val="000000"/>
          <w:sz w:val="22"/>
        </w:rPr>
        <w:t>65.299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ANIMAL TRUCK WASH FACILITIES</w:t>
      </w:r>
    </w:p>
    <w:p>
      <w:pPr>
        <w:spacing w:before="0" w:after="0"/>
        <w:ind w:left="120"/>
        <w:jc w:val="both"/>
      </w:pPr>
      <w:r>
        <w:rPr>
          <w:rFonts w:ascii="Times New Roman" w:hAnsi="Times New Roman"/>
          <w:b/>
          <w:i w:val="false"/>
          <w:color w:val="000000"/>
          <w:sz w:val="22"/>
        </w:rPr>
        <w:t>567—65.300</w:t>
      </w:r>
      <w:r>
        <w:rPr>
          <w:rFonts w:ascii="Times New Roman" w:hAnsi="Times New Roman"/>
          <w:b/>
          <w:i w:val="false"/>
          <w:color w:val="000000"/>
          <w:sz w:val="22"/>
        </w:rPr>
        <w:t xml:space="preserve">(455B,459A) </w:t>
      </w:r>
      <w:r>
        <w:rPr>
          <w:rFonts w:ascii="Times New Roman" w:hAnsi="Times New Roman"/>
          <w:b/>
          <w:i w:val="false"/>
          <w:color w:val="000000"/>
          <w:sz w:val="22"/>
        </w:rPr>
        <w:t xml:space="preserve">Minimum animal truck wash effluent control requirements. </w:t>
      </w:r>
      <w:r>
        <w:rPr>
          <w:rFonts w:ascii="Times New Roman" w:hAnsi="Times New Roman"/>
          <w:b w:val="false"/>
          <w:i w:val="false"/>
          <w:color w:val="000000"/>
          <w:sz w:val="22"/>
        </w:rPr>
        <w:t xml:space="preserve">An animal truck wash facility shall provide for the management of manure, process wastewater, settleable solids, scraped solids, and animal truck wash effluent by using the control method as provided in subrules </w:t>
      </w:r>
      <w:hyperlink r:id="rId540">
        <w:r>
          <w:rPr>
            <w:rStyle w:val="Hyperlink"/>
            <w:rFonts w:ascii="Times New Roman" w:hAnsi="Times New Roman"/>
            <w:b w:val="false"/>
            <w:i w:val="false"/>
            <w:color w:val="000000"/>
            <w:sz w:val="22"/>
          </w:rPr>
          <w:t>65.300(1) through 65.300(4)</w:t>
        </w:r>
      </w:hyperlink>
      <w:r>
        <w:rPr>
          <w:rFonts w:ascii="Times New Roman" w:hAnsi="Times New Roman"/>
          <w:b w:val="false"/>
          <w:i w:val="false"/>
          <w:color w:val="000000"/>
          <w:sz w:val="22"/>
        </w:rPr>
        <w:t xml:space="preserve">. A release shall be reported to the department as provided in subrule </w:t>
      </w:r>
      <w:hyperlink r:id="rId541">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65.300(1)</w:t>
      </w:r>
      <w:r>
        <w:rPr>
          <w:rFonts w:ascii="Times New Roman" w:hAnsi="Times New Roman"/>
          <w:b w:val="false"/>
          <w:i w:val="false"/>
          <w:color w:val="000000"/>
          <w:sz w:val="22"/>
        </w:rPr>
        <w:t> </w:t>
      </w:r>
      <w:r>
        <w:rPr>
          <w:rFonts w:ascii="Times New Roman" w:hAnsi="Times New Roman"/>
          <w:b w:val="false"/>
          <w:i w:val="false"/>
          <w:color w:val="000000"/>
          <w:sz w:val="22"/>
        </w:rPr>
        <w:t>No direct discharge of animal truck wash effluent shall be allowed from an animal truck wash facility into a publicly owned lake, a known sinkhole, or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65.300(2)</w:t>
      </w:r>
      <w:r>
        <w:rPr>
          <w:rFonts w:ascii="Times New Roman" w:hAnsi="Times New Roman"/>
          <w:b w:val="false"/>
          <w:i w:val="false"/>
          <w:color w:val="000000"/>
          <w:sz w:val="22"/>
        </w:rPr>
        <w:t> </w:t>
      </w:r>
      <w:r>
        <w:rPr>
          <w:rFonts w:ascii="Times New Roman" w:hAnsi="Times New Roman"/>
          <w:b w:val="false"/>
          <w:i w:val="false"/>
          <w:color w:val="000000"/>
          <w:sz w:val="22"/>
        </w:rPr>
        <w:t>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Animal truck wash effluent shall be land-applied in a manner which will not cause pollution of surface water or groundwater. Land application of animal truck wash effluent shall not exceed one inch per hour, and land application shall cease immediately if runoff occurs. Land application of animal truck wash effluent shall be conducted on days when weather and soil conditions are suitable. Weather and soil conditions are normally considered suitable for animal truck wash effluent application if (1) land application areas are not frozen or snow-covered, (2) temperatures during application are greater than 32 degrees Fahrenheit, and (3) precipitation has not exceeded the water holding capacity of the soil to accept the effluent application without the possibility of runoff. Application in accordance with the provisions of state law and the rules in this chapter shall be deemed as compliance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w:t>
      </w:r>
      <w:r>
        <w:rPr>
          <w:rFonts w:ascii="Times New Roman" w:hAnsi="Times New Roman"/>
          <w:b w:val="false"/>
          <w:i w:val="false"/>
          <w:color w:val="000000"/>
          <w:sz w:val="22"/>
        </w:rPr>
        <w:t>A person shall not apply animal truck wash effluent on land located within 750 feet from a residence not owned by the titleholder of the land,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is land-applied by injection or incorporation on the same date as the animal truck wash effluent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titleholder of the land benefiting from the separation distance requirement executes a written waiver with the titleholder of the land where the animal truck wash effluent is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is from a small animal truck wash facility or an animal truck wash facility that is part of a SAFO.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65.300(3)</w:t>
      </w:r>
      <w:r>
        <w:rPr>
          <w:rFonts w:ascii="Times New Roman" w:hAnsi="Times New Roman"/>
          <w:b w:val="false"/>
          <w:i w:val="false"/>
          <w:color w:val="000000"/>
          <w:sz w:val="22"/>
        </w:rPr>
        <w:t> </w:t>
      </w:r>
      <w:r>
        <w:rPr>
          <w:rFonts w:ascii="Times New Roman" w:hAnsi="Times New Roman"/>
          <w:b w:val="false"/>
          <w:i w:val="false"/>
          <w:color w:val="000000"/>
          <w:sz w:val="22"/>
        </w:rPr>
        <w:t>The owner of an animal truck wash facility who discontinues the use of the facility shall remove and land-apply in accordance with state law all manure, process wastewater and animal truck wash effluent from the animal truck wash effluent structures as soon as practical but not later than six months following the date the animal truck wash facility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65.300(4)</w:t>
      </w:r>
      <w:r>
        <w:rPr>
          <w:rFonts w:ascii="Times New Roman" w:hAnsi="Times New Roman"/>
          <w:b w:val="false"/>
          <w:i w:val="false"/>
          <w:color w:val="000000"/>
          <w:sz w:val="22"/>
        </w:rPr>
        <w:t> </w:t>
      </w:r>
      <w:r>
        <w:rPr>
          <w:rFonts w:ascii="Times New Roman" w:hAnsi="Times New Roman"/>
          <w:b w:val="false"/>
          <w:i w:val="false"/>
          <w:color w:val="000000"/>
          <w:sz w:val="22"/>
        </w:rPr>
        <w:t>Stockpiling of scraped solids and settleable solids. Stockpiles of solids scraped from animal truck wash facilities and stockpiles of settleable solids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Stockpiles must be land-applied in accordance with subrule </w:t>
      </w:r>
      <w:hyperlink r:id="rId542">
        <w:r>
          <w:rPr>
            <w:rStyle w:val="Hyperlink"/>
            <w:rFonts w:ascii="Times New Roman" w:hAnsi="Times New Roman"/>
            <w:b w:val="false"/>
            <w:i w:val="false"/>
            <w:color w:val="000000"/>
            <w:sz w:val="22"/>
          </w:rPr>
          <w:t>65.300(2)</w:t>
        </w:r>
      </w:hyperlink>
      <w:r>
        <w:rPr>
          <w:rFonts w:ascii="Times New Roman" w:hAnsi="Times New Roman"/>
          <w:b w:val="false"/>
          <w:i w:val="false"/>
          <w:color w:val="000000"/>
          <w:sz w:val="22"/>
        </w:rPr>
        <w:t xml:space="preserve"> as soon as possible but not later than six months after they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400 feet from a designated area or, in the case of a high-quality water, within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in grassed waterways or areas where water ponds or has concentrated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200 feet of a terrace tile inlet or surface tile inlet or known sinkhole unless the stockpile is located so that any runoff from the stockpile will not reach the inlet or sinkhole.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on land having a slope of more than 3 percent unless methods, structures or practices are implemented to contain the stockpiled solids, including but not limited to hay bales, silt fences, temporary earthen berms, or other effective measures, and to prevent or diminish precipitation-induced runoff from the stockpiled solids.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567—65.301</w:t>
      </w:r>
      <w:r>
        <w:rPr>
          <w:rFonts w:ascii="Times New Roman" w:hAnsi="Times New Roman"/>
          <w:b/>
          <w:i w:val="false"/>
          <w:color w:val="000000"/>
          <w:sz w:val="22"/>
        </w:rPr>
        <w:t xml:space="preserve">(455B,459,459A) </w:t>
      </w:r>
      <w:r>
        <w:rPr>
          <w:rFonts w:ascii="Times New Roman" w:hAnsi="Times New Roman"/>
          <w:b/>
          <w:i w:val="false"/>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65.301(1)</w:t>
      </w:r>
      <w:r>
        <w:rPr>
          <w:rFonts w:ascii="Times New Roman" w:hAnsi="Times New Roman"/>
          <w:b w:val="false"/>
          <w:i w:val="false"/>
          <w:color w:val="000000"/>
          <w:sz w:val="22"/>
        </w:rPr>
        <w:t> </w:t>
      </w:r>
      <w:r>
        <w:rPr>
          <w:rFonts w:ascii="Times New Roman" w:hAnsi="Times New Roman"/>
          <w:b w:val="false"/>
          <w:i/>
          <w:color w:val="000000"/>
          <w:sz w:val="22"/>
        </w:rPr>
        <w:t xml:space="preserve">Animal truck wash facilities required to obtain a construction permit. </w:t>
      </w:r>
      <w:r>
        <w:rPr>
          <w:rFonts w:ascii="Times New Roman" w:hAnsi="Times New Roman"/>
          <w:b w:val="false"/>
          <w:i w:val="false"/>
          <w:color w:val="000000"/>
          <w:sz w:val="22"/>
        </w:rPr>
        <w:t>An animal truck wash facility must obtain a construction permit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or expansion of an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previously issued the animal truck wash facility a construction permit and the volume of the animal truck wash effluent would be more than the volume approved by the department in the previous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animal truck wash facility is part of a confinement feeding operation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issued a construction permit or an NPDES permit for the confinement feeding operation or a letter approving a construction design statement for the confinement feeding operation in lieu of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will be added to an existing manure storage structure resulting in a total stored volume greater than that approved in the construction permit or the construction design statement approval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animal truck wash facility is part of an open feedlot operation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issued a construction permit or an NPDES permit for an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will be added to an existing settled open feedlot effluent basin resulting in a total stored volume greater than that approved in the construction permit or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animal truck wash facility is constructed or expanded as part of a SAFO that includes a manure storage structure and the animal truck wash effluent will be added to the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65.301(2)</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not required. </w:t>
      </w:r>
      <w:r>
        <w:rPr>
          <w:rFonts w:ascii="Times New Roman" w:hAnsi="Times New Roman"/>
          <w:b w:val="false"/>
          <w:i w:val="false"/>
          <w:color w:val="000000"/>
          <w:sz w:val="22"/>
        </w:rPr>
        <w:t>A construction permit is not required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small animal truck wash facility is constructed or expanded and remains a small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small animal truck wash facility is part of a SAFO and the animal truck wash effluent is added to the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 that cannot be approved. </w:t>
      </w:r>
      <w:r>
        <w:rPr>
          <w:rFonts w:ascii="Times New Roman" w:hAnsi="Times New Roman"/>
          <w:b w:val="false"/>
          <w:i w:val="false"/>
          <w:color w:val="000000"/>
          <w:sz w:val="22"/>
        </w:rPr>
        <w:t>The department shall not approve an application for a construction permit unless 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NMP as provided in rule </w:t>
      </w:r>
      <w:hyperlink r:id="rId543">
        <w:r>
          <w:rPr>
            <w:rStyle w:val="Hyperlink"/>
            <w:rFonts w:ascii="Times New Roman" w:hAnsi="Times New Roman"/>
            <w:b w:val="false"/>
            <w:i w:val="false"/>
            <w:color w:val="000000"/>
            <w:sz w:val="22"/>
          </w:rPr>
          <w:t>567—65.306</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an NRCS-qualified staff person certifying that the design of the animal truck wash effluent structure complies with the construction design standards required in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65.301(4)</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time for approval or disapproval.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w:t>
      </w:r>
      <w:r>
        <w:rPr>
          <w:rFonts w:ascii="Times New Roman" w:hAnsi="Times New Roman"/>
          <w:b w:val="false"/>
          <w:i w:val="false"/>
          <w:color w:val="000000"/>
          <w:sz w:val="22"/>
        </w:rPr>
        <w:t>Review of plans and specifications shall be conducted by the department to determine the potential of the animal truck wash effluent structure to achieve the level of control being required of the animal truck wash facility. Applicable criteria contained in federal law, state law, these rules, NRCS design standards and specifications unless inconsistent with federal or state law or these rules will be used in this review. If the proposed facility plans are not adequately covered by these criteria, applicable criteria contained in current technical literature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approval or disapproval. </w:t>
      </w:r>
      <w:r>
        <w:rPr>
          <w:rFonts w:ascii="Times New Roman" w:hAnsi="Times New Roman"/>
          <w:b w:val="false"/>
          <w:i w:val="false"/>
          <w:color w:val="000000"/>
          <w:sz w:val="22"/>
        </w:rPr>
        <w:t>The department shall approve or disapprove an application for a construction permit within 60 days after receiving the permit application. However, the applicant may deliver a notice requesting a continuance. Upon receipt of a notice, the time required for the department to act upon the application shall be suspended for the period provided in the notice but for not more than 30 days after the department’s receipt of the notice. The applicant may submit more than one notice. If review of the application is delayed because the application is incomplete, and the applicant fails to supply requested information within a reasonable time prior to the deadline for action on the application, the permit may be denied and a new application will be required if the applicant wishes to proceed. The department may also provide for a continuance when it considers the application. The department shall provide notice to the applicant of the continuance. The time required for the department to act upon the application shall be suspended for the period provided in the notice but for not more than 30 days. However, the department shall not provide for more than one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65.301(5)</w:t>
      </w:r>
      <w:r>
        <w:rPr>
          <w:rFonts w:ascii="Times New Roman" w:hAnsi="Times New Roman"/>
          <w:b w:val="false"/>
          <w:i w:val="false"/>
          <w:color w:val="000000"/>
          <w:sz w:val="22"/>
        </w:rPr>
        <w:t> </w:t>
      </w:r>
      <w:r>
        <w:rPr>
          <w:rFonts w:ascii="Times New Roman" w:hAnsi="Times New Roman"/>
          <w:b w:val="false"/>
          <w:i/>
          <w:color w:val="000000"/>
          <w:sz w:val="22"/>
        </w:rPr>
        <w:t xml:space="preserve">Expiration of construction permits. </w:t>
      </w:r>
      <w:r>
        <w:rPr>
          <w:rFonts w:ascii="Times New Roman" w:hAnsi="Times New Roman"/>
          <w:b w:val="false"/>
          <w:i w:val="false"/>
          <w:color w:val="000000"/>
          <w:sz w:val="22"/>
        </w:rPr>
        <w:t xml:space="preserve">The construction permit shall expire if construction, as defined in rule </w:t>
      </w:r>
      <w:hyperlink r:id="rId544">
        <w:r>
          <w:rPr>
            <w:rStyle w:val="Hyperlink"/>
            <w:rFonts w:ascii="Times New Roman" w:hAnsi="Times New Roman"/>
            <w:b w:val="false"/>
            <w:i w:val="false"/>
            <w:color w:val="000000"/>
            <w:sz w:val="22"/>
          </w:rPr>
          <w:t>567—65.6</w:t>
        </w:r>
      </w:hyperlink>
      <w:r>
        <w:rPr>
          <w:rFonts w:ascii="Times New Roman" w:hAnsi="Times New Roman"/>
          <w:b w:val="false"/>
          <w:i w:val="false"/>
          <w:color w:val="000000"/>
          <w:sz w:val="22"/>
        </w:rPr>
        <w:t>(455B,459,459A,459B), is not begun within one year and completed within three years of the date of issuance. The director may grant an extension of time to begin or complete construction if it is necessary or justified, upon showing of such necessity or justification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65.301(6)</w:t>
      </w:r>
      <w:r>
        <w:rPr>
          <w:rFonts w:ascii="Times New Roman" w:hAnsi="Times New Roman"/>
          <w:b w:val="false"/>
          <w:i w:val="false"/>
          <w:color w:val="000000"/>
          <w:sz w:val="22"/>
        </w:rPr>
        <w:t> </w:t>
      </w:r>
      <w:r>
        <w:rPr>
          <w:rFonts w:ascii="Times New Roman" w:hAnsi="Times New Roman"/>
          <w:b w:val="false"/>
          <w:i/>
          <w:color w:val="000000"/>
          <w:sz w:val="22"/>
        </w:rPr>
        <w:t xml:space="preserve">Revocation of construction permits. </w:t>
      </w:r>
      <w:r>
        <w:rPr>
          <w:rFonts w:ascii="Times New Roman" w:hAnsi="Times New Roman"/>
          <w:b w:val="false"/>
          <w:i w:val="false"/>
          <w:color w:val="000000"/>
          <w:sz w:val="22"/>
        </w:rPr>
        <w:t xml:space="preserve">The department may suspend or revoke a construction permit, modify the terms or conditions of a construction permit, or refuse to renew a construction permit expiring according to subrule </w:t>
      </w:r>
      <w:hyperlink r:id="rId545">
        <w:r>
          <w:rPr>
            <w:rStyle w:val="Hyperlink"/>
            <w:rFonts w:ascii="Times New Roman" w:hAnsi="Times New Roman"/>
            <w:b w:val="false"/>
            <w:i w:val="false"/>
            <w:color w:val="000000"/>
            <w:sz w:val="22"/>
          </w:rPr>
          <w:t>65.301(5)</w:t>
        </w:r>
      </w:hyperlink>
      <w:r>
        <w:rPr>
          <w:rFonts w:ascii="Times New Roman" w:hAnsi="Times New Roman"/>
          <w:b w:val="false"/>
          <w:i w:val="false"/>
          <w:color w:val="000000"/>
          <w:sz w:val="22"/>
        </w:rPr>
        <w:t xml:space="preserve"> if it determines that the operation of the animal truck wash facility constitutes a clear, present and impending danger to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65.301(7)</w:t>
      </w:r>
      <w:r>
        <w:rPr>
          <w:rFonts w:ascii="Times New Roman" w:hAnsi="Times New Roman"/>
          <w:b w:val="false"/>
          <w:i w:val="false"/>
          <w:color w:val="000000"/>
          <w:sz w:val="22"/>
        </w:rPr>
        <w:t> </w:t>
      </w:r>
      <w:r>
        <w:rPr>
          <w:rFonts w:ascii="Times New Roman" w:hAnsi="Times New Roman"/>
          <w:b w:val="false"/>
          <w:i/>
          <w:color w:val="000000"/>
          <w:sz w:val="22"/>
        </w:rPr>
        <w:t xml:space="preserve">Permit prior to construction. </w:t>
      </w:r>
      <w:r>
        <w:rPr>
          <w:rFonts w:ascii="Times New Roman" w:hAnsi="Times New Roman"/>
          <w:b w:val="false"/>
          <w:i w:val="false"/>
          <w:color w:val="000000"/>
          <w:sz w:val="22"/>
        </w:rPr>
        <w:t>An applicant for a construction permit shall notify the department prior to the start of construction for any animal truck wash facility. The applicant shall not begin construction of an animal truck wash facility until the person has been granted a permit for the construction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65.301(8)</w:t>
      </w:r>
      <w:r>
        <w:rPr>
          <w:rFonts w:ascii="Times New Roman" w:hAnsi="Times New Roman"/>
          <w:b w:val="false"/>
          <w:i w:val="false"/>
          <w:color w:val="000000"/>
          <w:sz w:val="22"/>
        </w:rPr>
        <w:t> </w:t>
      </w:r>
      <w:r>
        <w:rPr>
          <w:rFonts w:ascii="Times New Roman" w:hAnsi="Times New Roman"/>
          <w:b w:val="false"/>
          <w:i/>
          <w:color w:val="000000"/>
          <w:sz w:val="22"/>
        </w:rPr>
        <w:t xml:space="preserve">Materials used in animal truck wash. </w:t>
      </w:r>
      <w:r>
        <w:rPr>
          <w:rFonts w:ascii="Times New Roman" w:hAnsi="Times New Roman"/>
          <w:b w:val="false"/>
          <w:i w:val="false"/>
          <w:color w:val="000000"/>
          <w:sz w:val="22"/>
        </w:rPr>
        <w:t>A facility that performs acid washing, aluminum brightening, or other such processes that significantly increase the metals concentration of the effluent is not considered an animal truck wash facility for purposes of this provision. Use of disinfectant materials to control and prevent animal diseases is allowed.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567—65.302</w:t>
      </w:r>
      <w:r>
        <w:rPr>
          <w:rFonts w:ascii="Times New Roman" w:hAnsi="Times New Roman"/>
          <w:b/>
          <w:i w:val="false"/>
          <w:color w:val="000000"/>
          <w:sz w:val="22"/>
        </w:rPr>
        <w:t xml:space="preserve">(455B,459,459A) </w:t>
      </w:r>
      <w:r>
        <w:rPr>
          <w:rFonts w:ascii="Times New Roman" w:hAnsi="Times New Roman"/>
          <w:b/>
          <w:i w:val="false"/>
          <w:color w:val="000000"/>
          <w:sz w:val="22"/>
        </w:rPr>
        <w:t xml:space="preserve">Separation distances.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65.302(1)</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for the construction or expansion of an animal truck wash effluent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animal truck wash effluent structure shall not be constructed or expanded within 1,250 feet from a residence not owned by the titleholder of the animal truck wash facility, a commercial enterprise, a bona fide religious institution, an educational institution, or a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animal truck wash effluent structure shall not be constructed or expanded within 100 feet from a public thoroughfare.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separation distance required for a confinement feeding operation structure and a location or object specified in Table 6 for “Water Wells” and “Other Distances” located at </w:t>
      </w:r>
      <w:hyperlink r:id="rId54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also apply to the animal truck wash effluent structure and that same location or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animal truck wash effluent structure shall not be constructed or expanded on land that is part of a one hundred 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65.302(2)</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distances for the construction or expansion of an animal truck wash effluent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547">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apply if a residence, educational institution, bona fide religious institution, or commercial enterprise was constructed or expanded, or if the boundaries of a public use area were expanded, after the date that the animal truck wash facility was established. The date the animal truck wash facility was established is the date on which the animal truck wash facility commenced operating. A change in ownership or expansion of an animal truck wash facility shall not change the date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548">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do not apply if the titleholder of the land benefiting from the separation distance requirement, including a person authorized by the titleholder, executes a written waiver with the owner of the animal truck wash effluent structure. The structure shall be constructed or expanded under such terms and conditions that the parties negotiate. The state or a political subdivision constructing or maintaining the public thoroughfare benefiting from the separation distance requirement may execute a written waiver with the titleholder of the land where the structure is located. The structure shall be constructed or expanded under such terms and conditions that the parties negotiate. The waiver shall be specific to the construction or expansion project for which it is submitted. The waiver may include specific language to include future projects or expansions.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549">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not apply to small animal truck wash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Exemptions to separation distance requirements from water sources, major water sources, known sinkholes, agricultural drainage wells and designated wetlands and secondary containment. As specified in Iowa Code section </w:t>
      </w:r>
      <w:hyperlink r:id="rId550">
        <w:r>
          <w:rPr>
            <w:rStyle w:val="Hyperlink"/>
            <w:rFonts w:ascii="Times New Roman" w:hAnsi="Times New Roman"/>
            <w:b w:val="false"/>
            <w:i w:val="false"/>
            <w:color w:val="000000"/>
            <w:sz w:val="22"/>
          </w:rPr>
          <w:t>459.310(3)</w:t>
        </w:r>
      </w:hyperlink>
      <w:r>
        <w:rPr>
          <w:rFonts w:ascii="Times New Roman" w:hAnsi="Times New Roman"/>
          <w:b w:val="false"/>
          <w:i w:val="false"/>
          <w:color w:val="000000"/>
          <w:sz w:val="22"/>
        </w:rPr>
        <w:t xml:space="preserve">, the separation distance required from surface intakes, wellheads or cisterns of agricultural drainage wells, known sinkholes, water sources, major water sources and designated wetlands, specified in Iowa Code section </w:t>
      </w:r>
      <w:hyperlink r:id="rId551">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summarized in Tables 6 to 6d located at </w:t>
      </w:r>
      <w:hyperlink r:id="rId55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not apply to a farm pond or privately owned lake as defined in Iowa Code section </w:t>
      </w:r>
      <w:hyperlink r:id="rId553">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 xml:space="preserve"> or to an animal truck wash effluent structure constructed with a secondary containment barrier according to subrule </w:t>
      </w:r>
      <w:hyperlink r:id="rId554">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To qualify for this separation distance exemption, the design of the secondary containment barrier shall be filed in accordance with subrule </w:t>
      </w:r>
      <w:hyperlink r:id="rId555">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prior to beginning construction of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556">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shall not apply to the replacement of an unformed animal truck wash effluent structure constructed prior to April 28, 2003, with a formed animal truck wash effluent structure. The capacity of a replacement animal truck wash effluent structure shall not exceed the amount required to store animal truck wash effluent for any 18-month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65.302(3)</w:t>
      </w:r>
      <w:r>
        <w:rPr>
          <w:rFonts w:ascii="Times New Roman" w:hAnsi="Times New Roman"/>
          <w:b w:val="false"/>
          <w:i w:val="false"/>
          <w:color w:val="000000"/>
          <w:sz w:val="22"/>
        </w:rPr>
        <w:t> </w:t>
      </w:r>
      <w:r>
        <w:rPr>
          <w:rFonts w:ascii="Times New Roman" w:hAnsi="Times New Roman"/>
          <w:b w:val="false"/>
          <w:i/>
          <w:color w:val="000000"/>
          <w:sz w:val="22"/>
        </w:rPr>
        <w:t xml:space="preserve">Unformed animal truck wash effluent structures. </w:t>
      </w:r>
      <w:r>
        <w:rPr>
          <w:rFonts w:ascii="Times New Roman" w:hAnsi="Times New Roman"/>
          <w:b w:val="false"/>
          <w:i w:val="false"/>
          <w:color w:val="000000"/>
          <w:sz w:val="22"/>
        </w:rPr>
        <w:t>Unformed animal truck wash effluent structures shall be separated from water wells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wells. </w:t>
      </w:r>
      <w:r>
        <w:rPr>
          <w:rFonts w:ascii="Times New Roman" w:hAnsi="Times New Roman"/>
          <w:b w:val="false"/>
          <w:i w:val="false"/>
          <w:color w:val="000000"/>
          <w:sz w:val="22"/>
        </w:rPr>
        <w:t>1,000 feet from shallow wells and 400 feet from deep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Private wells. </w:t>
      </w:r>
      <w:r>
        <w:rPr>
          <w:rFonts w:ascii="Times New Roman" w:hAnsi="Times New Roman"/>
          <w:b w:val="false"/>
          <w:i w:val="false"/>
          <w:color w:val="000000"/>
          <w:sz w:val="22"/>
        </w:rPr>
        <w:t>400 feet from both shallow wells and deep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65.302(4)</w:t>
      </w:r>
      <w:r>
        <w:rPr>
          <w:rFonts w:ascii="Times New Roman" w:hAnsi="Times New Roman"/>
          <w:b w:val="false"/>
          <w:i w:val="false"/>
          <w:color w:val="000000"/>
          <w:sz w:val="22"/>
        </w:rPr>
        <w:t> </w:t>
      </w:r>
      <w:r>
        <w:rPr>
          <w:rFonts w:ascii="Times New Roman" w:hAnsi="Times New Roman"/>
          <w:b w:val="false"/>
          <w:i/>
          <w:color w:val="000000"/>
          <w:sz w:val="22"/>
        </w:rPr>
        <w:t xml:space="preserve">Formed animal truck wash effluent structures. </w:t>
      </w:r>
      <w:r>
        <w:rPr>
          <w:rFonts w:ascii="Times New Roman" w:hAnsi="Times New Roman"/>
          <w:b w:val="false"/>
          <w:i w:val="false"/>
          <w:color w:val="000000"/>
          <w:sz w:val="22"/>
        </w:rPr>
        <w:t>Formed animal truck wash effluent structures shall be separated from water wells as follows: for both public wells and private wells, 200 feet from shallow wells and 100 feet from deep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567—65.303</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animal truck wash facility required to obtain a construction permit in accordance with the provisions of subrule </w:t>
      </w:r>
      <w:hyperlink r:id="rId557">
        <w:r>
          <w:rPr>
            <w:rStyle w:val="Hyperlink"/>
            <w:rFonts w:ascii="Times New Roman" w:hAnsi="Times New Roman"/>
            <w:b w:val="false"/>
            <w:i w:val="false"/>
            <w:color w:val="000000"/>
            <w:sz w:val="22"/>
          </w:rPr>
          <w:t>65.301(1)</w:t>
        </w:r>
      </w:hyperlink>
      <w:r>
        <w:rPr>
          <w:rFonts w:ascii="Times New Roman" w:hAnsi="Times New Roman"/>
          <w:b w:val="false"/>
          <w:i w:val="false"/>
          <w:color w:val="000000"/>
          <w:sz w:val="22"/>
        </w:rPr>
        <w:t xml:space="preserve"> shall apply for the construction permit at least 90 days before the date that construction, installation, or modification is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for an animal truck wash facility shall be made on a form provided by the department. The application shall include all of the information necessary to enable the department to determine the potential of the proposed animal truck wash effluent structure to achieve the level of control required of the animal truck wash facility. A construction permit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animal truck wash facility and the name of the owner of the animal truck wash facility, including the owner’s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animal truck wash facility, including the person’s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providing that the application is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an animal truck wash effluent structure for an existing animal truck wash facility that is not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an animal truck wash effluent structure for an existing animal truck wash facility that is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construction of an animal truck wash effluent structure for a proposed new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by an NRCS-qualified staff person. The engineering report must demonstrate that the storage capacity of the animal truck wash effluent structure is equal to or greater than the amount of effluent to be stored for any six-month period, in addition to two feet of freeboard for an unformed animal truck wash effluent structure or one foot of freeboard for a 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on the soil and hydrogeologic information for the site, as described in subrule </w:t>
      </w:r>
      <w:hyperlink r:id="rId558">
        <w:r>
          <w:rPr>
            <w:rStyle w:val="Hyperlink"/>
            <w:rFonts w:ascii="Times New Roman" w:hAnsi="Times New Roman"/>
            <w:b w:val="false"/>
            <w:i w:val="false"/>
            <w:color w:val="000000"/>
            <w:sz w:val="22"/>
          </w:rPr>
          <w:t>65.304(2)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Information including but not limited to maps, drawings and aerial photos that clearly show the location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truck wash facility and all existing and proposed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animal truck wash facility under common ownership or common management and located within 1,250 feet of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public water supply system as defined in Iowa Code section </w:t>
      </w:r>
      <w:hyperlink r:id="rId559">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or drinking water well that is located less than the distance from the animal truck wash facility required by subrules </w:t>
      </w:r>
      <w:hyperlink r:id="rId560">
        <w:r>
          <w:rPr>
            <w:rStyle w:val="Hyperlink"/>
            <w:rFonts w:ascii="Times New Roman" w:hAnsi="Times New Roman"/>
            <w:b w:val="false"/>
            <w:i w:val="false"/>
            <w:color w:val="000000"/>
            <w:sz w:val="22"/>
          </w:rPr>
          <w:t>65.302(3)</w:t>
        </w:r>
      </w:hyperlink>
      <w:r>
        <w:rPr>
          <w:rFonts w:ascii="Times New Roman" w:hAnsi="Times New Roman"/>
          <w:b w:val="false"/>
          <w:i w:val="false"/>
          <w:color w:val="000000"/>
          <w:sz w:val="22"/>
        </w:rPr>
        <w:t xml:space="preserve"> and </w:t>
      </w:r>
      <w:hyperlink r:id="rId561">
        <w:r>
          <w:rPr>
            <w:rStyle w:val="Hyperlink"/>
            <w:rFonts w:ascii="Times New Roman" w:hAnsi="Times New Roman"/>
            <w:b w:val="false"/>
            <w:i w:val="false"/>
            <w:color w:val="000000"/>
            <w:sz w:val="22"/>
          </w:rPr>
          <w:t>65.302(4)</w:t>
        </w:r>
      </w:hyperlink>
      <w:r>
        <w:rPr>
          <w:rFonts w:ascii="Times New Roman" w:hAnsi="Times New Roman"/>
          <w:b w:val="false"/>
          <w:i w:val="false"/>
          <w:color w:val="000000"/>
          <w:sz w:val="22"/>
        </w:rPr>
        <w:t>. Information shall also be provided as to whether the proposed animal truck wash effluent structure will meet all applicable separation distances.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567—65.304</w:t>
      </w:r>
      <w:r>
        <w:rPr>
          <w:rFonts w:ascii="Times New Roman" w:hAnsi="Times New Roman"/>
          <w:b/>
          <w:i w:val="false"/>
          <w:color w:val="000000"/>
          <w:sz w:val="22"/>
        </w:rPr>
        <w:t xml:space="preserve">(455B,459A) </w:t>
      </w:r>
      <w:r>
        <w:rPr>
          <w:rFonts w:ascii="Times New Roman" w:hAnsi="Times New Roman"/>
          <w:b/>
          <w:i w:val="false"/>
          <w:color w:val="000000"/>
          <w:sz w:val="22"/>
        </w:rPr>
        <w:t xml:space="preserve">Unformed animal truck wash effluent structure—investigation; design; construction requirements. </w:t>
      </w:r>
      <w:r>
        <w:rPr>
          <w:rFonts w:ascii="Times New Roman" w:hAnsi="Times New Roman"/>
          <w:b w:val="false"/>
          <w:i w:val="false"/>
          <w:color w:val="000000"/>
          <w:sz w:val="22"/>
        </w:rPr>
        <w:t xml:space="preserve">An unformed animal truck wash effluent structure required to be constructed pursuant to a construction permit issued pursuant to Iowa Code section </w:t>
      </w:r>
      <w:hyperlink r:id="rId562">
        <w:r>
          <w:rPr>
            <w:rStyle w:val="Hyperlink"/>
            <w:rFonts w:ascii="Times New Roman" w:hAnsi="Times New Roman"/>
            <w:b w:val="false"/>
            <w:i w:val="false"/>
            <w:color w:val="000000"/>
            <w:sz w:val="22"/>
          </w:rPr>
          <w:t>459A.205</w:t>
        </w:r>
      </w:hyperlink>
      <w:r>
        <w:rPr>
          <w:rFonts w:ascii="Times New Roman" w:hAnsi="Times New Roman"/>
          <w:b w:val="false"/>
          <w:i w:val="false"/>
          <w:color w:val="000000"/>
          <w:sz w:val="22"/>
        </w:rPr>
        <w:t xml:space="preserve"> shall meet the design and construction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65.304(1)</w:t>
      </w:r>
      <w:r>
        <w:rPr>
          <w:rFonts w:ascii="Times New Roman" w:hAnsi="Times New Roman"/>
          <w:b w:val="false"/>
          <w:i w:val="false"/>
          <w:color w:val="000000"/>
          <w:sz w:val="22"/>
        </w:rPr>
        <w:t> </w:t>
      </w:r>
      <w:r>
        <w:rPr>
          <w:rFonts w:ascii="Times New Roman" w:hAnsi="Times New Roman"/>
          <w:b w:val="false"/>
          <w:i/>
          <w:color w:val="000000"/>
          <w:sz w:val="22"/>
        </w:rPr>
        <w:t xml:space="preserve">Drainage tile investigation and removal. </w:t>
      </w:r>
      <w:r>
        <w:rPr>
          <w:rFonts w:ascii="Times New Roman" w:hAnsi="Times New Roman"/>
          <w:b w:val="false"/>
          <w:i w:val="false"/>
          <w:color w:val="000000"/>
          <w:sz w:val="22"/>
        </w:rPr>
        <w:t>Prior to constructing an unformed truck wash effluent basin, the site for the basin shall be investigated for drainage tile lines as provided in this subrule. All applicable records of known drainage tiles shall be examined for the existence of drainage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excavation for an unformed manure storage structure, an inspection trench of at least ten inches wide shall be dug around the structure to a depth of at least 6 feet below the original grade and within 25 feet of the proposed outside of the toe of the berm.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Drainage tile lines discovered during the tile inspection of an unformed manure storage structure shall be removed and rerouted in the inspection trench or in an area outside of the inspection trench. All tiles within the inspection trench perimeter shall be removed or completely plugged with concrete, grout or similar materials. Drainage tile lines installed at the time of construction to lower the groundwater may remain in place as long as they are outside of the proposed toe of berm.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65.304(2)</w:t>
      </w:r>
      <w:r>
        <w:rPr>
          <w:rFonts w:ascii="Times New Roman" w:hAnsi="Times New Roman"/>
          <w:b w:val="false"/>
          <w:i w:val="false"/>
          <w:color w:val="000000"/>
          <w:sz w:val="22"/>
        </w:rPr>
        <w:t> </w:t>
      </w:r>
      <w:r>
        <w:rPr>
          <w:rFonts w:ascii="Times New Roman" w:hAnsi="Times New Roman"/>
          <w:b w:val="false"/>
          <w:i/>
          <w:color w:val="000000"/>
          <w:sz w:val="22"/>
        </w:rPr>
        <w:t xml:space="preserve">Soils and hydrogeologic report. </w:t>
      </w:r>
      <w:r>
        <w:rPr>
          <w:rFonts w:ascii="Times New Roman" w:hAnsi="Times New Roman"/>
          <w:b w:val="false"/>
          <w:i w:val="false"/>
          <w:color w:val="000000"/>
          <w:sz w:val="22"/>
        </w:rPr>
        <w:t xml:space="preserve">An unformed animal truck wash effluent structure required to be constructed pursuant to a construction permit issued pursuant to rule </w:t>
      </w:r>
      <w:hyperlink r:id="rId563">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 xml:space="preserve">(455B,459,459A) shall meet design standards as required by a soils and hydrogeologic report. The report shall be submitted with the construction permit application as provided in rule </w:t>
      </w:r>
      <w:hyperlink r:id="rId564">
        <w:r>
          <w:rPr>
            <w:rStyle w:val="Hyperlink"/>
            <w:rFonts w:ascii="Times New Roman" w:hAnsi="Times New Roman"/>
            <w:b w:val="false"/>
            <w:i w:val="false"/>
            <w:color w:val="000000"/>
            <w:sz w:val="22"/>
          </w:rPr>
          <w:t>567—65.303</w:t>
        </w:r>
      </w:hyperlink>
      <w:r>
        <w:rPr>
          <w:rFonts w:ascii="Times New Roman" w:hAnsi="Times New Roman"/>
          <w:b w:val="false"/>
          <w:i w:val="false"/>
          <w:color w:val="000000"/>
          <w:sz w:val="22"/>
        </w:rPr>
        <w:t>(455B,459A). The report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steps taken to determine the soils and hydrogeologic conditions at the proposed construction site, a description of the geologic units encountered, and a description of the effects of the soil and groundwater elevation and direction of flow on the construction and operation of the unformed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subsurface soil classification of the site. A subsurface soil classification shall be based on ASTM international designation D 2487-06 or D 2488-06.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soils investigation conducted at a minimum of three locations within the area of the unformed animal truck wash effluent structure reflecting the continuous soil profile existing within the area of the unformed animal truck wash effluent structure. The soils investigation results shall be used in determining subsurface soil characteristics and groundwater elevation and direction of flow at the proposed site. The soils investigation shall be conducted and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qualified person ordinarily engaged in the practice of performing soils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locations that reflect the continuous soil profile conditions existing within the area of the proposed unformed animal truck wash effluent structure, including conditions found near the corners and the deepest point of the proposed unformed animal truck wash effluent structure. The soils investigation shall be conducted to a minimum depth of ten feet below the proposed bottom elevation of the unformed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methods that identify the continuous soil profile and do not result in mixing of soil layers. Soil corings using hollow-stem augers and other suitable methods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Soil corings may be used to determine current groundwater levels by completing the corings as temporary monitoring wells as provided in subparagraph </w:t>
      </w:r>
      <w:hyperlink r:id="rId565">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measuring the water levels in these wells no earlier than seven days after installation as provided in subparagraph </w:t>
      </w:r>
      <w:hyperlink r:id="rId566">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abandonment of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excavation methods are used in conducting the soils investigation, upon closure these excavations must be filled with suitable materials and adequately compacted to ensure they will not compromise the integrity of the unformed animal truck wash effluent structure liner.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65.304(3)</w:t>
      </w:r>
      <w:r>
        <w:rPr>
          <w:rFonts w:ascii="Times New Roman" w:hAnsi="Times New Roman"/>
          <w:b w:val="false"/>
          <w:i w:val="false"/>
          <w:color w:val="000000"/>
          <w:sz w:val="22"/>
        </w:rPr>
        <w:t> </w:t>
      </w:r>
      <w:r>
        <w:rPr>
          <w:rFonts w:ascii="Times New Roman" w:hAnsi="Times New Roman"/>
          <w:b w:val="false"/>
          <w:i/>
          <w:color w:val="000000"/>
          <w:sz w:val="22"/>
        </w:rPr>
        <w:t xml:space="preserve">Hydrology.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groundwater table. For purposes of this rule, the groundwater table is the seasonal high-water table determined by a PE, a groundwater professional certified pursuant to </w:t>
      </w:r>
      <w:hyperlink r:id="rId56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groundwater levels shall be measured as provided in this subparagraph for an unformed animal truck wash effluent structure. Three temporary monitoring wells shall be installed. The top of the well screen shall be within five feet of the ground surface. Each well shall be extended to at least two feet below the proposed top of the liner of an unformed animal truck wash effluent structure or to at least two feet below the proposed bottom of the footings of a formed animal truck wash effluent structure. In addition, the wells must be installed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Unformed animal truck wash effluent structure. For an unformed animal truck wash effluent structure, the monitoring wells may be installed in the soil core holes developed as part of conducting the soils investigation required in paragraph </w:t>
      </w:r>
      <w:hyperlink r:id="rId568">
        <w:r>
          <w:rPr>
            <w:rStyle w:val="Hyperlink"/>
            <w:rFonts w:ascii="Times New Roman" w:hAnsi="Times New Roman"/>
            <w:b w:val="false"/>
            <w:i w:val="false"/>
            <w:color w:val="000000"/>
            <w:sz w:val="22"/>
          </w:rPr>
          <w:t>65.304(2)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Formed animal truck wash effluent structure. For a formed animal truck wash effluent structure, at least three temporary monitoring wells shall be installed as close as possible to three corners of the structure, with one of the wells close to the corner of deepest excavation. If the formed animal truck wash effluent structure is circular, the three monitoring wells shall be equally spaced and one well shall be placed at the point of deepest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high-water table shall be determined by considering all relevant data, including the groundwater levels measured in the temporary monitoring wells not earlier than seven days following installation, NRCS soil survey information, soil characteristics such as color and mottling, other existing water table data, and other pertinent information. If a drainage system for artificially lowering the groundwater table will be installed in accordance with the requirements of paragraph </w:t>
      </w:r>
      <w:hyperlink r:id="rId569">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unformed animal truck wash effluent structure shall be constructed with a minimum separation of two feet between the top of the liner of the unformed animal truck wash effluent structure and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drainage tile line around the perimeter of the basin is installed a minimum of two feet below the top of the unformed animal truck wash effluent structure liner to artificially lower the seasonal high-water table, the top of the unformed animal truck wash effluent structure’s liner may be a maximum of four feet below the seasonal high-water table which existed prior to installation of the perimeter tile system. The seasonal high-water table may be artificially lowered by gravity flow tile lines or other similar system. However,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70">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“c”</w:t>
      </w:r>
      <w:r>
        <w:rPr>
          <w:rFonts w:ascii="Times New Roman" w:hAnsi="Times New Roman"/>
          <w:b w:val="false"/>
          <w:i w:val="false"/>
          <w:color w:val="000000"/>
          <w:sz w:val="22"/>
        </w:rPr>
        <w:t>(2), an animal truck wash facility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animal truck wash facility was constructed before July 1, 2005, the operation may continue to use its existing nongravity mechanical system that uses pumping equipment or it may construct a new nongravity mechanical system that uses pumping equipment. However, an animal truck wash facility that expands the area of its animal truck wash facility on or after April 1, 2011,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tile lines may be installed to artificially lower the seasonal high-water table at an unformed animal truck wash effluent structure, if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device to allow monitoring of the water in the drainage tile lines and a device to allow shutoff of the flow in the drainage tile lines are installed, if the drainage tile lines do not have a surface outlet accessible on the property where the unformed animal truck wash effluent structure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Drainage tile lines are installed horizontally no greater than 25 feet away from the outside toe of the berm of the unformed animal truck wash effluent structure. Drainage tile lines shall be placed in a vertical trench and encased in granular material which extends upward to the level of the seasonal high-water table which existed prior to installation of the perimeter tile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65.304(4)</w:t>
      </w:r>
      <w:r>
        <w:rPr>
          <w:rFonts w:ascii="Times New Roman" w:hAnsi="Times New Roman"/>
          <w:b w:val="false"/>
          <w:i w:val="false"/>
          <w:color w:val="000000"/>
          <w:sz w:val="22"/>
        </w:rPr>
        <w:t> </w:t>
      </w:r>
      <w:r>
        <w:rPr>
          <w:rFonts w:ascii="Times New Roman" w:hAnsi="Times New Roman"/>
          <w:b w:val="false"/>
          <w:i/>
          <w:color w:val="000000"/>
          <w:sz w:val="22"/>
        </w:rPr>
        <w:t xml:space="preserve">Liner design and construction. </w:t>
      </w:r>
      <w:r>
        <w:rPr>
          <w:rFonts w:ascii="Times New Roman" w:hAnsi="Times New Roman"/>
          <w:b w:val="false"/>
          <w:i w:val="false"/>
          <w:color w:val="000000"/>
          <w:sz w:val="22"/>
        </w:rPr>
        <w:t>The liner of an unformed animal truck wash effluent structure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liner shall comply with any of the following permeability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unformed animal truck wash effluent structure as determined by percolation tests conducted by the PE. If a clay soil liner is used, the liner shall be constructed with a minimum thickness of 12 inches or the minimum thickness necessary to comply with the percolation rate in this subparagraph,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unformed animal truck wash effluent structure. The design of the liner will specify a moisture content, compaction requirement, and liner thickness that will comply with the maximum allowable percolation requirement and will be based on moisture content and percentage of maximum density as determined by a standard 5-point proctor test performed in accordance with ASTM D698 (Method A), effective date November 11, 1991. The liner thickness will be based on laboratory tests of the compacted material, with a minimum liner thickness of 12 inches. Appropriate field or laboratory testing during construction shall be provided to verify the design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synthetic liner is used, the liner shall be installed to comply with the percolation rate required in subparagraph </w:t>
      </w:r>
      <w:hyperlink r:id="rId571">
        <w:r>
          <w:rPr>
            <w:rStyle w:val="Hyperlink"/>
            <w:rFonts w:ascii="Times New Roman" w:hAnsi="Times New Roman"/>
            <w:b w:val="false"/>
            <w:i w:val="false"/>
            <w:color w:val="000000"/>
            <w:sz w:val="22"/>
          </w:rPr>
          <w:t>65.304(4)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65.304(5)</w:t>
      </w:r>
      <w:r>
        <w:rPr>
          <w:rFonts w:ascii="Times New Roman" w:hAnsi="Times New Roman"/>
          <w:b w:val="false"/>
          <w:i w:val="false"/>
          <w:color w:val="000000"/>
          <w:sz w:val="22"/>
        </w:rPr>
        <w:t> </w:t>
      </w:r>
      <w:r>
        <w:rPr>
          <w:rFonts w:ascii="Times New Roman" w:hAnsi="Times New Roman"/>
          <w:b w:val="false"/>
          <w:i/>
          <w:color w:val="000000"/>
          <w:sz w:val="22"/>
        </w:rPr>
        <w:t xml:space="preserve">Berm erosion inspection and repair. </w:t>
      </w:r>
      <w:r>
        <w:rPr>
          <w:rFonts w:ascii="Times New Roman" w:hAnsi="Times New Roman"/>
          <w:b w:val="false"/>
          <w:i w:val="false"/>
          <w:color w:val="000000"/>
          <w:sz w:val="22"/>
        </w:rPr>
        <w:t>The owner of an animal truck wash facility using an unformed animal truck wash effluent structure shall inspect the berms of the unformed animal truck wash effluent structure at least semiannually for evidence of erosion. If the inspection reveals erosion that may impact the unformed animal truck wash effluent structure’s structural stability or the integrity of the unformed animal truck wash effluent structure’s liner, the owner shall repair the berms.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65.304(6)</w:t>
      </w:r>
      <w:r>
        <w:rPr>
          <w:rFonts w:ascii="Times New Roman" w:hAnsi="Times New Roman"/>
          <w:b w:val="false"/>
          <w:i w:val="false"/>
          <w:color w:val="000000"/>
          <w:sz w:val="22"/>
        </w:rPr>
        <w:t> </w:t>
      </w:r>
      <w:r>
        <w:rPr>
          <w:rFonts w:ascii="Times New Roman" w:hAnsi="Times New Roman"/>
          <w:b w:val="false"/>
          <w:i/>
          <w:color w:val="000000"/>
          <w:sz w:val="22"/>
        </w:rPr>
        <w:t xml:space="preserve">Basins containing confinement manure and animal truck wash effluent. </w:t>
      </w:r>
      <w:r>
        <w:rPr>
          <w:rFonts w:ascii="Times New Roman" w:hAnsi="Times New Roman"/>
          <w:b w:val="false"/>
          <w:i w:val="false"/>
          <w:color w:val="000000"/>
          <w:sz w:val="22"/>
        </w:rPr>
        <w:t>Basins containing confinement manure and animal truck wash effluent shall meet the confinement construction standards and separation distance requirements provided in Division II of this chapter. The basin design shall ensure adequate storage including two feet of freeboard for an unformed animal truck wash effluent structure or one foot of freeboard for a formed animal truck wash effluent structure. The basin shall contain the annual manure generated from all confinement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65.304(7)</w:t>
      </w:r>
      <w:r>
        <w:rPr>
          <w:rFonts w:ascii="Times New Roman" w:hAnsi="Times New Roman"/>
          <w:b w:val="false"/>
          <w:i w:val="false"/>
          <w:color w:val="000000"/>
          <w:sz w:val="22"/>
        </w:rPr>
        <w:t> </w:t>
      </w:r>
      <w:r>
        <w:rPr>
          <w:rFonts w:ascii="Times New Roman" w:hAnsi="Times New Roman"/>
          <w:b w:val="false"/>
          <w:i/>
          <w:color w:val="000000"/>
          <w:sz w:val="22"/>
        </w:rPr>
        <w:t xml:space="preserve">Formed animal truck wash effluent structures. </w:t>
      </w:r>
      <w:r>
        <w:rPr>
          <w:rFonts w:ascii="Times New Roman" w:hAnsi="Times New Roman"/>
          <w:b w:val="false"/>
          <w:i w:val="false"/>
          <w:color w:val="000000"/>
          <w:sz w:val="22"/>
        </w:rPr>
        <w:t xml:space="preserve">An animal truck wash facility electing to use a formed animal truck wash effluent structure may submit, in lieu of an engineering report, a construction design statement that meets the requirements in subrule </w:t>
      </w:r>
      <w:hyperlink r:id="rId572">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567—65.305</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animal truck wash facility who is issued a construction permit for an animal truck wash effluent structure as provided in rule </w:t>
      </w:r>
      <w:hyperlink r:id="rId573">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(455B,459,459A) shall submit to the department a construction certification on a form provided by the department from a PE certifying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animal truck wash effluent structure was constructed in accordance with the design plans submitted to the department as part of an application for a construction permit pursuant to rule </w:t>
      </w:r>
      <w:hyperlink r:id="rId574">
        <w:r>
          <w:rPr>
            <w:rStyle w:val="Hyperlink"/>
            <w:rFonts w:ascii="Times New Roman" w:hAnsi="Times New Roman"/>
            <w:b w:val="false"/>
            <w:i w:val="false"/>
            <w:color w:val="000000"/>
            <w:sz w:val="22"/>
          </w:rPr>
          <w:t>567—65.303</w:t>
        </w:r>
      </w:hyperlink>
      <w:r>
        <w:rPr>
          <w:rFonts w:ascii="Times New Roman" w:hAnsi="Times New Roman"/>
          <w:b w:val="false"/>
          <w:i w:val="false"/>
          <w:color w:val="000000"/>
          <w:sz w:val="22"/>
        </w:rPr>
        <w:t>(455B,459A). If the actual construction deviates from the approved design plans, the construction certification shall identify all changes and certify that the changes were consistent with all applicable standards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structure was inspected by the PE after completion of construction and before commencement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65.305(2)</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record of an investigation for drainage tile lines, including the findings of the investigation and actions taken to comply with subrule </w:t>
      </w:r>
      <w:hyperlink r:id="rId575">
        <w:r>
          <w:rPr>
            <w:rStyle w:val="Hyperlink"/>
            <w:rFonts w:ascii="Times New Roman" w:hAnsi="Times New Roman"/>
            <w:b w:val="false"/>
            <w:i w:val="false"/>
            <w:color w:val="000000"/>
            <w:sz w:val="22"/>
          </w:rPr>
          <w:t>65.304(1)</w:t>
        </w:r>
      </w:hyperlink>
      <w:r>
        <w:rPr>
          <w:rFonts w:ascii="Times New Roman" w:hAnsi="Times New Roman"/>
          <w:b w:val="false"/>
          <w:i w:val="false"/>
          <w:color w:val="000000"/>
          <w:sz w:val="22"/>
        </w:rPr>
        <w:t>, shall be submitted as part of the construction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567—65.306</w:t>
      </w:r>
      <w:r>
        <w:rPr>
          <w:rFonts w:ascii="Times New Roman" w:hAnsi="Times New Roman"/>
          <w:b/>
          <w:i w:val="false"/>
          <w:color w:val="000000"/>
          <w:sz w:val="22"/>
        </w:rPr>
        <w:t xml:space="preserve">(455B,459A) </w:t>
      </w:r>
      <w:r>
        <w:rPr>
          <w:rFonts w:ascii="Times New Roman" w:hAnsi="Times New Roman"/>
          <w:b/>
          <w:i w:val="false"/>
          <w:color w:val="000000"/>
          <w:sz w:val="22"/>
        </w:rPr>
        <w:t xml:space="preserve">NMP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65.306(1)</w:t>
      </w:r>
      <w:r>
        <w:rPr>
          <w:rFonts w:ascii="Times New Roman" w:hAnsi="Times New Roman"/>
          <w:b w:val="false"/>
          <w:i w:val="false"/>
          <w:color w:val="000000"/>
          <w:sz w:val="22"/>
        </w:rPr>
        <w:t> </w:t>
      </w:r>
      <w:r>
        <w:rPr>
          <w:rFonts w:ascii="Times New Roman" w:hAnsi="Times New Roman"/>
          <w:b w:val="false"/>
          <w:i w:val="false"/>
          <w:color w:val="000000"/>
          <w:sz w:val="22"/>
        </w:rPr>
        <w:t>The owner of an animal truck wash facility, other than a small animal truck wash facility, that has an animal truck wash effluent structure shall develop and implement an NMP meeting the requirements of this rule. However, an animal truck wash facility that is part of a confinement feeding operation, in lieu of submitting an NMP, may submit an original MMP and an updated MMP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65.306(2)</w:t>
      </w:r>
      <w:r>
        <w:rPr>
          <w:rFonts w:ascii="Times New Roman" w:hAnsi="Times New Roman"/>
          <w:b w:val="false"/>
          <w:i w:val="false"/>
          <w:color w:val="000000"/>
          <w:sz w:val="22"/>
        </w:rPr>
        <w:t> </w:t>
      </w:r>
      <w:r>
        <w:rPr>
          <w:rFonts w:ascii="Times New Roman" w:hAnsi="Times New Roman"/>
          <w:b w:val="false"/>
          <w:i w:val="false"/>
          <w:color w:val="000000"/>
          <w:sz w:val="22"/>
        </w:rPr>
        <w:t>A person shall not remove animal truck wash effluent from an animal truck wash facility for which an NMP is required under this rule, unless the department approves an NMP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approve an application for a permit to construct an animal truck wash effluent structure unless the owner of the animal truck wash facility applying for approval submits an NMP together with the application for the construction permit as provided in rule </w:t>
      </w:r>
      <w:hyperlink r:id="rId576">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(455B,459,459A).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construction permit is required as provided in rule </w:t>
      </w:r>
      <w:hyperlink r:id="rId577">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(455B,459,459A), the department shall approve or disapprove the NMP as part of the construction permit application. If a construction permit is not required, the department shall approve or disapprove the NMP within 60 days from the date that the department receives the NMP.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65.306(5)</w:t>
      </w:r>
      <w:r>
        <w:rPr>
          <w:rFonts w:ascii="Times New Roman" w:hAnsi="Times New Roman"/>
          <w:b w:val="false"/>
          <w:i w:val="false"/>
          <w:color w:val="000000"/>
          <w:sz w:val="22"/>
        </w:rPr>
        <w:t> </w:t>
      </w:r>
      <w:r>
        <w:rPr>
          <w:rFonts w:ascii="Times New Roman" w:hAnsi="Times New Roman"/>
          <w:b w:val="false"/>
          <w:i w:val="false"/>
          <w:color w:val="000000"/>
          <w:sz w:val="22"/>
        </w:rPr>
        <w:t>An NMP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Restrictions on the application of animal truck wash effluent based 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phosphorus index of each field in the NMP, as required in subrule </w:t>
      </w:r>
      <w:hyperlink r:id="rId578">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 including the factors used in the calculation. A copy of the NRCS phosphorus index detailed report shall satisfy the requirement to include the factors used in the calculation. In addition, total phosphorus (as P</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available to be applied from the animal truck wash facility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Calculations necessary to determine the land area required for the application of animal truck wash effluent from an animal truck wash facility based on nitrogen or phosphorus use levels (as determined by the phosphorus index) in order to obtain optimum crop yields according to a crop schedule specified in the NMP and according to requirements specified in subrule </w:t>
      </w:r>
      <w:hyperlink r:id="rId579">
        <w:r>
          <w:rPr>
            <w:rStyle w:val="Hyperlink"/>
            <w:rFonts w:ascii="Times New Roman" w:hAnsi="Times New Roman"/>
            <w:b w:val="false"/>
            <w:i w:val="false"/>
            <w:color w:val="000000"/>
            <w:sz w:val="22"/>
          </w:rPr>
          <w:t>67.111(4)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application of the animal truck wash effluent, including application methods, the timing of the application, and the location of the land where the application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on land other than land owned or rented for crop production by the owner of the animal truck wash facility, the plan shall include a copy of each written agreement executed by the owner and the landowner or the person renting the land for crop production where the animal truck wash effluent may be applied. The written agreement shall indicate the number of acres on which the animal truck wash effluent may be applied and the length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estimate of the animal truck wash effluent volume or weight produced by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that shows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storage for animal truck wash effluent, including procedures to ensure proper operation and maintenance of the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drainage is diverted from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Chemicals or other contaminants handled on site are not disposed of in an animal truck wash facility that is not specifically designed to store such chemicals or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Equipment used for the land application of animal truck wash effluent must be periodically inspected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Appropriate site-specific conservation practices to be implemented, including as appropriate buffers or equivalent practices, to control runoff of pollutants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Protocols for appropriate testing of animal truck wash effluent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Protocols to land-apply animal truck wash effluent in accordance with site-specific nutrient management practices that ensure appropriate agricultural utilization of the nutrients in the animal truck wash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specific records that will be maintained to document the implementation and management of the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65.306(6)</w:t>
      </w:r>
      <w:r>
        <w:rPr>
          <w:rFonts w:ascii="Times New Roman" w:hAnsi="Times New Roman"/>
          <w:b w:val="false"/>
          <w:i w:val="false"/>
          <w:color w:val="000000"/>
          <w:sz w:val="22"/>
        </w:rPr>
        <w:t> </w:t>
      </w:r>
      <w:r>
        <w:rPr>
          <w:rFonts w:ascii="Times New Roman" w:hAnsi="Times New Roman"/>
          <w:b w:val="false"/>
          <w:i w:val="false"/>
          <w:color w:val="000000"/>
          <w:sz w:val="22"/>
        </w:rPr>
        <w:t>Current NMP; recordkeeping; record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NMP. </w:t>
      </w:r>
      <w:r>
        <w:rPr>
          <w:rFonts w:ascii="Times New Roman" w:hAnsi="Times New Roman"/>
          <w:b w:val="false"/>
          <w:i w:val="false"/>
          <w:color w:val="000000"/>
          <w:sz w:val="22"/>
        </w:rPr>
        <w:t>The owner of an animal truck wash facility who is required to submit an NMP shall maintain a current NMP at the site of the animal truck wash facility and shall make the current NMP available to the department upon request. If nutrient management practices change, a person required to submit an NMP shall make appropriate changes consistent with this rule. If values other than the standard table values are used for NMP calculations, the source of the values used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Records shall be maintained by the owner of an animal truck wash facility who is required to submit an NMP. This recorded information shall be maintained for five years following the year of application or for the length of the crop rotation, whichever is greater. Records shall be maintained at the site of the animal truck wash facility, either as a hard copy or electronically, and shall be made available to the department upon request. Records to demonstrate compliance with the NMP shall include requirements of rule </w:t>
      </w:r>
      <w:hyperlink r:id="rId580">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(455B,459,459B)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Weather conditions at time of application and for 24 hours prior to and following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animal truck wash facilities, the soil test analysis must include phosphorus.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when application equipment was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records identified in paragraph </w:t>
      </w:r>
      <w:hyperlink r:id="rId581">
        <w:r>
          <w:rPr>
            <w:rStyle w:val="Hyperlink"/>
            <w:rFonts w:ascii="Times New Roman" w:hAnsi="Times New Roman"/>
            <w:b w:val="false"/>
            <w:i w:val="false"/>
            <w:color w:val="000000"/>
            <w:sz w:val="22"/>
          </w:rPr>
          <w:t>65.306(5)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The department may inspect an animal truck wash facility at any time during normal working hours and may inspect the NMP and any records required to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82">
        <w:r>
          <w:rPr>
            <w:rStyle w:val="Hyperlink"/>
            <w:rFonts w:ascii="Times New Roman" w:hAnsi="Times New Roman"/>
            <w:b w:val="false"/>
            <w:i w:val="false"/>
            <w:color w:val="000000"/>
            <w:sz w:val="22"/>
          </w:rPr>
          <w:t>455B.103</w:t>
        </w:r>
      </w:hyperlink>
      <w:r>
        <w:rPr>
          <w:rFonts w:ascii="Times New Roman" w:hAnsi="Times New Roman"/>
          <w:b w:val="false"/>
          <w:i w:val="false"/>
          <w:color w:val="000000"/>
          <w:sz w:val="22"/>
        </w:rPr>
        <w:t xml:space="preserve">, </w:t>
      </w:r>
      <w:hyperlink r:id="rId583">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 xml:space="preserve">, and </w:t>
      </w:r>
      <w:hyperlink r:id="rId584">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and chapters </w:t>
      </w:r>
      <w:hyperlink r:id="rId58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58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587">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6/28/76, Notice 3/22/76—published 7/12/76, effective 8/16/76</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5/29/87, Notice 12/3/86—published 6/17/87, effective 7/22/87]</w:t>
      </w:r>
    </w:p>
    <w:p>
      <w:pPr>
        <w:spacing w:before="0" w:after="0"/>
        <w:ind w:left="120"/>
        <w:jc w:val="center"/>
      </w:pPr>
      <w:r>
        <w:rPr>
          <w:rFonts w:ascii="Times New Roman" w:hAnsi="Times New Roman"/>
          <w:b w:val="false"/>
          <w:i w:val="false"/>
          <w:color w:val="000000"/>
          <w:sz w:val="21"/>
        </w:rPr>
        <w:t>[Filed without Notice 8/26/94—published 9/14/94, effective 10/19/94]</w:t>
      </w:r>
    </w:p>
    <w:p>
      <w:pPr>
        <w:spacing w:before="0" w:after="0"/>
        <w:ind w:left="120"/>
        <w:jc w:val="center"/>
      </w:pPr>
      <w:r>
        <w:rPr>
          <w:rFonts w:ascii="Times New Roman" w:hAnsi="Times New Roman"/>
          <w:b w:val="false"/>
          <w:i w:val="false"/>
          <w:color w:val="000000"/>
          <w:sz w:val="21"/>
        </w:rPr>
        <w:t>[Filed emergency 7/19/95—published 8/16/95, effective 7/19/95]</w:t>
      </w:r>
    </w:p>
    <w:p>
      <w:pPr>
        <w:spacing w:before="0" w:after="0"/>
        <w:ind w:left="120"/>
        <w:jc w:val="center"/>
      </w:pPr>
      <w:r>
        <w:rPr>
          <w:rFonts w:ascii="Times New Roman" w:hAnsi="Times New Roman"/>
          <w:b w:val="false"/>
          <w:i w:val="false"/>
          <w:color w:val="000000"/>
          <w:sz w:val="21"/>
        </w:rPr>
        <w:t>[Filed emergency 9/22/95—published 10/11/95, effective 9/22/95]</w:t>
      </w:r>
    </w:p>
    <w:p>
      <w:pPr>
        <w:spacing w:before="0" w:after="0"/>
        <w:ind w:left="120"/>
        <w:jc w:val="center"/>
      </w:pPr>
      <w:r>
        <w:rPr>
          <w:rFonts w:ascii="Times New Roman" w:hAnsi="Times New Roman"/>
          <w:b w:val="false"/>
          <w:i w:val="false"/>
          <w:color w:val="000000"/>
          <w:sz w:val="21"/>
        </w:rPr>
        <w:t>[Filed 1/26/96, Notice 11/8/95—published 2/14/96, effective 3/20/96]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11/26/97, Notice 8/13/97—published 12/17/97, effective 1/21/98]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emergency 12/21/99—published 1/12/00, effective 12/21/99]</w:t>
      </w:r>
    </w:p>
    <w:p>
      <w:pPr>
        <w:spacing w:before="0" w:after="0"/>
        <w:ind w:left="120"/>
        <w:jc w:val="center"/>
      </w:pPr>
      <w:r>
        <w:rPr>
          <w:rFonts w:ascii="Times New Roman" w:hAnsi="Times New Roman"/>
          <w:b w:val="false"/>
          <w:i w:val="false"/>
          <w:color w:val="000000"/>
          <w:sz w:val="21"/>
        </w:rPr>
        <w:t>[Filed emergency 11/22/00—published 12/13/00, effective 11/22/00]</w:t>
      </w:r>
    </w:p>
    <w:p>
      <w:pPr>
        <w:spacing w:before="0" w:after="0"/>
        <w:ind w:left="120"/>
        <w:jc w:val="center"/>
      </w:pPr>
      <w:r>
        <w:rPr>
          <w:rFonts w:ascii="Times New Roman" w:hAnsi="Times New Roman"/>
          <w:b w:val="false"/>
          <w:i w:val="false"/>
          <w:color w:val="000000"/>
          <w:sz w:val="21"/>
        </w:rPr>
        <w:t>[Filed emergency 5/25/01 after Notice 3/21/01—published 6/13/01, effective 7/8/01]</w:t>
      </w:r>
    </w:p>
    <w:p>
      <w:pPr>
        <w:spacing w:before="0" w:after="0"/>
        <w:ind w:left="120"/>
        <w:jc w:val="center"/>
      </w:pPr>
      <w:r>
        <w:rPr>
          <w:rFonts w:ascii="Times New Roman" w:hAnsi="Times New Roman"/>
          <w:b w:val="false"/>
          <w:i w:val="false"/>
          <w:color w:val="000000"/>
          <w:sz w:val="21"/>
        </w:rPr>
        <w:t>[Filed emergency 6/21/01 after Notice 3/21/01—published 7/11/01, effective 7/1/01]</w:t>
      </w:r>
    </w:p>
    <w:p>
      <w:pPr>
        <w:spacing w:before="0" w:after="0"/>
        <w:ind w:left="120"/>
        <w:jc w:val="center"/>
      </w:pPr>
      <w:r>
        <w:rPr>
          <w:rFonts w:ascii="Times New Roman" w:hAnsi="Times New Roman"/>
          <w:b w:val="false"/>
          <w:i w:val="false"/>
          <w:color w:val="000000"/>
          <w:sz w:val="21"/>
        </w:rPr>
        <w:t>[Filed 8/31/01, Notice 7/11/01—published 9/19/01, effective 10/24/01]</w:t>
      </w:r>
    </w:p>
    <w:p>
      <w:pPr>
        <w:spacing w:before="0" w:after="0"/>
        <w:ind w:left="120"/>
        <w:jc w:val="center"/>
      </w:pPr>
      <w:r>
        <w:rPr>
          <w:rFonts w:ascii="Times New Roman" w:hAnsi="Times New Roman"/>
          <w:b w:val="false"/>
          <w:i w:val="false"/>
          <w:color w:val="000000"/>
          <w:sz w:val="21"/>
        </w:rPr>
        <w:t>[Filed emergency 9/18/01 after Notice 6/13/01—published 10/17/01, effective 9/18/01]</w:t>
      </w:r>
    </w:p>
    <w:p>
      <w:pPr>
        <w:spacing w:before="0" w:after="0"/>
        <w:ind w:left="120"/>
        <w:jc w:val="center"/>
      </w:pPr>
      <w:r>
        <w:rPr>
          <w:rFonts w:ascii="Times New Roman" w:hAnsi="Times New Roman"/>
          <w:b w:val="false"/>
          <w:i w:val="false"/>
          <w:color w:val="000000"/>
          <w:sz w:val="21"/>
        </w:rPr>
        <w:t>[Filed 12/19/01, Notice 9/19/01—published 1/9/02, effective 2/13/02]</w:t>
      </w:r>
    </w:p>
    <w:p>
      <w:pPr>
        <w:spacing w:before="0" w:after="0"/>
        <w:ind w:left="120"/>
        <w:jc w:val="center"/>
      </w:pPr>
      <w:r>
        <w:rPr>
          <w:rFonts w:ascii="Times New Roman" w:hAnsi="Times New Roman"/>
          <w:b w:val="false"/>
          <w:i w:val="false"/>
          <w:color w:val="000000"/>
          <w:sz w:val="21"/>
        </w:rPr>
        <w:t>[Filed 4/26/02, Notice 2/20/02—published 5/15/02, effective 6/19/02]</w:t>
      </w:r>
    </w:p>
    <w:p>
      <w:pPr>
        <w:spacing w:before="0" w:after="0"/>
        <w:ind w:left="120"/>
        <w:jc w:val="center"/>
      </w:pPr>
      <w:r>
        <w:rPr>
          <w:rFonts w:ascii="Times New Roman" w:hAnsi="Times New Roman"/>
          <w:b w:val="false"/>
          <w:i w:val="false"/>
          <w:color w:val="000000"/>
          <w:sz w:val="21"/>
        </w:rPr>
        <w:t>[Filed 5/24/02, Notice 3/20/02—published 6/12/02, effective 7/17/02]</w:t>
      </w:r>
    </w:p>
    <w:p>
      <w:pPr>
        <w:spacing w:before="0" w:after="0"/>
        <w:ind w:left="120"/>
        <w:jc w:val="center"/>
      </w:pPr>
      <w:r>
        <w:rPr>
          <w:rFonts w:ascii="Times New Roman" w:hAnsi="Times New Roman"/>
          <w:b w:val="false"/>
          <w:i w:val="false"/>
          <w:color w:val="000000"/>
          <w:sz w:val="21"/>
        </w:rPr>
        <w:t>[Filed emergency 6/18/02—published 7/10/02, effective 6/18/02]</w:t>
      </w:r>
    </w:p>
    <w:p>
      <w:pPr>
        <w:spacing w:before="0" w:after="0"/>
        <w:ind w:left="120"/>
        <w:jc w:val="center"/>
      </w:pPr>
      <w:r>
        <w:rPr>
          <w:rFonts w:ascii="Times New Roman" w:hAnsi="Times New Roman"/>
          <w:b w:val="false"/>
          <w:i w:val="false"/>
          <w:color w:val="000000"/>
          <w:sz w:val="21"/>
        </w:rPr>
        <w:t>[Filed emergency 7/23/02—published 8/21/02, effective 7/23/02]</w:t>
      </w:r>
    </w:p>
    <w:p>
      <w:pPr>
        <w:spacing w:before="0" w:after="0"/>
        <w:ind w:left="120"/>
        <w:jc w:val="center"/>
      </w:pPr>
      <w:r>
        <w:rPr>
          <w:rFonts w:ascii="Times New Roman" w:hAnsi="Times New Roman"/>
          <w:b w:val="false"/>
          <w:i w:val="false"/>
          <w:color w:val="000000"/>
          <w:sz w:val="21"/>
        </w:rPr>
        <w:t>[Filed emergency 12/17/02 after Notice 9/18/02—published 1/8/03, effective 2/1/03]</w:t>
      </w:r>
    </w:p>
    <w:p>
      <w:pPr>
        <w:spacing w:before="0" w:after="0"/>
        <w:ind w:left="120"/>
        <w:jc w:val="center"/>
      </w:pPr>
      <w:r>
        <w:rPr>
          <w:rFonts w:ascii="Times New Roman" w:hAnsi="Times New Roman"/>
          <w:b w:val="false"/>
          <w:i w:val="false"/>
          <w:color w:val="000000"/>
          <w:sz w:val="21"/>
        </w:rPr>
        <w:t>[Filed emergency 1/30/03 after Notice 11/13/02—published 2/19/03, effective 3/1/03]</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without Notice 10/23/03—published 11/12/03, effective 1/1/04]</w:t>
      </w:r>
    </w:p>
    <w:p>
      <w:pPr>
        <w:spacing w:before="0" w:after="0"/>
        <w:ind w:left="120"/>
        <w:jc w:val="center"/>
      </w:pPr>
      <w:r>
        <w:rPr>
          <w:rFonts w:ascii="Times New Roman" w:hAnsi="Times New Roman"/>
          <w:b w:val="false"/>
          <w:i w:val="false"/>
          <w:color w:val="000000"/>
          <w:sz w:val="21"/>
        </w:rPr>
        <w:t>[Filed 1/29/04, Notice 8/20/03—published 2/18/04, effective 3/24/04]</w:t>
      </w:r>
    </w:p>
    <w:p>
      <w:pPr>
        <w:spacing w:before="0" w:after="0"/>
        <w:ind w:left="120"/>
        <w:jc w:val="center"/>
      </w:pPr>
      <w:r>
        <w:rPr>
          <w:rFonts w:ascii="Times New Roman" w:hAnsi="Times New Roman"/>
          <w:b w:val="false"/>
          <w:i w:val="false"/>
          <w:color w:val="000000"/>
          <w:sz w:val="21"/>
        </w:rPr>
        <w:t>[Filed 7/1/04, Notice 2/18/04—published 7/21/04, effective 8/25/04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4/22/05, Notice 10/13/04—published 5/11/05, effective 6/15/05]</w:t>
      </w:r>
    </w:p>
    <w:p>
      <w:pPr>
        <w:spacing w:before="0" w:after="0"/>
        <w:ind w:left="120"/>
        <w:jc w:val="center"/>
      </w:pPr>
      <w:r>
        <w:rPr>
          <w:rFonts w:ascii="Times New Roman" w:hAnsi="Times New Roman"/>
          <w:b w:val="false"/>
          <w:i w:val="false"/>
          <w:color w:val="000000"/>
          <w:sz w:val="21"/>
        </w:rPr>
        <w:t>[Filed 4/22/05, Notices 11/10/04, 2/16/05—published 5/11/05, effective 6/15/05]</w:t>
      </w:r>
    </w:p>
    <w:p>
      <w:pPr>
        <w:spacing w:before="0" w:after="0"/>
        <w:ind w:left="120"/>
        <w:jc w:val="center"/>
      </w:pPr>
      <w:r>
        <w:rPr>
          <w:rFonts w:ascii="Times New Roman" w:hAnsi="Times New Roman"/>
          <w:b w:val="false"/>
          <w:i w:val="false"/>
          <w:color w:val="000000"/>
          <w:sz w:val="21"/>
        </w:rPr>
        <w:t>[Filed emergency 8/23/05—published 9/14/05, effective 9/14/05]</w:t>
      </w:r>
    </w:p>
    <w:p>
      <w:pPr>
        <w:spacing w:before="0" w:after="0"/>
        <w:ind w:left="120"/>
        <w:jc w:val="center"/>
      </w:pPr>
      <w:r>
        <w:rPr>
          <w:rFonts w:ascii="Times New Roman" w:hAnsi="Times New Roman"/>
          <w:b w:val="false"/>
          <w:i w:val="false"/>
          <w:color w:val="000000"/>
          <w:sz w:val="21"/>
        </w:rPr>
        <w:t>[Filed 2/9/06, Notice 11/9/05—published 3/1/06, effective 4/5/06]</w:t>
      </w:r>
    </w:p>
    <w:p>
      <w:pPr>
        <w:spacing w:before="0" w:after="0"/>
        <w:ind w:left="120"/>
        <w:jc w:val="center"/>
      </w:pPr>
      <w:r>
        <w:rPr>
          <w:rFonts w:ascii="Times New Roman" w:hAnsi="Times New Roman"/>
          <w:b w:val="false"/>
          <w:i w:val="false"/>
          <w:color w:val="000000"/>
          <w:sz w:val="21"/>
        </w:rPr>
        <w:t>[Filed 3/23/06, Notice 9/14/05—published 4/12/06, effective 5/17/06]</w:t>
      </w:r>
    </w:p>
    <w:p>
      <w:pPr>
        <w:spacing w:before="0" w:after="0"/>
        <w:ind w:left="120"/>
        <w:jc w:val="center"/>
      </w:pPr>
      <w:r>
        <w:rPr>
          <w:rFonts w:ascii="Times New Roman" w:hAnsi="Times New Roman"/>
          <w:b w:val="false"/>
          <w:i w:val="false"/>
          <w:color w:val="000000"/>
          <w:sz w:val="21"/>
        </w:rPr>
        <w:t>[Filed emergency 4/10/06—published 4/26/06, effective 5/17/06]</w:t>
      </w:r>
    </w:p>
    <w:p>
      <w:pPr>
        <w:spacing w:before="0" w:after="0"/>
        <w:ind w:left="120"/>
        <w:jc w:val="center"/>
      </w:pPr>
      <w:r>
        <w:rPr>
          <w:rFonts w:ascii="Times New Roman" w:hAnsi="Times New Roman"/>
          <w:b w:val="false"/>
          <w:i w:val="false"/>
          <w:color w:val="000000"/>
          <w:sz w:val="21"/>
        </w:rPr>
        <w:t>[Filed 6/28/06, Notice 12/21/05—published 7/19/06, effective 8/23/06]</w:t>
      </w:r>
    </w:p>
    <w:p>
      <w:pPr>
        <w:spacing w:before="0" w:after="0"/>
        <w:ind w:left="120"/>
        <w:jc w:val="center"/>
      </w:pPr>
      <w:r>
        <w:rPr>
          <w:rFonts w:ascii="Times New Roman" w:hAnsi="Times New Roman"/>
          <w:b w:val="false"/>
          <w:i w:val="false"/>
          <w:color w:val="000000"/>
          <w:sz w:val="21"/>
        </w:rPr>
        <w:t>[Filed 6/28/06, Notice 2/15/06—published 7/19/06, effective 8/23/06]</w:t>
      </w:r>
    </w:p>
    <w:p>
      <w:pPr>
        <w:spacing w:before="0" w:after="0"/>
        <w:ind w:left="120"/>
        <w:jc w:val="center"/>
      </w:pPr>
      <w:r>
        <w:rPr>
          <w:rFonts w:ascii="Times New Roman" w:hAnsi="Times New Roman"/>
          <w:b w:val="false"/>
          <w:i w:val="false"/>
          <w:color w:val="000000"/>
          <w:sz w:val="21"/>
        </w:rPr>
        <w:t>[Filed 3/19/08, Notice 1/3/07—published 4/9/08, effective 5/14/08]</w:t>
      </w:r>
    </w:p>
    <w:p>
      <w:pPr>
        <w:spacing w:before="0" w:after="0"/>
        <w:ind w:left="120"/>
        <w:jc w:val="center"/>
      </w:pPr>
      <w:r>
        <w:rPr>
          <w:rFonts w:ascii="Times New Roman" w:hAnsi="Times New Roman"/>
          <w:b w:val="false"/>
          <w:i w:val="false"/>
          <w:color w:val="000000"/>
          <w:sz w:val="21"/>
        </w:rPr>
        <w:t>[Editorial change: IAC Supplement 9/24/08]</w:t>
      </w:r>
    </w:p>
    <w:p>
      <w:pPr>
        <w:spacing w:before="0" w:after="0"/>
        <w:ind w:left="120"/>
        <w:jc w:val="center"/>
      </w:pPr>
      <w:r>
        <w:rPr>
          <w:rFonts w:ascii="Times New Roman" w:hAnsi="Times New Roman"/>
          <w:b w:val="false"/>
          <w:i w:val="false"/>
          <w:color w:val="000000"/>
          <w:sz w:val="21"/>
        </w:rPr>
        <w:t>[Filed ARC 8120B</w:t>
      </w:r>
      <w:r>
        <w:rPr>
          <w:rFonts w:ascii="Times New Roman" w:hAnsi="Times New Roman"/>
          <w:b w:val="false"/>
          <w:i w:val="false"/>
          <w:color w:val="000000"/>
          <w:sz w:val="21"/>
        </w:rPr>
        <w:t xml:space="preserve"> (Notice ARC 7564B, IAB 2/11/09)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8517B</w:t>
      </w:r>
      <w:r>
        <w:rPr>
          <w:rFonts w:ascii="Times New Roman" w:hAnsi="Times New Roman"/>
          <w:b w:val="false"/>
          <w:i w:val="false"/>
          <w:color w:val="000000"/>
          <w:sz w:val="21"/>
        </w:rPr>
        <w:t xml:space="preserve"> (Notice ARC 7961B, IAB 7/15/09)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8998B</w:t>
      </w:r>
      <w:r>
        <w:rPr>
          <w:rFonts w:ascii="Times New Roman" w:hAnsi="Times New Roman"/>
          <w:b w:val="false"/>
          <w:i w:val="false"/>
          <w:color w:val="000000"/>
          <w:sz w:val="21"/>
        </w:rPr>
        <w:t xml:space="preserve"> (Notice ARC 8398B, IAB 12/16/09)</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1627C</w:t>
      </w:r>
      <w:r>
        <w:rPr>
          <w:rFonts w:ascii="Times New Roman" w:hAnsi="Times New Roman"/>
          <w:b w:val="false"/>
          <w:i w:val="false"/>
          <w:color w:val="000000"/>
          <w:sz w:val="21"/>
        </w:rPr>
        <w:t xml:space="preserve"> (Notice ARC 1421C, IAB 4/16/14)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2798C</w:t>
      </w:r>
      <w:r>
        <w:rPr>
          <w:rFonts w:ascii="Times New Roman" w:hAnsi="Times New Roman"/>
          <w:b w:val="false"/>
          <w:i w:val="false"/>
          <w:color w:val="000000"/>
          <w:sz w:val="21"/>
        </w:rPr>
        <w:t xml:space="preserve"> (Notice ARC 2496C, IAB 4/13/16)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3388C</w:t>
      </w:r>
      <w:r>
        <w:rPr>
          <w:rFonts w:ascii="Times New Roman" w:hAnsi="Times New Roman"/>
          <w:b w:val="false"/>
          <w:i w:val="false"/>
          <w:color w:val="000000"/>
          <w:sz w:val="21"/>
        </w:rPr>
        <w:t xml:space="preserve"> (Notice ARC 3257C,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4871C</w:t>
      </w:r>
      <w:r>
        <w:rPr>
          <w:rFonts w:ascii="Times New Roman" w:hAnsi="Times New Roman"/>
          <w:b w:val="false"/>
          <w:i w:val="false"/>
          <w:color w:val="000000"/>
          <w:sz w:val="21"/>
        </w:rPr>
        <w:t xml:space="preserve"> (Notice ARC 4689C, IAB 10/9/19)</w:t>
      </w:r>
      <w:r>
        <w:rPr>
          <w:rFonts w:ascii="Times New Roman" w:hAnsi="Times New Roman"/>
          <w:b w:val="false"/>
          <w:i w:val="false"/>
          <w:color w:val="000000"/>
          <w:sz w:val="21"/>
        </w:rPr>
        <w:t>, IAB 1/15/20, effective 2/19/20]</w:t>
      </w:r>
    </w:p>
    <w:p>
      <w:pPr>
        <w:spacing w:before="0" w:after="0"/>
        <w:ind w:left="120"/>
        <w:jc w:val="center"/>
      </w:pPr>
      <w:r>
        <w:rPr>
          <w:rFonts w:ascii="Times New Roman" w:hAnsi="Times New Roman"/>
          <w:b w:val="false"/>
          <w:i w:val="false"/>
          <w:color w:val="000000"/>
          <w:sz w:val="21"/>
        </w:rPr>
        <w:t>[Filed ARC 7965C</w:t>
      </w:r>
      <w:r>
        <w:rPr>
          <w:rFonts w:ascii="Times New Roman" w:hAnsi="Times New Roman"/>
          <w:b w:val="false"/>
          <w:i w:val="false"/>
          <w:color w:val="000000"/>
          <w:sz w:val="21"/>
        </w:rPr>
        <w:t xml:space="preserve"> (Notice ARC 7214C,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8/6/25]</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588">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 xml:space="preserve"> [DEQ, ch 20] delayed by the Administrative Rules Review Committee until October 25, 1976, pursuant to Iowa Code section </w:t>
      </w:r>
      <w:hyperlink r:id="rId58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amended by S.F. 1288, §8.</w:t>
      </w:r>
    </w:p>
    <w:p>
      <w:pPr>
        <w:pBdr>
          <w:bottom w:space="2"/>
        </w:pBdr>
        <w:spacing w:before="0" w:after="0"/>
        <w:ind w:left="120"/>
        <w:jc w:val="both"/>
      </w:pPr>
      <w:r>
        <w:rPr>
          <w:rFonts w:ascii="Times New Roman" w:hAnsi="Times New Roman"/>
          <w:b w:val="false"/>
          <w:i w:val="false"/>
          <w:color w:val="000000"/>
          <w:sz w:val="22"/>
        </w:rPr>
        <w:t>Effective date of 65.17(13)</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 at its meeting held August 11, 2004.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01.pdf" Type="http://schemas.openxmlformats.org/officeDocument/2006/relationships/hyperlink" Id="rId5"/>
    <Relationship TargetMode="External" Target="https://www.legis.iowa.gov/docs/ico/chapter/455B.171.pdf" Type="http://schemas.openxmlformats.org/officeDocument/2006/relationships/hyperlink" Id="rId6"/>
    <Relationship TargetMode="External" Target="https://www.legis.iowa.gov/docs/ico/chapter/459.102.pdf" Type="http://schemas.openxmlformats.org/officeDocument/2006/relationships/hyperlink" Id="rId7"/>
    <Relationship TargetMode="External" Target="https://www.legis.iowa.gov/docs/ico/chapter/459A.102.pdf" Type="http://schemas.openxmlformats.org/officeDocument/2006/relationships/hyperlink" Id="rId8"/>
    <Relationship TargetMode="External" Target="https://www.legis.iowa.gov/docs/ico/chapter/459B.102.pdf" Type="http://schemas.openxmlformats.org/officeDocument/2006/relationships/hyperlink" Id="rId9"/>
    <Relationship TargetMode="External" Target="https://www.legis.iowa.gov/docs/iac/chapter/567.60.pdf" Type="http://schemas.openxmlformats.org/officeDocument/2006/relationships/hyperlink" Id="rId10"/>
    <Relationship TargetMode="External" Target="https://www.legis.iowa.gov/docs/iac/rule/567.65.106.pdf" Type="http://schemas.openxmlformats.org/officeDocument/2006/relationships/hyperlink" Id="rId11"/>
    <Relationship TargetMode="External" Target="https://www.legis.iowa.gov/docs/iac/rule/567.65.103.pdf" Type="http://schemas.openxmlformats.org/officeDocument/2006/relationships/hyperlink" Id="rId12"/>
    <Relationship TargetMode="External" Target="https://www.legis.iowa.gov/docs/iac/rule/567.65.110.pdf" Type="http://schemas.openxmlformats.org/officeDocument/2006/relationships/hyperlink" Id="rId13"/>
    <Relationship TargetMode="External" Target="https://www.legis.iowa.gov/docs/iac/rule/567.65.110.pdf" Type="http://schemas.openxmlformats.org/officeDocument/2006/relationships/hyperlink" Id="rId14"/>
    <Relationship TargetMode="External" Target="https://www.legis.iowa.gov/docs/ico/chapter/459.201.pdf" Type="http://schemas.openxmlformats.org/officeDocument/2006/relationships/hyperlink" Id="rId15"/>
    <Relationship TargetMode="External" Target="https://www.legis.iowa.gov/docs/ico/chapter/459.301.pdf" Type="http://schemas.openxmlformats.org/officeDocument/2006/relationships/hyperlink" Id="rId16"/>
    <Relationship TargetMode="External" Target="https://www.legis.iowa.gov/docs/ico/chapter/459A.103.pdf" Type="http://schemas.openxmlformats.org/officeDocument/2006/relationships/hyperlink" Id="rId17"/>
    <Relationship TargetMode="External" Target="https://www.legis.iowa.gov/docs/ico/chapter/523I.pdf" Type="http://schemas.openxmlformats.org/officeDocument/2006/relationships/hyperlink" Id="rId18"/>
    <Relationship TargetMode="External" Target="https://www.legis.iowa.gov/docs/ico/chapter/331.325.pdf" Type="http://schemas.openxmlformats.org/officeDocument/2006/relationships/hyperlink" Id="rId19"/>
    <Relationship TargetMode="External" Target="https://www.legis.iowa.gov/docs/ico/chapter/202.1.pdf" Type="http://schemas.openxmlformats.org/officeDocument/2006/relationships/hyperlink" Id="rId20"/>
    <Relationship TargetMode="External" Target="https://www.legis.iowa.gov/docs/ico/chapter/459B.103.pdf" Type="http://schemas.openxmlformats.org/officeDocument/2006/relationships/hyperlink" Id="rId21"/>
    <Relationship TargetMode="External" Target="https://www.legis.iowa.gov/docs/ico/chapter/202B.102.pdf" Type="http://schemas.openxmlformats.org/officeDocument/2006/relationships/hyperlink" Id="rId22"/>
    <Relationship TargetMode="External" Target="https://www.legis.iowa.gov/docs/ico/chapter/459.301.pdf" Type="http://schemas.openxmlformats.org/officeDocument/2006/relationships/hyperlink" Id="rId23"/>
    <Relationship TargetMode="External" Target="https://www.legis.iowa.gov/docs/ico/chapter/459.202.pdf" Type="http://schemas.openxmlformats.org/officeDocument/2006/relationships/hyperlink" Id="rId24"/>
    <Relationship TargetMode="External" Target="https://www.legis.iowa.gov/docs/ico/chapter/459.201.pdf" Type="http://schemas.openxmlformats.org/officeDocument/2006/relationships/hyperlink" Id="rId25"/>
    <Relationship TargetMode="External" Target="https://www.legis.iowa.gov/docs/ico/chapter/459.202.pdf" Type="http://schemas.openxmlformats.org/officeDocument/2006/relationships/hyperlink" Id="rId26"/>
    <Relationship TargetMode="External" Target="https://www.legis.iowa.gov/docs/ico/chapter/459.202.pdf" Type="http://schemas.openxmlformats.org/officeDocument/2006/relationships/hyperlink" Id="rId27"/>
    <Relationship TargetMode="External" Target="https://www.legis.iowa.gov/docs/iac/rule/567.65.104.pdf" Type="http://schemas.openxmlformats.org/officeDocument/2006/relationships/hyperlink" Id="rId28"/>
    <Relationship TargetMode="External" Target="https://www.legis.iowa.gov/docs/iac/rule/567.65.103.pdf" Type="http://schemas.openxmlformats.org/officeDocument/2006/relationships/hyperlink" Id="rId29"/>
    <Relationship TargetMode="External" Target="https://www.legis.iowa.gov/docs/iac/rule/567.65.103.pdf" Type="http://schemas.openxmlformats.org/officeDocument/2006/relationships/hyperlink" Id="rId30"/>
    <Relationship TargetMode="External" Target="https://www.legis.iowa.gov/docs/iac/rule/567.65.203.pdf" Type="http://schemas.openxmlformats.org/officeDocument/2006/relationships/hyperlink" Id="rId31"/>
    <Relationship TargetMode="External" Target="https://www.legis.iowa.gov/docs/iac/rule/571.52.1.pdf" Type="http://schemas.openxmlformats.org/officeDocument/2006/relationships/hyperlink" Id="rId32"/>
    <Relationship TargetMode="External" Target="https://www.legis.iowa.gov/docs/iac/rule/571.52.1.pdf" Type="http://schemas.openxmlformats.org/officeDocument/2006/relationships/hyperlink" Id="rId33"/>
    <Relationship TargetMode="External" Target="https://www.legis.iowa.gov/docs/iac/rule/571.61.2.pdf" Type="http://schemas.openxmlformats.org/officeDocument/2006/relationships/hyperlink" Id="rId34"/>
    <Relationship TargetMode="External" Target="https://www.legis.iowa.gov/docs/iac/rule/567.65.1.pdf" Type="http://schemas.openxmlformats.org/officeDocument/2006/relationships/hyperlink" Id="rId35"/>
    <Relationship TargetMode="External" Target="https://www.legis.iowa.gov/docs/iac/rule/567.65.1.pdf" Type="http://schemas.openxmlformats.org/officeDocument/2006/relationships/hyperlink" Id="rId36"/>
    <Relationship TargetMode="External" Target="https://www.legis.iowa.gov/docs/iac/rule/567.65.201.pdf" Type="http://schemas.openxmlformats.org/officeDocument/2006/relationships/hyperlink" Id="rId37"/>
    <Relationship TargetMode="External" Target="https://www.legis.iowa.gov/docs/ico/chapter/456B.1.pdf" Type="http://schemas.openxmlformats.org/officeDocument/2006/relationships/hyperlink" Id="rId38"/>
    <Relationship TargetMode="External" Target="https://www.legis.iowa.gov/docs/iac/rule/567.65.1.pdf" Type="http://schemas.openxmlformats.org/officeDocument/2006/relationships/hyperlink" Id="rId39"/>
    <Relationship TargetMode="External" Target="https://www.legis.iowa.gov/docs/ico/chapter/459.303.pdf" Type="http://schemas.openxmlformats.org/officeDocument/2006/relationships/hyperlink" Id="rId40"/>
    <Relationship TargetMode="External" Target="https://www.legis.iowa.gov/docs/ico/chapter/459.312.pdf" Type="http://schemas.openxmlformats.org/officeDocument/2006/relationships/hyperlink" Id="rId41"/>
    <Relationship TargetMode="External" Target="https://www.legis.iowa.gov/docs/ico/chapter/459.304.pdf" Type="http://schemas.openxmlformats.org/officeDocument/2006/relationships/hyperlink" Id="rId42"/>
    <Relationship TargetMode="External" Target="https://www.legis.iowa.gov/docs/ico/chapter/459.pdf" Type="http://schemas.openxmlformats.org/officeDocument/2006/relationships/hyperlink" Id="rId43"/>
    <Relationship TargetMode="External" Target="https://www.legis.iowa.gov/docs/ico/chapter/455B.112.pdf" Type="http://schemas.openxmlformats.org/officeDocument/2006/relationships/hyperlink" Id="rId44"/>
    <Relationship TargetMode="External" Target="https://www.legis.iowa.gov/docs/ico/chapter/459.501.pdf" Type="http://schemas.openxmlformats.org/officeDocument/2006/relationships/hyperlink" Id="rId45"/>
    <Relationship TargetMode="External" Target="http://iowadnr.gov/afo/rules" Type="http://schemas.openxmlformats.org/officeDocument/2006/relationships/hyperlink" Id="rId46"/>
    <Relationship TargetMode="External" Target="https://www.legis.iowa.gov/docs/iac/rule/567.65.1.pdf" Type="http://schemas.openxmlformats.org/officeDocument/2006/relationships/hyperlink" Id="rId47"/>
    <Relationship TargetMode="External" Target="https://www.legis.iowa.gov/docs/iac/chapter/567.567.pdf" Type="http://schemas.openxmlformats.org/officeDocument/2006/relationships/hyperlink" Id="rId48"/>
    <Relationship TargetMode="External" Target="https://www.legis.iowa.gov/docs/ico/chapter/459A.103.pdf" Type="http://schemas.openxmlformats.org/officeDocument/2006/relationships/hyperlink" Id="rId49"/>
    <Relationship TargetMode="External" Target="https://www.legis.iowa.gov/docs/ico/chapter/459.102.pdf" Type="http://schemas.openxmlformats.org/officeDocument/2006/relationships/hyperlink" Id="rId50"/>
    <Relationship TargetMode="External" Target="https://www.legis.iowa.gov/docs/ico/chapter/542B.2.pdf" Type="http://schemas.openxmlformats.org/officeDocument/2006/relationships/hyperlink" Id="rId51"/>
    <Relationship TargetMode="External" Target="https://www.legis.iowa.gov/docs/ico/chapter/542B.17.pdf" Type="http://schemas.openxmlformats.org/officeDocument/2006/relationships/hyperlink" Id="rId52"/>
    <Relationship TargetMode="External" Target="https://www.legis.iowa.gov/docs/iac/rule/567.70.2.pdf" Type="http://schemas.openxmlformats.org/officeDocument/2006/relationships/hyperlink" Id="rId53"/>
    <Relationship TargetMode="External" Target="https://www.legis.iowa.gov/docs/ico/chapter/262.pdf" Type="http://schemas.openxmlformats.org/officeDocument/2006/relationships/hyperlink" Id="rId54"/>
    <Relationship TargetMode="External" Target="https://www.legis.iowa.gov/docs/ico/chapter/260C.pdf" Type="http://schemas.openxmlformats.org/officeDocument/2006/relationships/hyperlink" Id="rId55"/>
    <Relationship TargetMode="External" Target="https://www.legis.iowa.gov/docs/ico/chapter/299.24.pdf" Type="http://schemas.openxmlformats.org/officeDocument/2006/relationships/hyperlink" Id="rId56"/>
    <Relationship TargetMode="External" Target="https://www.legis.iowa.gov/docs/ico/chapter/459.303.pdf" Type="http://schemas.openxmlformats.org/officeDocument/2006/relationships/hyperlink" Id="rId57"/>
    <Relationship TargetMode="External" Target="http://www.iowadnr.gov/environmental-protection/animal-feeding-operations/afo-rules-regulations" Type="http://schemas.openxmlformats.org/officeDocument/2006/relationships/hyperlink" Id="rId58"/>
    <Relationship TargetMode="External" Target="https://www.legis.iowa.gov/docs/iac/chapter/567.61.pdf" Type="http://schemas.openxmlformats.org/officeDocument/2006/relationships/hyperlink" Id="rId59"/>
    <Relationship TargetMode="External" Target="https://www.legis.iowa.gov/docs/iac/rule/567.65.1.pdf" Type="http://schemas.openxmlformats.org/officeDocument/2006/relationships/hyperlink" Id="rId60"/>
    <Relationship TargetMode="External" Target="https://www.legis.iowa.gov/docs/iac/rule/567.65.2.pdf" Type="http://schemas.openxmlformats.org/officeDocument/2006/relationships/hyperlink" Id="rId61"/>
    <Relationship TargetMode="External" Target="https://www.legis.iowa.gov/docs/iac/rule/567.65.2.pdf" Type="http://schemas.openxmlformats.org/officeDocument/2006/relationships/hyperlink" Id="rId62"/>
    <Relationship TargetMode="External" Target="https://www.legis.iowa.gov/docs/ico/chapter/459B.306.pdf" Type="http://schemas.openxmlformats.org/officeDocument/2006/relationships/hyperlink" Id="rId63"/>
    <Relationship TargetMode="External" Target="https://www.legis.iowa.gov/docs/ico/chapter/459.311.pdf" Type="http://schemas.openxmlformats.org/officeDocument/2006/relationships/hyperlink" Id="rId64"/>
    <Relationship TargetMode="External" Target="https://www.legis.iowa.gov/docs/ico/chapter/459A.401.pdf" Type="http://schemas.openxmlformats.org/officeDocument/2006/relationships/hyperlink" Id="rId65"/>
    <Relationship TargetMode="External" Target="https://www.legis.iowa.gov/docs/ico/chapter/455B.pdf" Type="http://schemas.openxmlformats.org/officeDocument/2006/relationships/hyperlink" Id="rId66"/>
    <Relationship TargetMode="External" Target="https://www.legis.iowa.gov/docs/ico/chapter/459.pdf" Type="http://schemas.openxmlformats.org/officeDocument/2006/relationships/hyperlink" Id="rId67"/>
    <Relationship TargetMode="External" Target="https://www.legis.iowa.gov/docs/ico/chapter/459A.pdf" Type="http://schemas.openxmlformats.org/officeDocument/2006/relationships/hyperlink" Id="rId68"/>
    <Relationship TargetMode="External" Target="https://www.legis.iowa.gov/docs/ico/chapter/459B.pdf" Type="http://schemas.openxmlformats.org/officeDocument/2006/relationships/hyperlink" Id="rId69"/>
    <Relationship TargetMode="External" Target="https://www.legis.iowa.gov/docs/ico/chapter/455B.pdf" Type="http://schemas.openxmlformats.org/officeDocument/2006/relationships/hyperlink" Id="rId70"/>
    <Relationship TargetMode="External" Target="https://www.legis.iowa.gov/docs/ico/chapter/459.pdf" Type="http://schemas.openxmlformats.org/officeDocument/2006/relationships/hyperlink" Id="rId71"/>
    <Relationship TargetMode="External" Target="https://www.legis.iowa.gov/docs/ico/chapter/459A.pdf" Type="http://schemas.openxmlformats.org/officeDocument/2006/relationships/hyperlink" Id="rId72"/>
    <Relationship TargetMode="External" Target="https://www.legis.iowa.gov/docs/ico/chapter/459B.pdf" Type="http://schemas.openxmlformats.org/officeDocument/2006/relationships/hyperlink" Id="rId73"/>
    <Relationship TargetMode="External" Target="https://www.legis.iowa.gov/docs/iac/rule/567.65.111.pdf" Type="http://schemas.openxmlformats.org/officeDocument/2006/relationships/hyperlink" Id="rId74"/>
    <Relationship TargetMode="External" Target="https://www.legis.iowa.gov/docs/ico/chapter/808.pdf" Type="http://schemas.openxmlformats.org/officeDocument/2006/relationships/hyperlink" Id="rId75"/>
    <Relationship TargetMode="External" Target="https://www.legis.iowa.gov/docs/ico/chapter/809.pdf" Type="http://schemas.openxmlformats.org/officeDocument/2006/relationships/hyperlink" Id="rId76"/>
    <Relationship TargetMode="External" Target="https://www.legis.iowa.gov/docs/ico/chapter/809A.pdf" Type="http://schemas.openxmlformats.org/officeDocument/2006/relationships/hyperlink" Id="rId77"/>
    <Relationship TargetMode="External" Target="https://www.legis.iowa.gov/docs/ico/chapter/459.604.pdf" Type="http://schemas.openxmlformats.org/officeDocument/2006/relationships/hyperlink" Id="rId78"/>
    <Relationship TargetMode="External" Target="https://www.legis.iowa.gov/docs/ico/chapter/459.317.pdf" Type="http://schemas.openxmlformats.org/officeDocument/2006/relationships/hyperlink" Id="rId79"/>
    <Relationship TargetMode="External" Target="https://www.legis.iowa.gov/docs/ico/chapter/459.604.pdf" Type="http://schemas.openxmlformats.org/officeDocument/2006/relationships/hyperlink" Id="rId80"/>
    <Relationship TargetMode="External" Target="https://www.legis.iowa.gov/docs/iac/rule/567.65.6.pdf" Type="http://schemas.openxmlformats.org/officeDocument/2006/relationships/hyperlink" Id="rId81"/>
    <Relationship TargetMode="External" Target="https://www.legis.iowa.gov/docs/ico/chapter/459.310.pdf" Type="http://schemas.openxmlformats.org/officeDocument/2006/relationships/hyperlink" Id="rId82"/>
    <Relationship TargetMode="External" Target="https://www.legis.iowa.gov/docs/ico/chapter/460.205.pdf" Type="http://schemas.openxmlformats.org/officeDocument/2006/relationships/hyperlink" Id="rId83"/>
    <Relationship TargetMode="External" Target="https://www.legis.iowa.gov/docs/iac/rule/567.65.7.pdf" Type="http://schemas.openxmlformats.org/officeDocument/2006/relationships/hyperlink" Id="rId84"/>
    <Relationship TargetMode="External" Target="https://www.legis.iowa.gov/docs/iac/rule/567.65.7.pdf" Type="http://schemas.openxmlformats.org/officeDocument/2006/relationships/hyperlink" Id="rId85"/>
    <Relationship TargetMode="External" Target="https://www.legis.iowa.gov/docs/iac/rule/567.65.1.pdf" Type="http://schemas.openxmlformats.org/officeDocument/2006/relationships/hyperlink" Id="rId86"/>
    <Relationship TargetMode="External" Target="https://www.legis.iowa.gov/docs/iac/rule/567.65.108.pdf" Type="http://schemas.openxmlformats.org/officeDocument/2006/relationships/hyperlink" Id="rId87"/>
    <Relationship TargetMode="External" Target="https://www.legis.iowa.gov/docs/ico/chapter/459.307.pdf" Type="http://schemas.openxmlformats.org/officeDocument/2006/relationships/hyperlink" Id="rId88"/>
    <Relationship TargetMode="External" Target="https://www.legis.iowa.gov/docs/iac/rule/567.65.7.pdf" Type="http://schemas.openxmlformats.org/officeDocument/2006/relationships/hyperlink" Id="rId89"/>
    <Relationship TargetMode="External" Target="https://www.legis.iowa.gov/docs/iac/rule/567.65.108.pdf" Type="http://schemas.openxmlformats.org/officeDocument/2006/relationships/hyperlink" Id="rId90"/>
    <Relationship TargetMode="External" Target="https://www.legis.iowa.gov/docs/ico/chapter/459.307.pdf" Type="http://schemas.openxmlformats.org/officeDocument/2006/relationships/hyperlink" Id="rId91"/>
    <Relationship TargetMode="External" Target="https://www.legis.iowa.gov/docs/iac/rule/567.65.1.pdf" Type="http://schemas.openxmlformats.org/officeDocument/2006/relationships/hyperlink" Id="rId92"/>
    <Relationship TargetMode="External" Target="https://www.legis.iowa.gov/docs/iac/chapter/567.70-76.pdf" Type="http://schemas.openxmlformats.org/officeDocument/2006/relationships/hyperlink" Id="rId93"/>
    <Relationship TargetMode="External" Target="https://www.legis.iowa.gov/docs/iac/chapter/567.70-76.pdf" Type="http://schemas.openxmlformats.org/officeDocument/2006/relationships/hyperlink" Id="rId94"/>
    <Relationship TargetMode="External" Target="https://www.legis.iowa.gov/docs/iac/rule/567.65.9.pdf" Type="http://schemas.openxmlformats.org/officeDocument/2006/relationships/hyperlink" Id="rId95"/>
    <Relationship TargetMode="External" Target="https://www.legis.iowa.gov/docs/ico/chapter/459.310.pdf" Type="http://schemas.openxmlformats.org/officeDocument/2006/relationships/hyperlink" Id="rId96"/>
    <Relationship TargetMode="External" Target="https://www.legis.iowa.gov/docs/ico/chapter/459A.404.pdf" Type="http://schemas.openxmlformats.org/officeDocument/2006/relationships/hyperlink" Id="rId97"/>
    <Relationship TargetMode="External" Target="https://www.legis.iowa.gov/docs/iac/rule/567.65.106.pdf" Type="http://schemas.openxmlformats.org/officeDocument/2006/relationships/hyperlink" Id="rId98"/>
    <Relationship TargetMode="External" Target="https://www.legis.iowa.gov/docs/iac/rule/567.65.106.pdf" Type="http://schemas.openxmlformats.org/officeDocument/2006/relationships/hyperlink" Id="rId99"/>
    <Relationship TargetMode="External" Target="https://www.legis.iowa.gov/docs/iac/rule/567.65.9.pdf" Type="http://schemas.openxmlformats.org/officeDocument/2006/relationships/hyperlink" Id="rId100"/>
    <Relationship TargetMode="External" Target="https://www.legis.iowa.gov/docs/iac/rule/567.65.106.pdf" Type="http://schemas.openxmlformats.org/officeDocument/2006/relationships/hyperlink" Id="rId101"/>
    <Relationship TargetMode="External" Target="https://www.legis.iowa.gov/docs/iac/rule/567.65.106.pdf" Type="http://schemas.openxmlformats.org/officeDocument/2006/relationships/hyperlink" Id="rId102"/>
    <Relationship TargetMode="External" Target="https://www.legis.iowa.gov/docs/ico/chapter/459.307.pdf" Type="http://schemas.openxmlformats.org/officeDocument/2006/relationships/hyperlink" Id="rId103"/>
    <Relationship TargetMode="External" Target="https://www.legis.iowa.gov/docs/iac/rule/567.65.108.pdf" Type="http://schemas.openxmlformats.org/officeDocument/2006/relationships/hyperlink" Id="rId104"/>
    <Relationship TargetMode="External" Target="https://www.legis.iowa.gov/docs/ico/chapter/459.307.pdf" Type="http://schemas.openxmlformats.org/officeDocument/2006/relationships/hyperlink" Id="rId105"/>
    <Relationship TargetMode="External" Target="https://www.legis.iowa.gov/docs/iac/rule/567.65.108.pdf" Type="http://schemas.openxmlformats.org/officeDocument/2006/relationships/hyperlink" Id="rId106"/>
    <Relationship TargetMode="External" Target="https://www.legis.iowa.gov/docs/iac/rule/567.65.100.pdf" Type="http://schemas.openxmlformats.org/officeDocument/2006/relationships/hyperlink" Id="rId107"/>
    <Relationship TargetMode="External" Target="https://www.legis.iowa.gov/docs/iac/rule/567.65.2.pdf" Type="http://schemas.openxmlformats.org/officeDocument/2006/relationships/hyperlink" Id="rId108"/>
    <Relationship TargetMode="External" Target="https://www.legis.iowa.gov/docs/iac/rule/567.65.100.pdf" Type="http://schemas.openxmlformats.org/officeDocument/2006/relationships/hyperlink" Id="rId109"/>
    <Relationship TargetMode="External" Target="https://www.legis.iowa.gov/docs/iac/rule/567.65.100.pdf" Type="http://schemas.openxmlformats.org/officeDocument/2006/relationships/hyperlink" Id="rId110"/>
    <Relationship TargetMode="External" Target="https://www.legis.iowa.gov/docs/iac/rule/567.65.101.pdf" Type="http://schemas.openxmlformats.org/officeDocument/2006/relationships/hyperlink" Id="rId111"/>
    <Relationship TargetMode="External" Target="https://www.legis.iowa.gov/docs/iac/rule/567.65.100.pdf" Type="http://schemas.openxmlformats.org/officeDocument/2006/relationships/hyperlink" Id="rId112"/>
    <Relationship TargetMode="External" Target="https://www.legis.iowa.gov/docs/iac/rule/567.65.100.pdf" Type="http://schemas.openxmlformats.org/officeDocument/2006/relationships/hyperlink" Id="rId113"/>
    <Relationship TargetMode="External" Target="https://www.legis.iowa.gov/docs/iac/rule/567.56.101.pdf" Type="http://schemas.openxmlformats.org/officeDocument/2006/relationships/hyperlink" Id="rId114"/>
    <Relationship TargetMode="External" Target="https://www.legis.iowa.gov/docs/iac/rule/567.65.100.pdf" Type="http://schemas.openxmlformats.org/officeDocument/2006/relationships/hyperlink" Id="rId115"/>
    <Relationship TargetMode="External" Target="https://www.legis.iowa.gov/docs/iac/rule/567.65.100.pdf" Type="http://schemas.openxmlformats.org/officeDocument/2006/relationships/hyperlink" Id="rId116"/>
    <Relationship TargetMode="External" Target="https://www.legis.iowa.gov/docs/iac/rule/567.65.100.pdf" Type="http://schemas.openxmlformats.org/officeDocument/2006/relationships/hyperlink" Id="rId117"/>
    <Relationship TargetMode="External" Target="https://www.legis.iowa.gov/docs/iac/rule/567.65.100.pdf" Type="http://schemas.openxmlformats.org/officeDocument/2006/relationships/hyperlink" Id="rId118"/>
    <Relationship TargetMode="External" Target="https://www.legis.iowa.gov/docs/iac/rule/567.65.100.pdf" Type="http://schemas.openxmlformats.org/officeDocument/2006/relationships/hyperlink" Id="rId119"/>
    <Relationship TargetMode="External" Target="https://www.legis.iowa.gov/docs/iac/rule/567.65.8.pdf" Type="http://schemas.openxmlformats.org/officeDocument/2006/relationships/hyperlink" Id="rId120"/>
    <Relationship TargetMode="External" Target="https://www.legis.iowa.gov/docs/ico/chapter/459.204.pdf" Type="http://schemas.openxmlformats.org/officeDocument/2006/relationships/hyperlink" Id="rId121"/>
    <Relationship TargetMode="External" Target="https://www.legis.iowa.gov/docs/iac/rule/567.65.101.pdf" Type="http://schemas.openxmlformats.org/officeDocument/2006/relationships/hyperlink" Id="rId122"/>
    <Relationship TargetMode="External" Target="https://www.legis.iowa.gov/docs/iac/rule/567.65.101.pdf" Type="http://schemas.openxmlformats.org/officeDocument/2006/relationships/hyperlink" Id="rId123"/>
    <Relationship TargetMode="External" Target="https://www.legis.iowa.gov/docs/iac/rule/567.65.101.pdf" Type="http://schemas.openxmlformats.org/officeDocument/2006/relationships/hyperlink" Id="rId124"/>
    <Relationship TargetMode="External" Target="https://www.legis.iowa.gov/docs/iac/rule/567.65.100.pdf" Type="http://schemas.openxmlformats.org/officeDocument/2006/relationships/hyperlink" Id="rId125"/>
    <Relationship TargetMode="External" Target="https://www.legis.iowa.gov/docs/iac/rule/567.65.100.pdf" Type="http://schemas.openxmlformats.org/officeDocument/2006/relationships/hyperlink" Id="rId126"/>
    <Relationship TargetMode="External" Target="https://www.legis.iowa.gov/docs/iac/rule/567.65.101.pdf" Type="http://schemas.openxmlformats.org/officeDocument/2006/relationships/hyperlink" Id="rId127"/>
    <Relationship TargetMode="External" Target="https://www.legis.iowa.gov/docs/iac/rule/567.65.101.pdf" Type="http://schemas.openxmlformats.org/officeDocument/2006/relationships/hyperlink" Id="rId128"/>
    <Relationship TargetMode="External" Target="https://www.legis.iowa.gov/docs/iac/rule/567.65.111.pdf" Type="http://schemas.openxmlformats.org/officeDocument/2006/relationships/hyperlink" Id="rId129"/>
    <Relationship TargetMode="External" Target="https://www.legis.iowa.gov/docs/iac/rule/567.65.110.pdf" Type="http://schemas.openxmlformats.org/officeDocument/2006/relationships/hyperlink" Id="rId130"/>
    <Relationship TargetMode="External" Target="https://www.legis.iowa.gov/docs/iac/rule/567.62.4.pdf" Type="http://schemas.openxmlformats.org/officeDocument/2006/relationships/hyperlink" Id="rId131"/>
    <Relationship TargetMode="External" Target="https://www.legis.iowa.gov/docs/iac/rule/567.65.101.pdf" Type="http://schemas.openxmlformats.org/officeDocument/2006/relationships/hyperlink" Id="rId132"/>
    <Relationship TargetMode="External" Target="https://www.legis.iowa.gov/docs/iac/rule/567.65.100.pdf" Type="http://schemas.openxmlformats.org/officeDocument/2006/relationships/hyperlink" Id="rId133"/>
    <Relationship TargetMode="External" Target="https://www.legis.iowa.gov/docs/iac/rule/567.65.102.pdf" Type="http://schemas.openxmlformats.org/officeDocument/2006/relationships/hyperlink" Id="rId134"/>
    <Relationship TargetMode="External" Target="https://www.legis.iowa.gov/docs/iac/rule/567.65.103.pdf" Type="http://schemas.openxmlformats.org/officeDocument/2006/relationships/hyperlink" Id="rId135"/>
    <Relationship TargetMode="External" Target="https://www.legis.iowa.gov/docs/iac/rule/567.65.103.pdf" Type="http://schemas.openxmlformats.org/officeDocument/2006/relationships/hyperlink" Id="rId136"/>
    <Relationship TargetMode="External" Target="https://www.legis.iowa.gov/docs/iac/rule/567.65.103.pdf" Type="http://schemas.openxmlformats.org/officeDocument/2006/relationships/hyperlink" Id="rId137"/>
    <Relationship TargetMode="External" Target="https://www.legis.iowa.gov/docs/iac/rule/567.65.103.pdf" Type="http://schemas.openxmlformats.org/officeDocument/2006/relationships/hyperlink" Id="rId138"/>
    <Relationship TargetMode="External" Target="https://www.legis.iowa.gov/docs/iac/rule/567.65.103.pdf" Type="http://schemas.openxmlformats.org/officeDocument/2006/relationships/hyperlink" Id="rId139"/>
    <Relationship TargetMode="External" Target="https://www.legis.iowa.gov/docs/iac/rule/567.65.103.pdf" Type="http://schemas.openxmlformats.org/officeDocument/2006/relationships/hyperlink" Id="rId140"/>
    <Relationship TargetMode="External" Target="https://www.legis.iowa.gov/docs/iac/rule/567.65.102.pdf" Type="http://schemas.openxmlformats.org/officeDocument/2006/relationships/hyperlink" Id="rId141"/>
    <Relationship TargetMode="External" Target="https://www.legis.iowa.gov/docs/ico/chapter/455B.112.pdf" Type="http://schemas.openxmlformats.org/officeDocument/2006/relationships/hyperlink" Id="rId142"/>
    <Relationship TargetMode="External" Target="https://www.legis.iowa.gov/docs/iac/rule/567.65.103.pdf" Type="http://schemas.openxmlformats.org/officeDocument/2006/relationships/hyperlink" Id="rId143"/>
    <Relationship TargetMode="External" Target="https://www.legis.iowa.gov/docs/iac/rule/567.65.104.pdf" Type="http://schemas.openxmlformats.org/officeDocument/2006/relationships/hyperlink" Id="rId144"/>
    <Relationship TargetMode="External" Target="https://www.legis.iowa.gov/docs/ico/chapter/455B.183.pdf" Type="http://schemas.openxmlformats.org/officeDocument/2006/relationships/hyperlink" Id="rId145"/>
    <Relationship TargetMode="External" Target="https://www.legis.iowa.gov/docs/ico/chapter/459.317.pdf" Type="http://schemas.openxmlformats.org/officeDocument/2006/relationships/hyperlink" Id="rId146"/>
    <Relationship TargetMode="External" Target="https://www.legis.iowa.gov/docs/ico/chapter/459.604.pdf" Type="http://schemas.openxmlformats.org/officeDocument/2006/relationships/hyperlink" Id="rId147"/>
    <Relationship TargetMode="External" Target="https://www.legis.iowa.gov/docs/iac/rule/567.65.6.pdf" Type="http://schemas.openxmlformats.org/officeDocument/2006/relationships/hyperlink" Id="rId148"/>
    <Relationship TargetMode="External" Target="https://www.legis.iowa.gov/docs/iac/rule/567.65.103.pdf" Type="http://schemas.openxmlformats.org/officeDocument/2006/relationships/hyperlink" Id="rId149"/>
    <Relationship TargetMode="External" Target="https://www.legis.iowa.gov/docs/iac/rule/567.65.1.pdf" Type="http://schemas.openxmlformats.org/officeDocument/2006/relationships/hyperlink" Id="rId150"/>
    <Relationship TargetMode="External" Target="https://www.legis.iowa.gov/docs/iac/rule/567.65.103.pdf" Type="http://schemas.openxmlformats.org/officeDocument/2006/relationships/hyperlink" Id="rId151"/>
    <Relationship TargetMode="External" Target="https://www.legis.iowa.gov/docs/iac/rule/567.65.104.pdf" Type="http://schemas.openxmlformats.org/officeDocument/2006/relationships/hyperlink" Id="rId152"/>
    <Relationship TargetMode="External" Target="https://www.legis.iowa.gov/docs/iac/rule/567.65.6.pdf" Type="http://schemas.openxmlformats.org/officeDocument/2006/relationships/hyperlink" Id="rId153"/>
    <Relationship TargetMode="External" Target="https://www.legis.iowa.gov/docs/ico/chapter/459.310.pdf" Type="http://schemas.openxmlformats.org/officeDocument/2006/relationships/hyperlink" Id="rId154"/>
    <Relationship TargetMode="External" Target="https://www.legis.iowa.gov/docs/iac/rule/567.65.104.pdf" Type="http://schemas.openxmlformats.org/officeDocument/2006/relationships/hyperlink" Id="rId155"/>
    <Relationship TargetMode="External" Target="https://www.legis.iowa.gov/docs/iac/rule/567.65.108.pdf" Type="http://schemas.openxmlformats.org/officeDocument/2006/relationships/hyperlink" Id="rId156"/>
    <Relationship TargetMode="External" Target="https://www.legis.iowa.gov/docs/iac/rule/567.65.106.pdf" Type="http://schemas.openxmlformats.org/officeDocument/2006/relationships/hyperlink" Id="rId157"/>
    <Relationship TargetMode="External" Target="https://www.legis.iowa.gov/docs/iac/rule/567.65.103.pdf" Type="http://schemas.openxmlformats.org/officeDocument/2006/relationships/hyperlink" Id="rId158"/>
    <Relationship TargetMode="External" Target="https://www.legis.iowa.gov/docs/iac/rule/567.65.103.pdf" Type="http://schemas.openxmlformats.org/officeDocument/2006/relationships/hyperlink" Id="rId159"/>
    <Relationship TargetMode="External" Target="https://www.legis.iowa.gov/docs/iac/rule/567.65.104.pdf" Type="http://schemas.openxmlformats.org/officeDocument/2006/relationships/hyperlink" Id="rId160"/>
    <Relationship TargetMode="External" Target="https://www.legis.iowa.gov/docs/iac/rule/567.65.105.pdf" Type="http://schemas.openxmlformats.org/officeDocument/2006/relationships/hyperlink" Id="rId161"/>
    <Relationship TargetMode="External" Target="https://www.legis.iowa.gov/docs/iac/rule/567.65.1.pdf" Type="http://schemas.openxmlformats.org/officeDocument/2006/relationships/hyperlink" Id="rId162"/>
    <Relationship TargetMode="External" Target="https://www.legis.iowa.gov/docs/ico/chapter/459.pdf" Type="http://schemas.openxmlformats.org/officeDocument/2006/relationships/hyperlink" Id="rId163"/>
    <Relationship TargetMode="External" Target="https://www.legis.iowa.gov/docs/iac/rule/567.65.108.pdf" Type="http://schemas.openxmlformats.org/officeDocument/2006/relationships/hyperlink" Id="rId164"/>
    <Relationship TargetMode="External" Target="https://www.legis.iowa.gov/docs/iac/rule/567.65.108.pdf" Type="http://schemas.openxmlformats.org/officeDocument/2006/relationships/hyperlink" Id="rId165"/>
    <Relationship TargetMode="External" Target="https://www.legis.iowa.gov/docs/iac/rule/567.65.1.pdf" Type="http://schemas.openxmlformats.org/officeDocument/2006/relationships/hyperlink" Id="rId166"/>
    <Relationship TargetMode="External" Target="https://www.legis.iowa.gov/docs/iac/rule/567.65.104.pdf" Type="http://schemas.openxmlformats.org/officeDocument/2006/relationships/hyperlink" Id="rId167"/>
    <Relationship TargetMode="External" Target="https://www.legis.iowa.gov/docs/iac/rule/567.65.104.pdf" Type="http://schemas.openxmlformats.org/officeDocument/2006/relationships/hyperlink" Id="rId168"/>
    <Relationship TargetMode="External" Target="https://www.legis.iowa.gov/docs/ico/chapter/459.502.pdf" Type="http://schemas.openxmlformats.org/officeDocument/2006/relationships/hyperlink" Id="rId169"/>
    <Relationship TargetMode="External" Target="https://www.legis.iowa.gov/docs/iac/rule/567.65.1.pdf" Type="http://schemas.openxmlformats.org/officeDocument/2006/relationships/hyperlink" Id="rId170"/>
    <Relationship TargetMode="External" Target="https://www.legis.iowa.gov/docs/iac/rule/567.65.104.pdf" Type="http://schemas.openxmlformats.org/officeDocument/2006/relationships/hyperlink" Id="rId171"/>
    <Relationship TargetMode="External" Target="https://www.legis.iowa.gov/docs/iac/rule/567.65.104.pdf" Type="http://schemas.openxmlformats.org/officeDocument/2006/relationships/hyperlink" Id="rId172"/>
    <Relationship TargetMode="External" Target="https://www.legis.iowa.gov/docs/ico/chapter/459.202.pdf" Type="http://schemas.openxmlformats.org/officeDocument/2006/relationships/hyperlink" Id="rId173"/>
    <Relationship TargetMode="External" Target="https://www.legis.iowa.gov/docs/ico/chapter/459.203.pdf" Type="http://schemas.openxmlformats.org/officeDocument/2006/relationships/hyperlink" Id="rId174"/>
    <Relationship TargetMode="External" Target="https://www.legis.iowa.gov/docs/ico/chapter/459.310.pdf" Type="http://schemas.openxmlformats.org/officeDocument/2006/relationships/hyperlink" Id="rId175"/>
    <Relationship TargetMode="External" Target="https://www.legis.iowa.gov/docs/iac/rule/567.65.107.pdf" Type="http://schemas.openxmlformats.org/officeDocument/2006/relationships/hyperlink" Id="rId176"/>
    <Relationship TargetMode="External" Target="https://www.legis.iowa.gov/docs/iac/rule/567.65.104.pdf" Type="http://schemas.openxmlformats.org/officeDocument/2006/relationships/hyperlink" Id="rId177"/>
    <Relationship TargetMode="External" Target="https://www.legis.iowa.gov/docs/iac/rule/567.65.107.pdf" Type="http://schemas.openxmlformats.org/officeDocument/2006/relationships/hyperlink" Id="rId178"/>
    <Relationship TargetMode="External" Target="https://www.legis.iowa.gov/docs/iac/rule/567.65.110.pdf" Type="http://schemas.openxmlformats.org/officeDocument/2006/relationships/hyperlink" Id="rId179"/>
    <Relationship TargetMode="External" Target="https://www.legis.iowa.gov/docs/iac/rule/567.65.110.pdf" Type="http://schemas.openxmlformats.org/officeDocument/2006/relationships/hyperlink" Id="rId180"/>
    <Relationship TargetMode="External" Target="https://www.legis.iowa.gov/docs/ico/chapter/266.49.pdf" Type="http://schemas.openxmlformats.org/officeDocument/2006/relationships/hyperlink" Id="rId181"/>
    <Relationship TargetMode="External" Target="https://www.legis.iowa.gov/docs/ico/chapter/459.202.pdf" Type="http://schemas.openxmlformats.org/officeDocument/2006/relationships/hyperlink" Id="rId182"/>
    <Relationship TargetMode="External" Target="https://www.legis.iowa.gov/docs/ico/chapter/459.202.pdf" Type="http://schemas.openxmlformats.org/officeDocument/2006/relationships/hyperlink" Id="rId183"/>
    <Relationship TargetMode="External" Target="https://www.legis.iowa.gov/docs/ico/chapter/266.49.pdf" Type="http://schemas.openxmlformats.org/officeDocument/2006/relationships/hyperlink" Id="rId184"/>
    <Relationship TargetMode="External" Target="https://www.legis.iowa.gov/docs/ico/chapter/266.49.pdf" Type="http://schemas.openxmlformats.org/officeDocument/2006/relationships/hyperlink" Id="rId185"/>
    <Relationship TargetMode="External" Target="https://www.legis.iowa.gov/docs/iac/rule/567.65.103.pdf" Type="http://schemas.openxmlformats.org/officeDocument/2006/relationships/hyperlink" Id="rId186"/>
    <Relationship TargetMode="External" Target="https://www.legis.iowa.gov/docs/iac/rule/567.65.1.pdf" Type="http://schemas.openxmlformats.org/officeDocument/2006/relationships/hyperlink" Id="rId187"/>
    <Relationship TargetMode="External" Target="https://www.legis.iowa.gov/docs/iac/rule/567.65.103.pdf" Type="http://schemas.openxmlformats.org/officeDocument/2006/relationships/hyperlink" Id="rId188"/>
    <Relationship TargetMode="External" Target="https://www.legis.iowa.gov/docs/iac/rule/567.65.104.pdf" Type="http://schemas.openxmlformats.org/officeDocument/2006/relationships/hyperlink" Id="rId189"/>
    <Relationship TargetMode="External" Target="https://www.legis.iowa.gov/docs/iac/rule/567.65.104.pdf" Type="http://schemas.openxmlformats.org/officeDocument/2006/relationships/hyperlink" Id="rId190"/>
    <Relationship TargetMode="External" Target="https://www.legis.iowa.gov/docs/iac/rule/567.65.110.pdf" Type="http://schemas.openxmlformats.org/officeDocument/2006/relationships/hyperlink" Id="rId191"/>
    <Relationship TargetMode="External" Target="https://www.legis.iowa.gov/docs/iac/rule/567.65.110.pdf" Type="http://schemas.openxmlformats.org/officeDocument/2006/relationships/hyperlink" Id="rId192"/>
    <Relationship TargetMode="External" Target="https://www.legis.iowa.gov/docs/iac/rule/567.65.110.pdf" Type="http://schemas.openxmlformats.org/officeDocument/2006/relationships/hyperlink" Id="rId193"/>
    <Relationship TargetMode="External" Target="https://www.legis.iowa.gov/docs/iac/rule/567.65.104.pdf" Type="http://schemas.openxmlformats.org/officeDocument/2006/relationships/hyperlink" Id="rId194"/>
    <Relationship TargetMode="External" Target="https://www.legis.iowa.gov/docs/iac/rule/567.65.104.pdf" Type="http://schemas.openxmlformats.org/officeDocument/2006/relationships/hyperlink" Id="rId195"/>
    <Relationship TargetMode="External" Target="https://www.legis.iowa.gov/docs/iac/rule/567.65.1.pdf" Type="http://schemas.openxmlformats.org/officeDocument/2006/relationships/hyperlink" Id="rId196"/>
    <Relationship TargetMode="External" Target="https://www.legis.iowa.gov/docs/iac/rule/567.65.103.pdf" Type="http://schemas.openxmlformats.org/officeDocument/2006/relationships/hyperlink" Id="rId197"/>
    <Relationship TargetMode="External" Target="https://www.legis.iowa.gov/docs/iac/rule/567.65.103.pdf" Type="http://schemas.openxmlformats.org/officeDocument/2006/relationships/hyperlink" Id="rId198"/>
    <Relationship TargetMode="External" Target="https://www.legis.iowa.gov/docs/iac/rule/567.65.104.pdf" Type="http://schemas.openxmlformats.org/officeDocument/2006/relationships/hyperlink" Id="rId199"/>
    <Relationship TargetMode="External" Target="https://www.legis.iowa.gov/docs/iac/rule/567.65.1.pdf" Type="http://schemas.openxmlformats.org/officeDocument/2006/relationships/hyperlink" Id="rId200"/>
    <Relationship TargetMode="External" Target="https://www.legis.iowa.gov/docs/iac/rule/567.65.1.pdf" Type="http://schemas.openxmlformats.org/officeDocument/2006/relationships/hyperlink" Id="rId201"/>
    <Relationship TargetMode="External" Target="https://www.legis.iowa.gov/docs/iac/rule/567.65.104.pdf" Type="http://schemas.openxmlformats.org/officeDocument/2006/relationships/hyperlink" Id="rId202"/>
    <Relationship TargetMode="External" Target="https://www.legis.iowa.gov/docs/iac/rule/567.65.110.pdf" Type="http://schemas.openxmlformats.org/officeDocument/2006/relationships/hyperlink" Id="rId203"/>
    <Relationship TargetMode="External" Target="https://www.legis.iowa.gov/docs/iac/rule/567.65.108.pdf" Type="http://schemas.openxmlformats.org/officeDocument/2006/relationships/hyperlink" Id="rId204"/>
    <Relationship TargetMode="External" Target="https://www.legis.iowa.gov/docs/ico/chapter/459.pdf" Type="http://schemas.openxmlformats.org/officeDocument/2006/relationships/hyperlink" Id="rId205"/>
    <Relationship TargetMode="External" Target="https://www.legis.iowa.gov/docs/iac/rule/567.65.1.pdf" Type="http://schemas.openxmlformats.org/officeDocument/2006/relationships/hyperlink" Id="rId206"/>
    <Relationship TargetMode="External" Target="https://www.legis.iowa.gov/docs/iac/rule/567.65.1.pdf" Type="http://schemas.openxmlformats.org/officeDocument/2006/relationships/hyperlink" Id="rId207"/>
    <Relationship TargetMode="External" Target="https://www.legis.iowa.gov/docs/iac/rule/567.65.103.pdf" Type="http://schemas.openxmlformats.org/officeDocument/2006/relationships/hyperlink" Id="rId208"/>
    <Relationship TargetMode="External" Target="https://www.legis.iowa.gov/docs/iac/rule/567.65.104.pdf" Type="http://schemas.openxmlformats.org/officeDocument/2006/relationships/hyperlink" Id="rId209"/>
    <Relationship TargetMode="External" Target="https://www.legis.iowa.gov/docs/iac/rule/567.65.103.pdf" Type="http://schemas.openxmlformats.org/officeDocument/2006/relationships/hyperlink" Id="rId210"/>
    <Relationship TargetMode="External" Target="https://www.legis.iowa.gov/docs/iac/rule/567.65.1.pdf" Type="http://schemas.openxmlformats.org/officeDocument/2006/relationships/hyperlink" Id="rId211"/>
    <Relationship TargetMode="External" Target="https://www.legis.iowa.gov/docs/iac/rule/567.65.104.pdf" Type="http://schemas.openxmlformats.org/officeDocument/2006/relationships/hyperlink" Id="rId212"/>
    <Relationship TargetMode="External" Target="https://www.legis.iowa.gov/docs/iac/rule/567.65.107.pdf" Type="http://schemas.openxmlformats.org/officeDocument/2006/relationships/hyperlink" Id="rId213"/>
    <Relationship TargetMode="External" Target="https://www.legis.iowa.gov/docs/iac/rule/567.65.104.pdf" Type="http://schemas.openxmlformats.org/officeDocument/2006/relationships/hyperlink" Id="rId214"/>
    <Relationship TargetMode="External" Target="https://www.legis.iowa.gov/docs/iac/rule/567.65.104.pdf" Type="http://schemas.openxmlformats.org/officeDocument/2006/relationships/hyperlink" Id="rId215"/>
    <Relationship TargetMode="External" Target="https://www.legis.iowa.gov/docs/iac/rule/567.65.108.pdf" Type="http://schemas.openxmlformats.org/officeDocument/2006/relationships/hyperlink" Id="rId216"/>
    <Relationship TargetMode="External" Target="https://www.legis.iowa.gov/docs/ico/chapter/22.2.pdf" Type="http://schemas.openxmlformats.org/officeDocument/2006/relationships/hyperlink" Id="rId217"/>
    <Relationship TargetMode="External" Target="https://www.legis.iowa.gov/docs/ico/chapter/459.pdf" Type="http://schemas.openxmlformats.org/officeDocument/2006/relationships/hyperlink" Id="rId218"/>
    <Relationship TargetMode="External" Target="https://www.legis.iowa.gov/docs/ico/chapter/459.202.pdf" Type="http://schemas.openxmlformats.org/officeDocument/2006/relationships/hyperlink" Id="rId219"/>
    <Relationship TargetMode="External" Target="https://www.legis.iowa.gov/docs/iac/rule/567.65.105.pdf" Type="http://schemas.openxmlformats.org/officeDocument/2006/relationships/hyperlink" Id="rId220"/>
    <Relationship TargetMode="External" Target="https://www.legis.iowa.gov/docs/iac/rule/567.65.105.pdf" Type="http://schemas.openxmlformats.org/officeDocument/2006/relationships/hyperlink" Id="rId221"/>
    <Relationship TargetMode="External" Target="https://www.legis.iowa.gov/docs/ico/chapter/459.312.pdf" Type="http://schemas.openxmlformats.org/officeDocument/2006/relationships/hyperlink" Id="rId222"/>
    <Relationship TargetMode="External" Target="https://www.legis.iowa.gov/docs/iac/rule/567.65.105.pdf" Type="http://schemas.openxmlformats.org/officeDocument/2006/relationships/hyperlink" Id="rId223"/>
    <Relationship TargetMode="External" Target="https://www.legis.iowa.gov/docs/ico/chapter/455B.pdf" Type="http://schemas.openxmlformats.org/officeDocument/2006/relationships/hyperlink" Id="rId224"/>
    <Relationship TargetMode="External" Target="https://www.legis.iowa.gov/docs/ico/chapter/459.pdf" Type="http://schemas.openxmlformats.org/officeDocument/2006/relationships/hyperlink" Id="rId225"/>
    <Relationship TargetMode="External" Target="https://www.legis.iowa.gov/docs/ico/chapter/459A.pdf" Type="http://schemas.openxmlformats.org/officeDocument/2006/relationships/hyperlink" Id="rId226"/>
    <Relationship TargetMode="External" Target="https://www.legis.iowa.gov/docs/ico/chapter/459B.pdf" Type="http://schemas.openxmlformats.org/officeDocument/2006/relationships/hyperlink" Id="rId227"/>
    <Relationship TargetMode="External" Target="https://www.legis.iowa.gov/docs/ico/chapter/455B.pdf" Type="http://schemas.openxmlformats.org/officeDocument/2006/relationships/hyperlink" Id="rId228"/>
    <Relationship TargetMode="External" Target="https://www.legis.iowa.gov/docs/ico/chapter/459.pdf" Type="http://schemas.openxmlformats.org/officeDocument/2006/relationships/hyperlink" Id="rId229"/>
    <Relationship TargetMode="External" Target="https://www.legis.iowa.gov/docs/ico/chapter/459A.pdf" Type="http://schemas.openxmlformats.org/officeDocument/2006/relationships/hyperlink" Id="rId230"/>
    <Relationship TargetMode="External" Target="https://www.legis.iowa.gov/docs/ico/chapter/459B.pdf" Type="http://schemas.openxmlformats.org/officeDocument/2006/relationships/hyperlink" Id="rId231"/>
    <Relationship TargetMode="External" Target="https://www.legis.iowa.gov/docs/ico/chapter/455B.pdf" Type="http://schemas.openxmlformats.org/officeDocument/2006/relationships/hyperlink" Id="rId232"/>
    <Relationship TargetMode="External" Target="https://www.legis.iowa.gov/docs/ico/chapter/459.pdf" Type="http://schemas.openxmlformats.org/officeDocument/2006/relationships/hyperlink" Id="rId233"/>
    <Relationship TargetMode="External" Target="https://www.legis.iowa.gov/docs/ico/chapter/459A.pdf" Type="http://schemas.openxmlformats.org/officeDocument/2006/relationships/hyperlink" Id="rId234"/>
    <Relationship TargetMode="External" Target="https://www.legis.iowa.gov/docs/ico/chapter/459B.pdf" Type="http://schemas.openxmlformats.org/officeDocument/2006/relationships/hyperlink" Id="rId235"/>
    <Relationship TargetMode="External" Target="https://www.legis.iowa.gov/docs/ico/chapter/455B.pdf" Type="http://schemas.openxmlformats.org/officeDocument/2006/relationships/hyperlink" Id="rId236"/>
    <Relationship TargetMode="External" Target="https://www.legis.iowa.gov/docs/ico/chapter/459.pdf" Type="http://schemas.openxmlformats.org/officeDocument/2006/relationships/hyperlink" Id="rId237"/>
    <Relationship TargetMode="External" Target="https://www.legis.iowa.gov/docs/ico/chapter/459A.pdf" Type="http://schemas.openxmlformats.org/officeDocument/2006/relationships/hyperlink" Id="rId238"/>
    <Relationship TargetMode="External" Target="https://www.legis.iowa.gov/docs/ico/chapter/459B.pdf" Type="http://schemas.openxmlformats.org/officeDocument/2006/relationships/hyperlink" Id="rId239"/>
    <Relationship TargetMode="External" Target="https://www.legis.iowa.gov/docs/ico/chapter/455B.pdf" Type="http://schemas.openxmlformats.org/officeDocument/2006/relationships/hyperlink" Id="rId240"/>
    <Relationship TargetMode="External" Target="https://www.legis.iowa.gov/docs/ico/chapter/459.pdf" Type="http://schemas.openxmlformats.org/officeDocument/2006/relationships/hyperlink" Id="rId241"/>
    <Relationship TargetMode="External" Target="https://www.legis.iowa.gov/docs/ico/chapter/459A.pdf" Type="http://schemas.openxmlformats.org/officeDocument/2006/relationships/hyperlink" Id="rId242"/>
    <Relationship TargetMode="External" Target="https://www.legis.iowa.gov/docs/ico/chapter/459B.pdf" Type="http://schemas.openxmlformats.org/officeDocument/2006/relationships/hyperlink" Id="rId243"/>
    <Relationship TargetMode="External" Target="https://www.legis.iowa.gov/docs/ico/chapter/455B.pdf" Type="http://schemas.openxmlformats.org/officeDocument/2006/relationships/hyperlink" Id="rId244"/>
    <Relationship TargetMode="External" Target="https://www.legis.iowa.gov/docs/ico/chapter/459.pdf" Type="http://schemas.openxmlformats.org/officeDocument/2006/relationships/hyperlink" Id="rId245"/>
    <Relationship TargetMode="External" Target="https://www.legis.iowa.gov/docs/ico/chapter/459A.pdf" Type="http://schemas.openxmlformats.org/officeDocument/2006/relationships/hyperlink" Id="rId246"/>
    <Relationship TargetMode="External" Target="https://www.legis.iowa.gov/docs/ico/chapter/459B.pdf" Type="http://schemas.openxmlformats.org/officeDocument/2006/relationships/hyperlink" Id="rId247"/>
    <Relationship TargetMode="External" Target="https://www.legis.iowa.gov/docs/ico/chapter/455B.pdf" Type="http://schemas.openxmlformats.org/officeDocument/2006/relationships/hyperlink" Id="rId248"/>
    <Relationship TargetMode="External" Target="https://www.legis.iowa.gov/docs/ico/chapter/459.pdf" Type="http://schemas.openxmlformats.org/officeDocument/2006/relationships/hyperlink" Id="rId249"/>
    <Relationship TargetMode="External" Target="https://www.legis.iowa.gov/docs/ico/chapter/459A.pdf" Type="http://schemas.openxmlformats.org/officeDocument/2006/relationships/hyperlink" Id="rId250"/>
    <Relationship TargetMode="External" Target="https://www.legis.iowa.gov/docs/ico/chapter/459B.pdf" Type="http://schemas.openxmlformats.org/officeDocument/2006/relationships/hyperlink" Id="rId251"/>
    <Relationship TargetMode="External" Target="https://www.legis.iowa.gov/docs/ico/chapter/455B.pdf" Type="http://schemas.openxmlformats.org/officeDocument/2006/relationships/hyperlink" Id="rId252"/>
    <Relationship TargetMode="External" Target="https://www.legis.iowa.gov/docs/ico/chapter/459.pdf" Type="http://schemas.openxmlformats.org/officeDocument/2006/relationships/hyperlink" Id="rId253"/>
    <Relationship TargetMode="External" Target="https://www.legis.iowa.gov/docs/ico/chapter/459A.pdf" Type="http://schemas.openxmlformats.org/officeDocument/2006/relationships/hyperlink" Id="rId254"/>
    <Relationship TargetMode="External" Target="https://www.legis.iowa.gov/docs/ico/chapter/459B.pdf" Type="http://schemas.openxmlformats.org/officeDocument/2006/relationships/hyperlink" Id="rId255"/>
    <Relationship TargetMode="External" Target="https://www.legis.iowa.gov/docs/ico/chapter/455B.pdf" Type="http://schemas.openxmlformats.org/officeDocument/2006/relationships/hyperlink" Id="rId256"/>
    <Relationship TargetMode="External" Target="https://www.legis.iowa.gov/docs/ico/chapter/459.pdf" Type="http://schemas.openxmlformats.org/officeDocument/2006/relationships/hyperlink" Id="rId257"/>
    <Relationship TargetMode="External" Target="https://www.legis.iowa.gov/docs/ico/chapter/459A.pdf" Type="http://schemas.openxmlformats.org/officeDocument/2006/relationships/hyperlink" Id="rId258"/>
    <Relationship TargetMode="External" Target="https://www.legis.iowa.gov/docs/ico/chapter/459B.pdf" Type="http://schemas.openxmlformats.org/officeDocument/2006/relationships/hyperlink" Id="rId259"/>
    <Relationship TargetMode="External" Target="https://www.legis.iowa.gov/docs/iac/rule/567.65.105.pdf" Type="http://schemas.openxmlformats.org/officeDocument/2006/relationships/hyperlink" Id="rId260"/>
    <Relationship TargetMode="External" Target="https://www.legis.iowa.gov/docs/iac/rule/567.65.105.pdf" Type="http://schemas.openxmlformats.org/officeDocument/2006/relationships/hyperlink" Id="rId261"/>
    <Relationship TargetMode="External" Target="https://www.legis.iowa.gov/docs/iac/rule/567.65.105.pdf" Type="http://schemas.openxmlformats.org/officeDocument/2006/relationships/hyperlink" Id="rId262"/>
    <Relationship TargetMode="External" Target="https://www.legis.iowa.gov/docs/iac/rule/567.65.105.pdf" Type="http://schemas.openxmlformats.org/officeDocument/2006/relationships/hyperlink" Id="rId263"/>
    <Relationship TargetMode="External" Target="https://www.legis.iowa.gov/docs/iac/rule/567.65.105.pdf" Type="http://schemas.openxmlformats.org/officeDocument/2006/relationships/hyperlink" Id="rId264"/>
    <Relationship TargetMode="External" Target="https://www.legis.iowa.gov/docs/iac/chapter/561.7.pdf" Type="http://schemas.openxmlformats.org/officeDocument/2006/relationships/hyperlink" Id="rId265"/>
    <Relationship TargetMode="External" Target="https://www.legis.iowa.gov/docs/iac/rule/567.65.105.pdf" Type="http://schemas.openxmlformats.org/officeDocument/2006/relationships/hyperlink" Id="rId266"/>
    <Relationship TargetMode="External" Target="https://www.legis.iowa.gov/docs/iac/rule/567.65.105.pdf" Type="http://schemas.openxmlformats.org/officeDocument/2006/relationships/hyperlink" Id="rId267"/>
    <Relationship TargetMode="External" Target="https://www.legis.iowa.gov/docs/iac/rule/567.65.105.pdf" Type="http://schemas.openxmlformats.org/officeDocument/2006/relationships/hyperlink" Id="rId268"/>
    <Relationship TargetMode="External" Target="https://www.legis.iowa.gov/docs/iac/rule/567.65.105.pdf" Type="http://schemas.openxmlformats.org/officeDocument/2006/relationships/hyperlink" Id="rId269"/>
    <Relationship TargetMode="External" Target="https://www.legis.iowa.gov/docs/iac/rule/567.65.105.pdf" Type="http://schemas.openxmlformats.org/officeDocument/2006/relationships/hyperlink" Id="rId270"/>
    <Relationship TargetMode="External" Target="https://www.legis.iowa.gov/docs/iac/rule/567.65.105.pdf" Type="http://schemas.openxmlformats.org/officeDocument/2006/relationships/hyperlink" Id="rId271"/>
    <Relationship TargetMode="External" Target="https://www.legis.iowa.gov/docs/ico/chapter/21.8.pdf" Type="http://schemas.openxmlformats.org/officeDocument/2006/relationships/hyperlink" Id="rId272"/>
    <Relationship TargetMode="External" Target="https://www.legis.iowa.gov/docs/iac/rule/567.65.105.pdf" Type="http://schemas.openxmlformats.org/officeDocument/2006/relationships/hyperlink" Id="rId273"/>
    <Relationship TargetMode="External" Target="https://www.legis.iowa.gov/docs/ico/chapter/17A.pdf" Type="http://schemas.openxmlformats.org/officeDocument/2006/relationships/hyperlink" Id="rId274"/>
    <Relationship TargetMode="External" Target="https://www.legis.iowa.gov/docs/iac/rule/567.65.1.pdf" Type="http://schemas.openxmlformats.org/officeDocument/2006/relationships/hyperlink" Id="rId275"/>
    <Relationship TargetMode="External" Target="https://www.legis.iowa.gov/docs/iac/rule/567.65.107.pdf" Type="http://schemas.openxmlformats.org/officeDocument/2006/relationships/hyperlink" Id="rId276"/>
    <Relationship TargetMode="External" Target="https://www.legis.iowa.gov/docs/ico/chapter/459.202.pdf" Type="http://schemas.openxmlformats.org/officeDocument/2006/relationships/hyperlink" Id="rId277"/>
    <Relationship TargetMode="External" Target="http://iowadnr.gov/afo/rules" Type="http://schemas.openxmlformats.org/officeDocument/2006/relationships/hyperlink" Id="rId278"/>
    <Relationship TargetMode="External" Target="https://www.legis.iowa.gov/docs/iac/rule/567.65.107.pdf" Type="http://schemas.openxmlformats.org/officeDocument/2006/relationships/hyperlink" Id="rId279"/>
    <Relationship TargetMode="External" Target="https://www.legis.iowa.gov/docs/ico/chapter/459.203.pdf" Type="http://schemas.openxmlformats.org/officeDocument/2006/relationships/hyperlink" Id="rId280"/>
    <Relationship TargetMode="External" Target="https://www.legis.iowa.gov/docs/ico/chapter/459.202.pdf" Type="http://schemas.openxmlformats.org/officeDocument/2006/relationships/hyperlink" Id="rId281"/>
    <Relationship TargetMode="External" Target="https://www.legis.iowa.gov/docs/ico/chapter/459.202.pdf" Type="http://schemas.openxmlformats.org/officeDocument/2006/relationships/hyperlink" Id="rId282"/>
    <Relationship TargetMode="External" Target="http://iowadnr.gov/afo/rules" Type="http://schemas.openxmlformats.org/officeDocument/2006/relationships/hyperlink" Id="rId283"/>
    <Relationship TargetMode="External" Target="https://www.legis.iowa.gov/docs/ico/chapter/459.202.pdf" Type="http://schemas.openxmlformats.org/officeDocument/2006/relationships/hyperlink" Id="rId284"/>
    <Relationship TargetMode="External" Target="https://www.legis.iowa.gov/docs/ico/chapter/459.202.pdf" Type="http://schemas.openxmlformats.org/officeDocument/2006/relationships/hyperlink" Id="rId285"/>
    <Relationship TargetMode="External" Target="http://iowadnr.gov/afo/rules" Type="http://schemas.openxmlformats.org/officeDocument/2006/relationships/hyperlink" Id="rId286"/>
    <Relationship TargetMode="External" Target="https://www.legis.iowa.gov/docs/ico/chapter/459.202.pdf" Type="http://schemas.openxmlformats.org/officeDocument/2006/relationships/hyperlink" Id="rId287"/>
    <Relationship TargetMode="External" Target="https://www.legis.iowa.gov/docs/ico/chapter/459.202.pdf" Type="http://schemas.openxmlformats.org/officeDocument/2006/relationships/hyperlink" Id="rId288"/>
    <Relationship TargetMode="External" Target="http://iowadnr.gov/afo/rules" Type="http://schemas.openxmlformats.org/officeDocument/2006/relationships/hyperlink" Id="rId289"/>
    <Relationship TargetMode="External" Target="https://www.legis.iowa.gov/docs/ico/chapter/459.310.pdf" Type="http://schemas.openxmlformats.org/officeDocument/2006/relationships/hyperlink" Id="rId290"/>
    <Relationship TargetMode="External" Target="http://iowadnr.gov/afo/rules" Type="http://schemas.openxmlformats.org/officeDocument/2006/relationships/hyperlink" Id="rId291"/>
    <Relationship TargetMode="External" Target="http://iowadnr.gov/afo/rules" Type="http://schemas.openxmlformats.org/officeDocument/2006/relationships/hyperlink" Id="rId292"/>
    <Relationship TargetMode="External" Target="https://www.legis.iowa.gov/docs/iac/rule/567.65.1.pdf" Type="http://schemas.openxmlformats.org/officeDocument/2006/relationships/hyperlink" Id="rId293"/>
    <Relationship TargetMode="External" Target="https://www.legis.iowa.gov/docs/iac/rule/567.65.6.pdf" Type="http://schemas.openxmlformats.org/officeDocument/2006/relationships/hyperlink" Id="rId294"/>
    <Relationship TargetMode="External" Target="http://iowadnr.gov/afo/rules" Type="http://schemas.openxmlformats.org/officeDocument/2006/relationships/hyperlink" Id="rId295"/>
    <Relationship TargetMode="External" Target="https://www.legis.iowa.gov/docs/iac/rule/567.65.106.pdf" Type="http://schemas.openxmlformats.org/officeDocument/2006/relationships/hyperlink" Id="rId296"/>
    <Relationship TargetMode="External" Target="https://www.legis.iowa.gov/docs/iac/rule/567.65.106.pdf" Type="http://schemas.openxmlformats.org/officeDocument/2006/relationships/hyperlink" Id="rId297"/>
    <Relationship TargetMode="External" Target="https://www.legis.iowa.gov/docs/iac/rule/567.65.100.pdf" Type="http://schemas.openxmlformats.org/officeDocument/2006/relationships/hyperlink" Id="rId298"/>
    <Relationship TargetMode="External" Target="https://www.legis.iowa.gov/docs/iac/rule/567.65.107.pdf" Type="http://schemas.openxmlformats.org/officeDocument/2006/relationships/hyperlink" Id="rId299"/>
    <Relationship TargetMode="External" Target="https://www.legis.iowa.gov/docs/ico/chapter/459.205.pdf" Type="http://schemas.openxmlformats.org/officeDocument/2006/relationships/hyperlink" Id="rId300"/>
    <Relationship TargetMode="External" Target="https://www.legis.iowa.gov/docs/ico/chapter/459.202.pdf" Type="http://schemas.openxmlformats.org/officeDocument/2006/relationships/hyperlink" Id="rId301"/>
    <Relationship TargetMode="External" Target="https://www.legis.iowa.gov/docs/ico/chapter/459.204B.pdf" Type="http://schemas.openxmlformats.org/officeDocument/2006/relationships/hyperlink" Id="rId302"/>
    <Relationship TargetMode="External" Target="https://www.legis.iowa.gov/docs/iac/rule/567.65.106.pdf" Type="http://schemas.openxmlformats.org/officeDocument/2006/relationships/hyperlink" Id="rId303"/>
    <Relationship TargetMode="External" Target="https://www.legis.iowa.gov/docs/iac/rule/567.65.106.pdf" Type="http://schemas.openxmlformats.org/officeDocument/2006/relationships/hyperlink" Id="rId304"/>
    <Relationship TargetMode="External" Target="https://www.legis.iowa.gov/docs/iac/rule/567.65.106.pdf" Type="http://schemas.openxmlformats.org/officeDocument/2006/relationships/hyperlink" Id="rId305"/>
    <Relationship TargetMode="External" Target="http://iowadnr.gov/afo/rules" Type="http://schemas.openxmlformats.org/officeDocument/2006/relationships/hyperlink" Id="rId306"/>
    <Relationship TargetMode="External" Target="https://www.legis.iowa.gov/docs/ico/chapter/459.202.pdf" Type="http://schemas.openxmlformats.org/officeDocument/2006/relationships/hyperlink" Id="rId307"/>
    <Relationship TargetMode="External" Target="https://www.legis.iowa.gov/docs/iac/rule/567.65.104.pdf" Type="http://schemas.openxmlformats.org/officeDocument/2006/relationships/hyperlink" Id="rId308"/>
    <Relationship TargetMode="External" Target="https://www.legis.iowa.gov/docs/iac/rule/567.65.104.pdf" Type="http://schemas.openxmlformats.org/officeDocument/2006/relationships/hyperlink" Id="rId309"/>
    <Relationship TargetMode="External" Target="https://www.legis.iowa.gov/docs/iac/rule/567.65.106.pdf" Type="http://schemas.openxmlformats.org/officeDocument/2006/relationships/hyperlink" Id="rId310"/>
    <Relationship TargetMode="External" Target="https://www.legis.iowa.gov/docs/iac/rule/567.65.106.pdf" Type="http://schemas.openxmlformats.org/officeDocument/2006/relationships/hyperlink" Id="rId311"/>
    <Relationship TargetMode="External" Target="http://iowadnr.gov/afo/rules" Type="http://schemas.openxmlformats.org/officeDocument/2006/relationships/hyperlink" Id="rId312"/>
    <Relationship TargetMode="External" Target="https://www.legis.iowa.gov/docs/ico/chapter/459.205.pdf" Type="http://schemas.openxmlformats.org/officeDocument/2006/relationships/hyperlink" Id="rId313"/>
    <Relationship TargetMode="External" Target="https://www.legis.iowa.gov/docs/ico/chapter/459.202.pdf" Type="http://schemas.openxmlformats.org/officeDocument/2006/relationships/hyperlink" Id="rId314"/>
    <Relationship TargetMode="External" Target="http://iowadnr.gov/afo/rules" Type="http://schemas.openxmlformats.org/officeDocument/2006/relationships/hyperlink" Id="rId315"/>
    <Relationship TargetMode="External" Target="https://www.legis.iowa.gov/docs/iac/rule/567.65.104.pdf" Type="http://schemas.openxmlformats.org/officeDocument/2006/relationships/hyperlink" Id="rId316"/>
    <Relationship TargetMode="External" Target="https://www.legis.iowa.gov/docs/iac/rule/567.65.104.pdf" Type="http://schemas.openxmlformats.org/officeDocument/2006/relationships/hyperlink" Id="rId317"/>
    <Relationship TargetMode="External" Target="https://www.legis.iowa.gov/docs/ico/chapter/459.203.pdf" Type="http://schemas.openxmlformats.org/officeDocument/2006/relationships/hyperlink" Id="rId318"/>
    <Relationship TargetMode="External" Target="https://www.legis.iowa.gov/docs/ico/chapter/459.202.pdf" Type="http://schemas.openxmlformats.org/officeDocument/2006/relationships/hyperlink" Id="rId319"/>
    <Relationship TargetMode="External" Target="https://www.legis.iowa.gov/docs/iac/rule/567.65.106.pdf" Type="http://schemas.openxmlformats.org/officeDocument/2006/relationships/hyperlink" Id="rId320"/>
    <Relationship TargetMode="External" Target="https://www.legis.iowa.gov/docs/ico/chapter/459.203.pdf" Type="http://schemas.openxmlformats.org/officeDocument/2006/relationships/hyperlink" Id="rId321"/>
    <Relationship TargetMode="External" Target="https://www.legis.iowa.gov/docs/ico/chapter/459.202.pdf" Type="http://schemas.openxmlformats.org/officeDocument/2006/relationships/hyperlink" Id="rId322"/>
    <Relationship TargetMode="External" Target="https://www.legis.iowa.gov/docs/iac/rule/567.65.106.pdf" Type="http://schemas.openxmlformats.org/officeDocument/2006/relationships/hyperlink" Id="rId323"/>
    <Relationship TargetMode="External" Target="https://www.legis.iowa.gov/docs/iac/rule/567.65.107.pdf" Type="http://schemas.openxmlformats.org/officeDocument/2006/relationships/hyperlink" Id="rId324"/>
    <Relationship TargetMode="External" Target="https://www.legis.iowa.gov/docs/ico/chapter/459.202.pdf" Type="http://schemas.openxmlformats.org/officeDocument/2006/relationships/hyperlink" Id="rId325"/>
    <Relationship TargetMode="External" Target="https://www.legis.iowa.gov/docs/ico/chapter/459.203.pdf" Type="http://schemas.openxmlformats.org/officeDocument/2006/relationships/hyperlink" Id="rId326"/>
    <Relationship TargetMode="External" Target="https://www.legis.iowa.gov/docs/ico/chapter/459.202.pdf" Type="http://schemas.openxmlformats.org/officeDocument/2006/relationships/hyperlink" Id="rId327"/>
    <Relationship TargetMode="External" Target="https://www.legis.iowa.gov/docs/ico/chapter/459.205.pdf" Type="http://schemas.openxmlformats.org/officeDocument/2006/relationships/hyperlink" Id="rId328"/>
    <Relationship TargetMode="External" Target="https://www.legis.iowa.gov/docs/ico/chapter/459.310.pdf" Type="http://schemas.openxmlformats.org/officeDocument/2006/relationships/hyperlink" Id="rId329"/>
    <Relationship TargetMode="External" Target="https://www.legis.iowa.gov/docs/ico/chapter/459.310.pdf" Type="http://schemas.openxmlformats.org/officeDocument/2006/relationships/hyperlink" Id="rId330"/>
    <Relationship TargetMode="External" Target="http://iowadnr.gov/afo/rules" Type="http://schemas.openxmlformats.org/officeDocument/2006/relationships/hyperlink" Id="rId331"/>
    <Relationship TargetMode="External" Target="https://www.legis.iowa.gov/docs/ico/chapter/462A.2.pdf" Type="http://schemas.openxmlformats.org/officeDocument/2006/relationships/hyperlink" Id="rId332"/>
    <Relationship TargetMode="External" Target="https://www.legis.iowa.gov/docs/iac/rule/567.65.108.pdf" Type="http://schemas.openxmlformats.org/officeDocument/2006/relationships/hyperlink" Id="rId333"/>
    <Relationship TargetMode="External" Target="https://www.legis.iowa.gov/docs/iac/rule/567.65.104.pdf" Type="http://schemas.openxmlformats.org/officeDocument/2006/relationships/hyperlink" Id="rId334"/>
    <Relationship TargetMode="External" Target="https://www.legis.iowa.gov/docs/ico/chapter/459.310.pdf" Type="http://schemas.openxmlformats.org/officeDocument/2006/relationships/hyperlink" Id="rId335"/>
    <Relationship TargetMode="External" Target="https://www.legis.iowa.gov/docs/iac/rule/567.65.106.pdf" Type="http://schemas.openxmlformats.org/officeDocument/2006/relationships/hyperlink" Id="rId336"/>
    <Relationship TargetMode="External" Target="https://www.legis.iowa.gov/docs/iac/rule/567.65.106.pdf" Type="http://schemas.openxmlformats.org/officeDocument/2006/relationships/hyperlink" Id="rId337"/>
    <Relationship TargetMode="External" Target="https://www.legis.iowa.gov/docs/iac/rule/567.65.9.pdf" Type="http://schemas.openxmlformats.org/officeDocument/2006/relationships/hyperlink" Id="rId338"/>
    <Relationship TargetMode="External" Target="https://www.legis.iowa.gov/docs/iac/rule/567.65.106.pdf" Type="http://schemas.openxmlformats.org/officeDocument/2006/relationships/hyperlink" Id="rId339"/>
    <Relationship TargetMode="External" Target="https://www.legis.iowa.gov/docs/iac/rule/567.65.106.pdf" Type="http://schemas.openxmlformats.org/officeDocument/2006/relationships/hyperlink" Id="rId340"/>
    <Relationship TargetMode="External" Target="https://www.legis.iowa.gov/docs/ico/chapter/459.307.pdf" Type="http://schemas.openxmlformats.org/officeDocument/2006/relationships/hyperlink" Id="rId341"/>
    <Relationship TargetMode="External" Target="https://www.legis.iowa.gov/docs/iac/rule/567.65.108.pdf" Type="http://schemas.openxmlformats.org/officeDocument/2006/relationships/hyperlink" Id="rId342"/>
    <Relationship TargetMode="External" Target="https://www.legis.iowa.gov/docs/ico/chapter/459.307.pdf" Type="http://schemas.openxmlformats.org/officeDocument/2006/relationships/hyperlink" Id="rId343"/>
    <Relationship TargetMode="External" Target="https://www.legis.iowa.gov/docs/iac/rule/567.65.108.pdf" Type="http://schemas.openxmlformats.org/officeDocument/2006/relationships/hyperlink" Id="rId344"/>
    <Relationship TargetMode="External" Target="https://www.legis.iowa.gov/docs/iac/rule/567.65.108.pdf" Type="http://schemas.openxmlformats.org/officeDocument/2006/relationships/hyperlink" Id="rId345"/>
    <Relationship TargetMode="External" Target="https://www.legis.iowa.gov/docs/iac/rule/567.65.100.pdf" Type="http://schemas.openxmlformats.org/officeDocument/2006/relationships/hyperlink" Id="rId346"/>
    <Relationship TargetMode="External" Target="https://www.legis.iowa.gov/docs/iac/rule/567.65.100.pdf" Type="http://schemas.openxmlformats.org/officeDocument/2006/relationships/hyperlink" Id="rId347"/>
    <Relationship TargetMode="External" Target="https://www.legis.iowa.gov/docs/iac/rule/567.65.108.pdf" Type="http://schemas.openxmlformats.org/officeDocument/2006/relationships/hyperlink" Id="rId348"/>
    <Relationship TargetMode="External" Target="https://www.legis.iowa.gov/docs/iac/rule/567.65.108.pdf" Type="http://schemas.openxmlformats.org/officeDocument/2006/relationships/hyperlink" Id="rId349"/>
    <Relationship TargetMode="External" Target="https://www.legis.iowa.gov/docs/iac/chapter/567.134.pdf" Type="http://schemas.openxmlformats.org/officeDocument/2006/relationships/hyperlink" Id="rId350"/>
    <Relationship TargetMode="External" Target="https://www.legis.iowa.gov/docs/iac/rule/567.65.108.pdf" Type="http://schemas.openxmlformats.org/officeDocument/2006/relationships/hyperlink" Id="rId351"/>
    <Relationship TargetMode="External" Target="https://www.legis.iowa.gov/docs/iac/rule/567.65.108.pdf" Type="http://schemas.openxmlformats.org/officeDocument/2006/relationships/hyperlink" Id="rId352"/>
    <Relationship TargetMode="External" Target="https://www.legis.iowa.gov/docs/iac/rule/567.65.108.pdf" Type="http://schemas.openxmlformats.org/officeDocument/2006/relationships/hyperlink" Id="rId353"/>
    <Relationship TargetMode="External" Target="https://www.legis.iowa.gov/docs/iac/rule/567.65.108.pdf" Type="http://schemas.openxmlformats.org/officeDocument/2006/relationships/hyperlink" Id="rId354"/>
    <Relationship TargetMode="External" Target="https://www.legis.iowa.gov/docs/iac/rule/567.65.108.pdf" Type="http://schemas.openxmlformats.org/officeDocument/2006/relationships/hyperlink" Id="rId355"/>
    <Relationship TargetMode="External" Target="https://www.legis.iowa.gov/docs/iac/rule/567.65.108.pdf" Type="http://schemas.openxmlformats.org/officeDocument/2006/relationships/hyperlink" Id="rId356"/>
    <Relationship TargetMode="External" Target="http://iowadnr.gov/afo/rules" Type="http://schemas.openxmlformats.org/officeDocument/2006/relationships/hyperlink" Id="rId357"/>
    <Relationship TargetMode="External" Target="https://www.legis.iowa.gov/docs/iac/rule/567.65.108.pdf" Type="http://schemas.openxmlformats.org/officeDocument/2006/relationships/hyperlink" Id="rId358"/>
    <Relationship TargetMode="External" Target="https://www.legis.iowa.gov/docs/iac/rule/567.65.108.pdf" Type="http://schemas.openxmlformats.org/officeDocument/2006/relationships/hyperlink" Id="rId359"/>
    <Relationship TargetMode="External" Target="http://iowadnr.gov/afo/rules" Type="http://schemas.openxmlformats.org/officeDocument/2006/relationships/hyperlink" Id="rId360"/>
    <Relationship TargetMode="External" Target="https://www.legis.iowa.gov/docs/iac/rule/567.65.108.pdf" Type="http://schemas.openxmlformats.org/officeDocument/2006/relationships/hyperlink" Id="rId361"/>
    <Relationship TargetMode="External" Target="https://www.legis.iowa.gov/docs/iac/rule/567.60.2.pdf" Type="http://schemas.openxmlformats.org/officeDocument/2006/relationships/hyperlink" Id="rId362"/>
    <Relationship TargetMode="External" Target="https://www.legis.iowa.gov/docs/iac/rule/567.65.108.pdf" Type="http://schemas.openxmlformats.org/officeDocument/2006/relationships/hyperlink" Id="rId363"/>
    <Relationship TargetMode="External" Target="http://iowadnr.gov/afo/rules" Type="http://schemas.openxmlformats.org/officeDocument/2006/relationships/hyperlink" Id="rId364"/>
    <Relationship TargetMode="External" Target="https://www.legis.iowa.gov/docs/iac/rule/567.65.108.pdf" Type="http://schemas.openxmlformats.org/officeDocument/2006/relationships/hyperlink" Id="rId365"/>
    <Relationship TargetMode="External" Target="https://www.legis.iowa.gov/docs/iac/rule/567.65.108.pdf" Type="http://schemas.openxmlformats.org/officeDocument/2006/relationships/hyperlink" Id="rId366"/>
    <Relationship TargetMode="External" Target="http://iowadnr.gov/afo/rules" Type="http://schemas.openxmlformats.org/officeDocument/2006/relationships/hyperlink" Id="rId367"/>
    <Relationship TargetMode="External" Target="http://iowadnr.gov/afo/rules" Type="http://schemas.openxmlformats.org/officeDocument/2006/relationships/hyperlink" Id="rId368"/>
    <Relationship TargetMode="External" Target="https://www.legis.iowa.gov/docs/iac/rule/567.65.107.pdf" Type="http://schemas.openxmlformats.org/officeDocument/2006/relationships/hyperlink" Id="rId369"/>
    <Relationship TargetMode="External" Target="https://www.legis.iowa.gov/docs/iac/rule/567.65.104.pdf" Type="http://schemas.openxmlformats.org/officeDocument/2006/relationships/hyperlink" Id="rId370"/>
    <Relationship TargetMode="External" Target="https://www.legis.iowa.gov/docs/iac/rule/567.65.104.pdf" Type="http://schemas.openxmlformats.org/officeDocument/2006/relationships/hyperlink" Id="rId371"/>
    <Relationship TargetMode="External" Target="https://www.legis.iowa.gov/docs/iac/rule/567.65.108.pdf" Type="http://schemas.openxmlformats.org/officeDocument/2006/relationships/hyperlink" Id="rId372"/>
    <Relationship TargetMode="External" Target="https://www.legis.iowa.gov/docs/iac/rule/567.65.104.pdf" Type="http://schemas.openxmlformats.org/officeDocument/2006/relationships/hyperlink" Id="rId373"/>
    <Relationship TargetMode="External" Target="https://www.legis.iowa.gov/docs/iac/rule/567.65.108.pdf" Type="http://schemas.openxmlformats.org/officeDocument/2006/relationships/hyperlink" Id="rId374"/>
    <Relationship TargetMode="External" Target="https://www.legis.iowa.gov/docs/iac/rule/567.65.101.pdf" Type="http://schemas.openxmlformats.org/officeDocument/2006/relationships/hyperlink" Id="rId375"/>
    <Relationship TargetMode="External" Target="https://www.legis.iowa.gov/docs/iac/rule/567.65.2.pdf" Type="http://schemas.openxmlformats.org/officeDocument/2006/relationships/hyperlink" Id="rId376"/>
    <Relationship TargetMode="External" Target="https://www.legis.iowa.gov/docs/iac/rule/567.65.108.pdf" Type="http://schemas.openxmlformats.org/officeDocument/2006/relationships/hyperlink" Id="rId377"/>
    <Relationship TargetMode="External" Target="https://www.legis.iowa.gov/docs/iac/rule/567.65.108.pdf" Type="http://schemas.openxmlformats.org/officeDocument/2006/relationships/hyperlink" Id="rId378"/>
    <Relationship TargetMode="External" Target="https://www.legis.iowa.gov/docs/ico/chapter/459.312.pdf" Type="http://schemas.openxmlformats.org/officeDocument/2006/relationships/hyperlink" Id="rId379"/>
    <Relationship TargetMode="External" Target="https://www.legis.iowa.gov/docs/ico/chapter/459.303.pdf" Type="http://schemas.openxmlformats.org/officeDocument/2006/relationships/hyperlink" Id="rId380"/>
    <Relationship TargetMode="External" Target="https://www.legis.iowa.gov/docs/iac/rule/567.65.111.pdf" Type="http://schemas.openxmlformats.org/officeDocument/2006/relationships/hyperlink" Id="rId381"/>
    <Relationship TargetMode="External" Target="https://www.legis.iowa.gov/docs/iac/rule/567.65.103.pdf" Type="http://schemas.openxmlformats.org/officeDocument/2006/relationships/hyperlink" Id="rId382"/>
    <Relationship TargetMode="External" Target="https://www.legis.iowa.gov/docs/iac/rule/567.65.110.pdf" Type="http://schemas.openxmlformats.org/officeDocument/2006/relationships/hyperlink" Id="rId383"/>
    <Relationship TargetMode="External" Target="https://www.legis.iowa.gov/docs/iac/rule/567.65.104.pdf" Type="http://schemas.openxmlformats.org/officeDocument/2006/relationships/hyperlink" Id="rId384"/>
    <Relationship TargetMode="External" Target="https://www.legis.iowa.gov/docs/iac/rule/567.65.6.pdf" Type="http://schemas.openxmlformats.org/officeDocument/2006/relationships/hyperlink" Id="rId385"/>
    <Relationship TargetMode="External" Target="https://www.legis.iowa.gov/docs/iac/rule/567.65.6.pdf" Type="http://schemas.openxmlformats.org/officeDocument/2006/relationships/hyperlink" Id="rId386"/>
    <Relationship TargetMode="External" Target="https://www.legis.iowa.gov/docs/ico/chapter/202.pdf" Type="http://schemas.openxmlformats.org/officeDocument/2006/relationships/hyperlink" Id="rId387"/>
    <Relationship TargetMode="External" Target="https://www.legis.iowa.gov/docs/iac/rule/567.65.100.pdf" Type="http://schemas.openxmlformats.org/officeDocument/2006/relationships/hyperlink" Id="rId388"/>
    <Relationship TargetMode="External" Target="https://www.legis.iowa.gov/docs/ico/chapter/459.503.pdf" Type="http://schemas.openxmlformats.org/officeDocument/2006/relationships/hyperlink" Id="rId389"/>
    <Relationship TargetMode="External" Target="https://www.legis.iowa.gov/docs/ico/chapter/459.312.pdf" Type="http://schemas.openxmlformats.org/officeDocument/2006/relationships/hyperlink" Id="rId390"/>
    <Relationship TargetMode="External" Target="https://www.legis.iowa.gov/docs/iac/rule/567.65.111.pdf" Type="http://schemas.openxmlformats.org/officeDocument/2006/relationships/hyperlink" Id="rId391"/>
    <Relationship TargetMode="External" Target="https://www.legis.iowa.gov/docs/iac/rule/567.65.111.pdf" Type="http://schemas.openxmlformats.org/officeDocument/2006/relationships/hyperlink" Id="rId392"/>
    <Relationship TargetMode="External" Target="https://www.legis.iowa.gov/docs/iac/rule/567.65.111.pdf" Type="http://schemas.openxmlformats.org/officeDocument/2006/relationships/hyperlink" Id="rId393"/>
    <Relationship TargetMode="External" Target="http://iowadnr.gov/afo/rules" Type="http://schemas.openxmlformats.org/officeDocument/2006/relationships/hyperlink" Id="rId394"/>
    <Relationship TargetMode="External" Target="https://www.legis.iowa.gov/docs/iac/rule/567.65.111.pdf" Type="http://schemas.openxmlformats.org/officeDocument/2006/relationships/hyperlink" Id="rId395"/>
    <Relationship TargetMode="External" Target="https://www.legis.iowa.gov/docs/iac/rule/567.65.111.pdf" Type="http://schemas.openxmlformats.org/officeDocument/2006/relationships/hyperlink" Id="rId396"/>
    <Relationship TargetMode="External" Target="https://www.legis.iowa.gov/docs/iac/rule/567.65.111.pdf" Type="http://schemas.openxmlformats.org/officeDocument/2006/relationships/hyperlink" Id="rId397"/>
    <Relationship TargetMode="External" Target="https://www.legis.iowa.gov/docs/iac/rule/567.65.111.pdf" Type="http://schemas.openxmlformats.org/officeDocument/2006/relationships/hyperlink" Id="rId398"/>
    <Relationship TargetMode="External" Target="https://www.legis.iowa.gov/docs/ico/chapter/459.312.pdf" Type="http://schemas.openxmlformats.org/officeDocument/2006/relationships/hyperlink" Id="rId399"/>
    <Relationship TargetMode="External" Target="https://www.legis.iowa.gov/docs/ico/chapter/22.pdf" Type="http://schemas.openxmlformats.org/officeDocument/2006/relationships/hyperlink" Id="rId400"/>
    <Relationship TargetMode="External" Target="https://www.legis.iowa.gov/docs/ico/chapter/455B.191.pdf" Type="http://schemas.openxmlformats.org/officeDocument/2006/relationships/hyperlink" Id="rId401"/>
    <Relationship TargetMode="External" Target="https://www.legis.iowa.gov/docs/iac/rule/567.65.111.pdf" Type="http://schemas.openxmlformats.org/officeDocument/2006/relationships/hyperlink" Id="rId402"/>
    <Relationship TargetMode="External" Target="https://www.legis.iowa.gov/docs/iac/rule/567.65.111.pdf" Type="http://schemas.openxmlformats.org/officeDocument/2006/relationships/hyperlink" Id="rId403"/>
    <Relationship TargetMode="External" Target="https://www.legis.iowa.gov/docs/iac/rule/567.65.111.pdf" Type="http://schemas.openxmlformats.org/officeDocument/2006/relationships/hyperlink" Id="rId404"/>
    <Relationship TargetMode="External" Target="https://www.legis.iowa.gov/docs/iac/rule/567.65.111.pdf" Type="http://schemas.openxmlformats.org/officeDocument/2006/relationships/hyperlink" Id="rId405"/>
    <Relationship TargetMode="External" Target="https://www.legis.iowa.gov/docs/iac/rule/567.65.111.pdf" Type="http://schemas.openxmlformats.org/officeDocument/2006/relationships/hyperlink" Id="rId406"/>
    <Relationship TargetMode="External" Target="https://www.legis.iowa.gov/docs/iac/rule/567.65.111.pdf" Type="http://schemas.openxmlformats.org/officeDocument/2006/relationships/hyperlink" Id="rId407"/>
    <Relationship TargetMode="External" Target="https://www.legis.iowa.gov/docs/iac/rule/567.65.111.pdf" Type="http://schemas.openxmlformats.org/officeDocument/2006/relationships/hyperlink" Id="rId408"/>
    <Relationship TargetMode="External" Target="http://iowadnr.gov/afo/rules" Type="http://schemas.openxmlformats.org/officeDocument/2006/relationships/hyperlink" Id="rId409"/>
    <Relationship TargetMode="External" Target="https://www.legis.iowa.gov/docs/iac/rule/567.65.111.pdf" Type="http://schemas.openxmlformats.org/officeDocument/2006/relationships/hyperlink" Id="rId410"/>
    <Relationship TargetMode="External" Target="https://www.legis.iowa.gov/docs/iac/rule/567.65.111.pdf" Type="http://schemas.openxmlformats.org/officeDocument/2006/relationships/hyperlink" Id="rId411"/>
    <Relationship TargetMode="External" Target="http://iowadnr.gov/afo/rules" Type="http://schemas.openxmlformats.org/officeDocument/2006/relationships/hyperlink" Id="rId412"/>
    <Relationship TargetMode="External" Target="https://www.legis.iowa.gov/docs/iac/rule/567.65.111.pdf" Type="http://schemas.openxmlformats.org/officeDocument/2006/relationships/hyperlink" Id="rId413"/>
    <Relationship TargetMode="External" Target="https://www.legis.iowa.gov/docs/iac/rule/567.65.111.pdf" Type="http://schemas.openxmlformats.org/officeDocument/2006/relationships/hyperlink" Id="rId414"/>
    <Relationship TargetMode="External" Target="https://www.legis.iowa.gov/docs/ico/chapter/200.pdf" Type="http://schemas.openxmlformats.org/officeDocument/2006/relationships/hyperlink" Id="rId415"/>
    <Relationship TargetMode="External" Target="https://www.legis.iowa.gov/docs/ico/chapter/200A.pdf" Type="http://schemas.openxmlformats.org/officeDocument/2006/relationships/hyperlink" Id="rId416"/>
    <Relationship TargetMode="External" Target="https://www.legis.iowa.gov/docs/ico/chapter/200.pdf" Type="http://schemas.openxmlformats.org/officeDocument/2006/relationships/hyperlink" Id="rId417"/>
    <Relationship TargetMode="External" Target="https://www.legis.iowa.gov/docs/ico/chapter/200A.pdf" Type="http://schemas.openxmlformats.org/officeDocument/2006/relationships/hyperlink" Id="rId418"/>
    <Relationship TargetMode="External" Target="https://www.legis.iowa.gov/docs/iac/rule/567.65.111.pdf" Type="http://schemas.openxmlformats.org/officeDocument/2006/relationships/hyperlink" Id="rId419"/>
    <Relationship TargetMode="External" Target="http://iowadnr.gov/afo/rules" Type="http://schemas.openxmlformats.org/officeDocument/2006/relationships/hyperlink" Id="rId420"/>
    <Relationship TargetMode="External" Target="https://www.legis.iowa.gov/docs/iac/rule/567.65.111.pdf" Type="http://schemas.openxmlformats.org/officeDocument/2006/relationships/hyperlink" Id="rId421"/>
    <Relationship TargetMode="External" Target="https://www.legis.iowa.gov/docs/iac/rule/567.65.111.pdf" Type="http://schemas.openxmlformats.org/officeDocument/2006/relationships/hyperlink" Id="rId422"/>
    <Relationship TargetMode="External" Target="https://www.legis.iowa.gov/docs/iac/rule/567.65.111.pdf" Type="http://schemas.openxmlformats.org/officeDocument/2006/relationships/hyperlink" Id="rId423"/>
    <Relationship TargetMode="External" Target="https://www.legis.iowa.gov/docs/iac/chapter/567.68.pdf" Type="http://schemas.openxmlformats.org/officeDocument/2006/relationships/hyperlink" Id="rId424"/>
    <Relationship TargetMode="External" Target="https://www.legis.iowa.gov/docs/iac/rule/567.65.112.pdf" Type="http://schemas.openxmlformats.org/officeDocument/2006/relationships/hyperlink" Id="rId425"/>
    <Relationship TargetMode="External" Target="https://www.legis.iowa.gov/docs/iac/rule/567.65.112.pdf" Type="http://schemas.openxmlformats.org/officeDocument/2006/relationships/hyperlink" Id="rId426"/>
    <Relationship TargetMode="External" Target="https://www.legis.iowa.gov/docs/iac/rule/567.65.112.pdf" Type="http://schemas.openxmlformats.org/officeDocument/2006/relationships/hyperlink" Id="rId427"/>
    <Relationship TargetMode="External" Target="https://www.legis.iowa.gov/docs/iac/rule/567.65.112.pdf" Type="http://schemas.openxmlformats.org/officeDocument/2006/relationships/hyperlink" Id="rId428"/>
    <Relationship TargetMode="External" Target="https://www.legis.iowa.gov/docs/iac/rule/567.65.112.pdf" Type="http://schemas.openxmlformats.org/officeDocument/2006/relationships/hyperlink" Id="rId429"/>
    <Relationship TargetMode="External" Target="https://www.legis.iowa.gov/docs/iac/rule/567.65.112.pdf" Type="http://schemas.openxmlformats.org/officeDocument/2006/relationships/hyperlink" Id="rId430"/>
    <Relationship TargetMode="External" Target="https://www.legis.iowa.gov/docs/iac/rule/567.65.100.pdf" Type="http://schemas.openxmlformats.org/officeDocument/2006/relationships/hyperlink" Id="rId431"/>
    <Relationship TargetMode="External" Target="https://www.legis.iowa.gov/docs/iac/rule/567.65.101.pdf" Type="http://schemas.openxmlformats.org/officeDocument/2006/relationships/hyperlink" Id="rId432"/>
    <Relationship TargetMode="External" Target="https://www.legis.iowa.gov/docs/iac/rule/567.65.100.pdf" Type="http://schemas.openxmlformats.org/officeDocument/2006/relationships/hyperlink" Id="rId433"/>
    <Relationship TargetMode="External" Target="https://www.legis.iowa.gov/docs/iac/rule/567.65.101.pdf" Type="http://schemas.openxmlformats.org/officeDocument/2006/relationships/hyperlink" Id="rId434"/>
    <Relationship TargetMode="External" Target="https://www.legis.iowa.gov/docs/iac/chapter/567.131.pdf" Type="http://schemas.openxmlformats.org/officeDocument/2006/relationships/hyperlink" Id="rId435"/>
    <Relationship TargetMode="External" Target="https://www.legis.iowa.gov/docs/iac/chapter/561.7.pdf" Type="http://schemas.openxmlformats.org/officeDocument/2006/relationships/hyperlink" Id="rId436"/>
    <Relationship TargetMode="External" Target="https://www.legis.iowa.gov/docs/iac/rule/567.65.111.pdf" Type="http://schemas.openxmlformats.org/officeDocument/2006/relationships/hyperlink" Id="rId437"/>
    <Relationship TargetMode="External" Target="https://www.legis.iowa.gov/docs/ico/chapter/459.312.pdf" Type="http://schemas.openxmlformats.org/officeDocument/2006/relationships/hyperlink" Id="rId438"/>
    <Relationship TargetMode="External" Target="https://www.legis.iowa.gov/docs/ico/chapter/459.501.pdf" Type="http://schemas.openxmlformats.org/officeDocument/2006/relationships/hyperlink" Id="rId439"/>
    <Relationship TargetMode="External" Target="https://www.legis.iowa.gov/docs/iac/chapter/567.101.pdf" Type="http://schemas.openxmlformats.org/officeDocument/2006/relationships/hyperlink" Id="rId440"/>
    <Relationship TargetMode="External" Target="https://www.legis.iowa.gov/docs/ico/chapter/455B.pdf" Type="http://schemas.openxmlformats.org/officeDocument/2006/relationships/hyperlink" Id="rId441"/>
    <Relationship TargetMode="External" Target="https://www.legis.iowa.gov/docs/iac/rule/567.65.113.pdf" Type="http://schemas.openxmlformats.org/officeDocument/2006/relationships/hyperlink" Id="rId442"/>
    <Relationship TargetMode="External" Target="https://www.legis.iowa.gov/docs/iac/rule/567.65.113.pdf" Type="http://schemas.openxmlformats.org/officeDocument/2006/relationships/hyperlink" Id="rId443"/>
    <Relationship TargetMode="External" Target="https://www.legis.iowa.gov/docs/iac/rule/567.65.113.pdf" Type="http://schemas.openxmlformats.org/officeDocument/2006/relationships/hyperlink" Id="rId444"/>
    <Relationship TargetMode="External" Target="https://www.legis.iowa.gov/docs/iac/rule/567.65.113.pdf" Type="http://schemas.openxmlformats.org/officeDocument/2006/relationships/hyperlink" Id="rId445"/>
    <Relationship TargetMode="External" Target="https://www.legis.iowa.gov/docs/iac/rule/567.65.113.pdf" Type="http://schemas.openxmlformats.org/officeDocument/2006/relationships/hyperlink" Id="rId446"/>
    <Relationship TargetMode="External" Target="https://www.legis.iowa.gov/docs/ico/chapter/459.505.pdf" Type="http://schemas.openxmlformats.org/officeDocument/2006/relationships/hyperlink" Id="rId447"/>
    <Relationship TargetMode="External" Target="https://www.legis.iowa.gov/docs/iac/rule/567.65.200.pdf" Type="http://schemas.openxmlformats.org/officeDocument/2006/relationships/hyperlink" Id="rId448"/>
    <Relationship TargetMode="External" Target="https://www.legis.iowa.gov/docs/iac/rule/567.65.2.pdf" Type="http://schemas.openxmlformats.org/officeDocument/2006/relationships/hyperlink" Id="rId449"/>
    <Relationship TargetMode="External" Target="https://www.legis.iowa.gov/docs/iac/rule/567.65.3.pdf" Type="http://schemas.openxmlformats.org/officeDocument/2006/relationships/hyperlink" Id="rId450"/>
    <Relationship TargetMode="External" Target="https://www.legis.iowa.gov/docs/iac/rule/567.65.201.pdf" Type="http://schemas.openxmlformats.org/officeDocument/2006/relationships/hyperlink" Id="rId451"/>
    <Relationship TargetMode="External" Target="https://www.legis.iowa.gov/docs/iac/rule/567.62.4.pdf" Type="http://schemas.openxmlformats.org/officeDocument/2006/relationships/hyperlink" Id="rId452"/>
    <Relationship TargetMode="External" Target="https://www.legis.iowa.gov/docs/iac/rule/567.62.4.pdf" Type="http://schemas.openxmlformats.org/officeDocument/2006/relationships/hyperlink" Id="rId453"/>
    <Relationship TargetMode="External" Target="http://iowadnr.gov/afo/rules" Type="http://schemas.openxmlformats.org/officeDocument/2006/relationships/hyperlink" Id="rId454"/>
    <Relationship TargetMode="External" Target="https://www.legis.iowa.gov/docs/iac/rule/567.65.207.pdf" Type="http://schemas.openxmlformats.org/officeDocument/2006/relationships/hyperlink" Id="rId455"/>
    <Relationship TargetMode="External" Target="https://www.legis.iowa.gov/docs/iac/rule/567.65.200.pdf" Type="http://schemas.openxmlformats.org/officeDocument/2006/relationships/hyperlink" Id="rId456"/>
    <Relationship TargetMode="External" Target="https://www.legis.iowa.gov/docs/iac/rule/567.65.200.pdf" Type="http://schemas.openxmlformats.org/officeDocument/2006/relationships/hyperlink" Id="rId457"/>
    <Relationship TargetMode="External" Target="https://www.legis.iowa.gov/docs/iac/rule/567.65.3.pdf" Type="http://schemas.openxmlformats.org/officeDocument/2006/relationships/hyperlink" Id="rId458"/>
    <Relationship TargetMode="External" Target="https://www.legis.iowa.gov/docs/iac/rule/567.65.201.pdf" Type="http://schemas.openxmlformats.org/officeDocument/2006/relationships/hyperlink" Id="rId459"/>
    <Relationship TargetMode="External" Target="https://www.legis.iowa.gov/docs/iac/rule/567.65.207.pdf" Type="http://schemas.openxmlformats.org/officeDocument/2006/relationships/hyperlink" Id="rId460"/>
    <Relationship TargetMode="External" Target="https://www.legis.iowa.gov/docs/iac/rule/567.65.209.pdf" Type="http://schemas.openxmlformats.org/officeDocument/2006/relationships/hyperlink" Id="rId461"/>
    <Relationship TargetMode="External" Target="https://www.legis.iowa.gov/docs/iac/rule/567.65.202.pdf" Type="http://schemas.openxmlformats.org/officeDocument/2006/relationships/hyperlink" Id="rId462"/>
    <Relationship TargetMode="External" Target="https://www.legis.iowa.gov/docs/iac/rule/567.65.200.pdf" Type="http://schemas.openxmlformats.org/officeDocument/2006/relationships/hyperlink" Id="rId463"/>
    <Relationship TargetMode="External" Target="https://www.legis.iowa.gov/docs/iac/rule/567.65.201.pdf" Type="http://schemas.openxmlformats.org/officeDocument/2006/relationships/hyperlink" Id="rId464"/>
    <Relationship TargetMode="External" Target="https://www.legis.iowa.gov/docs/iac/rule/567.65.200.pdf" Type="http://schemas.openxmlformats.org/officeDocument/2006/relationships/hyperlink" Id="rId465"/>
    <Relationship TargetMode="External" Target="https://www.legis.iowa.gov/docs/iac/rule/567.65.201.pdf" Type="http://schemas.openxmlformats.org/officeDocument/2006/relationships/hyperlink" Id="rId466"/>
    <Relationship TargetMode="External" Target="https://www.legis.iowa.gov/docs/iac/rule/567.65.209.pdf" Type="http://schemas.openxmlformats.org/officeDocument/2006/relationships/hyperlink" Id="rId467"/>
    <Relationship TargetMode="External" Target="https://www.legis.iowa.gov/docs/iac/rule/567.65.207.pdf" Type="http://schemas.openxmlformats.org/officeDocument/2006/relationships/hyperlink" Id="rId468"/>
    <Relationship TargetMode="External" Target="https://www.legis.iowa.gov/docs/iac/rule/567.65.203.pdf" Type="http://schemas.openxmlformats.org/officeDocument/2006/relationships/hyperlink" Id="rId469"/>
    <Relationship TargetMode="External" Target="https://www.legis.iowa.gov/docs/ico/chapter/459A.pdf" Type="http://schemas.openxmlformats.org/officeDocument/2006/relationships/hyperlink" Id="rId470"/>
    <Relationship TargetMode="External" Target="https://www.legis.iowa.gov/docs/iac/rule/567.62.4.pdf" Type="http://schemas.openxmlformats.org/officeDocument/2006/relationships/hyperlink" Id="rId471"/>
    <Relationship TargetMode="External" Target="https://www.legis.iowa.gov/docs/iac/rule/567.65.209.pdf" Type="http://schemas.openxmlformats.org/officeDocument/2006/relationships/hyperlink" Id="rId472"/>
    <Relationship TargetMode="External" Target="https://www.legis.iowa.gov/docs/iac/rule/567.65.202.pdf" Type="http://schemas.openxmlformats.org/officeDocument/2006/relationships/hyperlink" Id="rId473"/>
    <Relationship TargetMode="External" Target="https://www.legis.iowa.gov/docs/iac/rule/567.65.202.pdf" Type="http://schemas.openxmlformats.org/officeDocument/2006/relationships/hyperlink" Id="rId474"/>
    <Relationship TargetMode="External" Target="https://www.legis.iowa.gov/docs/iac/rule/567.65.202.pdf" Type="http://schemas.openxmlformats.org/officeDocument/2006/relationships/hyperlink" Id="rId475"/>
    <Relationship TargetMode="External" Target="https://www.legis.iowa.gov/docs/iac/rule/567.65.202.pdf" Type="http://schemas.openxmlformats.org/officeDocument/2006/relationships/hyperlink" Id="rId476"/>
    <Relationship TargetMode="External" Target="https://www.legis.iowa.gov/docs/iac/rule/567.65.202.pdf" Type="http://schemas.openxmlformats.org/officeDocument/2006/relationships/hyperlink" Id="rId477"/>
    <Relationship TargetMode="External" Target="https://www.legis.iowa.gov/docs/iac/rule/567.62.4.pdf" Type="http://schemas.openxmlformats.org/officeDocument/2006/relationships/hyperlink" Id="rId478"/>
    <Relationship TargetMode="External" Target="https://www.legis.iowa.gov/docs/ico/chapter/459A.105.pdf" Type="http://schemas.openxmlformats.org/officeDocument/2006/relationships/hyperlink" Id="rId479"/>
    <Relationship TargetMode="External" Target="https://www.legis.iowa.gov/docs/iac/rule/567.65.209.pdf" Type="http://schemas.openxmlformats.org/officeDocument/2006/relationships/hyperlink" Id="rId480"/>
    <Relationship TargetMode="External" Target="https://www.legis.iowa.gov/docs/iac/rule/567.65.6.pdf" Type="http://schemas.openxmlformats.org/officeDocument/2006/relationships/hyperlink" Id="rId481"/>
    <Relationship TargetMode="External" Target="https://www.legis.iowa.gov/docs/iac/rule/567.65.203.pdf" Type="http://schemas.openxmlformats.org/officeDocument/2006/relationships/hyperlink" Id="rId482"/>
    <Relationship TargetMode="External" Target="https://www.legis.iowa.gov/docs/iac/rule/567.65.203.pdf" Type="http://schemas.openxmlformats.org/officeDocument/2006/relationships/hyperlink" Id="rId483"/>
    <Relationship TargetMode="External" Target="https://www.legis.iowa.gov/docs/iac/rule/567.65.206.pdf" Type="http://schemas.openxmlformats.org/officeDocument/2006/relationships/hyperlink" Id="rId484"/>
    <Relationship TargetMode="External" Target="https://www.legis.iowa.gov/docs/iac/rule/567.65.207.pdf" Type="http://schemas.openxmlformats.org/officeDocument/2006/relationships/hyperlink" Id="rId485"/>
    <Relationship TargetMode="External" Target="https://www.legis.iowa.gov/docs/ico/chapter/455B.171.pdf" Type="http://schemas.openxmlformats.org/officeDocument/2006/relationships/hyperlink" Id="rId486"/>
    <Relationship TargetMode="External" Target="https://www.legis.iowa.gov/docs/iac/rule/567.65.205.pdf" Type="http://schemas.openxmlformats.org/officeDocument/2006/relationships/hyperlink" Id="rId487"/>
    <Relationship TargetMode="External" Target="https://www.legis.iowa.gov/docs/ico/chapter/459A.205.pdf" Type="http://schemas.openxmlformats.org/officeDocument/2006/relationships/hyperlink" Id="rId488"/>
    <Relationship TargetMode="External" Target="https://www.legis.iowa.gov/docs/iac/rule/567.65.203.pdf" Type="http://schemas.openxmlformats.org/officeDocument/2006/relationships/hyperlink" Id="rId489"/>
    <Relationship TargetMode="External" Target="https://www.legis.iowa.gov/docs/iac/rule/567.65.204.pdf" Type="http://schemas.openxmlformats.org/officeDocument/2006/relationships/hyperlink" Id="rId490"/>
    <Relationship TargetMode="External" Target="https://www.legis.iowa.gov/docs/iac/rule/567.65.206.pdf" Type="http://schemas.openxmlformats.org/officeDocument/2006/relationships/hyperlink" Id="rId491"/>
    <Relationship TargetMode="External" Target="https://www.legis.iowa.gov/docs/iac/rule/567.65.206.pdf" Type="http://schemas.openxmlformats.org/officeDocument/2006/relationships/hyperlink" Id="rId492"/>
    <Relationship TargetMode="External" Target="https://www.legis.iowa.gov/docs/iac/chapter/567.134.pdf" Type="http://schemas.openxmlformats.org/officeDocument/2006/relationships/hyperlink" Id="rId493"/>
    <Relationship TargetMode="External" Target="https://www.legis.iowa.gov/docs/iac/rule/567.65.108.pdf" Type="http://schemas.openxmlformats.org/officeDocument/2006/relationships/hyperlink" Id="rId494"/>
    <Relationship TargetMode="External" Target="https://www.legis.iowa.gov/docs/iac/rule/567.65.206.pdf" Type="http://schemas.openxmlformats.org/officeDocument/2006/relationships/hyperlink" Id="rId495"/>
    <Relationship TargetMode="External" Target="https://www.legis.iowa.gov/docs/iac/rule/567.65.206.pdf" Type="http://schemas.openxmlformats.org/officeDocument/2006/relationships/hyperlink" Id="rId496"/>
    <Relationship TargetMode="External" Target="https://www.legis.iowa.gov/docs/iac/rule/567.65.206.pdf" Type="http://schemas.openxmlformats.org/officeDocument/2006/relationships/hyperlink" Id="rId497"/>
    <Relationship TargetMode="External" Target="https://www.legis.iowa.gov/docs/iac/rule/567.71.3.pdf" Type="http://schemas.openxmlformats.org/officeDocument/2006/relationships/hyperlink" Id="rId498"/>
    <Relationship TargetMode="External" Target="https://www.legis.iowa.gov/docs/iac/chapter/567.73.pdf" Type="http://schemas.openxmlformats.org/officeDocument/2006/relationships/hyperlink" Id="rId499"/>
    <Relationship TargetMode="External" Target="https://www.legis.iowa.gov/docs/iac/rule/567.65.200.pdf" Type="http://schemas.openxmlformats.org/officeDocument/2006/relationships/hyperlink" Id="rId500"/>
    <Relationship TargetMode="External" Target="https://www.legis.iowa.gov/docs/iac/rule/567.65.207.pdf" Type="http://schemas.openxmlformats.org/officeDocument/2006/relationships/hyperlink" Id="rId501"/>
    <Relationship TargetMode="External" Target="https://www.legis.iowa.gov/docs/iac/rule/567.65.206.pdf" Type="http://schemas.openxmlformats.org/officeDocument/2006/relationships/hyperlink" Id="rId502"/>
    <Relationship TargetMode="External" Target="https://www.legis.iowa.gov/docs/iac/rule/567.65.200.pdf" Type="http://schemas.openxmlformats.org/officeDocument/2006/relationships/hyperlink" Id="rId503"/>
    <Relationship TargetMode="External" Target="https://www.legis.iowa.gov/docs/iac/rule/567.65.208.pdf" Type="http://schemas.openxmlformats.org/officeDocument/2006/relationships/hyperlink" Id="rId504"/>
    <Relationship TargetMode="External" Target="https://www.legis.iowa.gov/docs/iac/rule/567.65.203.pdf" Type="http://schemas.openxmlformats.org/officeDocument/2006/relationships/hyperlink" Id="rId505"/>
    <Relationship TargetMode="External" Target="https://www.legis.iowa.gov/docs/iac/rule/567.65.204.pdf" Type="http://schemas.openxmlformats.org/officeDocument/2006/relationships/hyperlink" Id="rId506"/>
    <Relationship TargetMode="External" Target="https://www.legis.iowa.gov/docs/iac/chapter/567.134.pdf" Type="http://schemas.openxmlformats.org/officeDocument/2006/relationships/hyperlink" Id="rId507"/>
    <Relationship TargetMode="External" Target="https://www.legis.iowa.gov/docs/iac/rule/567.65.109.pdf" Type="http://schemas.openxmlformats.org/officeDocument/2006/relationships/hyperlink" Id="rId508"/>
    <Relationship TargetMode="External" Target="https://www.legis.iowa.gov/docs/iac/rule/567.65.207.pdf" Type="http://schemas.openxmlformats.org/officeDocument/2006/relationships/hyperlink" Id="rId509"/>
    <Relationship TargetMode="External" Target="https://www.legis.iowa.gov/docs/iac/rule/567.65.207.pdf" Type="http://schemas.openxmlformats.org/officeDocument/2006/relationships/hyperlink" Id="rId510"/>
    <Relationship TargetMode="External" Target="https://www.legis.iowa.gov/docs/iac/rule/567.65.202.pdf" Type="http://schemas.openxmlformats.org/officeDocument/2006/relationships/hyperlink" Id="rId511"/>
    <Relationship TargetMode="External" Target="https://www.legis.iowa.gov/docs/iac/rule/567.61.3.pdf" Type="http://schemas.openxmlformats.org/officeDocument/2006/relationships/hyperlink" Id="rId512"/>
    <Relationship TargetMode="External" Target="https://www.legis.iowa.gov/docs/iac/rule/567.65.203.pdf" Type="http://schemas.openxmlformats.org/officeDocument/2006/relationships/hyperlink" Id="rId513"/>
    <Relationship TargetMode="External" Target="https://www.legis.iowa.gov/docs/iac/rule/567.65.204.pdf" Type="http://schemas.openxmlformats.org/officeDocument/2006/relationships/hyperlink" Id="rId514"/>
    <Relationship TargetMode="External" Target="https://www.legis.iowa.gov/docs/iac/rule/567.65.206.pdf" Type="http://schemas.openxmlformats.org/officeDocument/2006/relationships/hyperlink" Id="rId515"/>
    <Relationship TargetMode="External" Target="https://www.legis.iowa.gov/docs/iac/rule/567.65.207.pdf" Type="http://schemas.openxmlformats.org/officeDocument/2006/relationships/hyperlink" Id="rId516"/>
    <Relationship TargetMode="External" Target="https://www.legis.iowa.gov/docs/iac/rule/567.65.110.pdf" Type="http://schemas.openxmlformats.org/officeDocument/2006/relationships/hyperlink" Id="rId517"/>
    <Relationship TargetMode="External" Target="https://www.legis.iowa.gov/docs/iac/rule/567.65.111.pdf" Type="http://schemas.openxmlformats.org/officeDocument/2006/relationships/hyperlink" Id="rId518"/>
    <Relationship TargetMode="External" Target="https://www.legis.iowa.gov/docs/iac/rule/567.65.209.pdf" Type="http://schemas.openxmlformats.org/officeDocument/2006/relationships/hyperlink" Id="rId519"/>
    <Relationship TargetMode="External" Target="https://www.legis.iowa.gov/docs/iac/rule/567.65.203.pdf" Type="http://schemas.openxmlformats.org/officeDocument/2006/relationships/hyperlink" Id="rId520"/>
    <Relationship TargetMode="External" Target="https://www.legis.iowa.gov/docs/iac/rule/567.65.209.pdf" Type="http://schemas.openxmlformats.org/officeDocument/2006/relationships/hyperlink" Id="rId521"/>
    <Relationship TargetMode="External" Target="https://www.legis.iowa.gov/docs/iac/rule/567.65.203.pdf" Type="http://schemas.openxmlformats.org/officeDocument/2006/relationships/hyperlink" Id="rId522"/>
    <Relationship TargetMode="External" Target="https://www.legis.iowa.gov/docs/ico/chapter/22.2.pdf" Type="http://schemas.openxmlformats.org/officeDocument/2006/relationships/hyperlink" Id="rId523"/>
    <Relationship TargetMode="External" Target="https://www.legis.iowa.gov/docs/iac/rule/567.65.209.pdf" Type="http://schemas.openxmlformats.org/officeDocument/2006/relationships/hyperlink" Id="rId524"/>
    <Relationship TargetMode="External" Target="https://www.legis.iowa.gov/docs/iac/rule/567.65.111.pdf" Type="http://schemas.openxmlformats.org/officeDocument/2006/relationships/hyperlink" Id="rId525"/>
    <Relationship TargetMode="External" Target="https://www.legis.iowa.gov/docs/iac/rule/567.65.111.pdf" Type="http://schemas.openxmlformats.org/officeDocument/2006/relationships/hyperlink" Id="rId526"/>
    <Relationship TargetMode="External" Target="https://www.legis.iowa.gov/docs/iac/rule/567.65.111.pdf" Type="http://schemas.openxmlformats.org/officeDocument/2006/relationships/hyperlink" Id="rId527"/>
    <Relationship TargetMode="External" Target="https://www.legis.iowa.gov/docs/iac/rule/567.65.111.pdf" Type="http://schemas.openxmlformats.org/officeDocument/2006/relationships/hyperlink" Id="rId528"/>
    <Relationship TargetMode="External" Target="https://www.legis.iowa.gov/docs/iac/rule/567.65.111.pdf" Type="http://schemas.openxmlformats.org/officeDocument/2006/relationships/hyperlink" Id="rId529"/>
    <Relationship TargetMode="External" Target="https://www.legis.iowa.gov/docs/ico/chapter/200.pdf" Type="http://schemas.openxmlformats.org/officeDocument/2006/relationships/hyperlink" Id="rId530"/>
    <Relationship TargetMode="External" Target="https://www.legis.iowa.gov/docs/ico/chapter/200A.pdf" Type="http://schemas.openxmlformats.org/officeDocument/2006/relationships/hyperlink" Id="rId531"/>
    <Relationship TargetMode="External" Target="https://www.legis.iowa.gov/docs/ico/chapter/200.pdf" Type="http://schemas.openxmlformats.org/officeDocument/2006/relationships/hyperlink" Id="rId532"/>
    <Relationship TargetMode="External" Target="https://www.legis.iowa.gov/docs/ico/chapter/200A.pdf" Type="http://schemas.openxmlformats.org/officeDocument/2006/relationships/hyperlink" Id="rId533"/>
    <Relationship TargetMode="External" Target="https://www.legis.iowa.gov/docs/ico/chapter/200.pdf" Type="http://schemas.openxmlformats.org/officeDocument/2006/relationships/hyperlink" Id="rId534"/>
    <Relationship TargetMode="External" Target="https://www.legis.iowa.gov/docs/ico/chapter/200A.pdf" Type="http://schemas.openxmlformats.org/officeDocument/2006/relationships/hyperlink" Id="rId535"/>
    <Relationship TargetMode="External" Target="https://www.legis.iowa.gov/docs/iac/rule/567.65.111.pdf" Type="http://schemas.openxmlformats.org/officeDocument/2006/relationships/hyperlink" Id="rId536"/>
    <Relationship TargetMode="External" Target="https://www.legis.iowa.gov/docs/iac/rule/567.65.207.pdf" Type="http://schemas.openxmlformats.org/officeDocument/2006/relationships/hyperlink" Id="rId537"/>
    <Relationship TargetMode="External" Target="https://www.legis.iowa.gov/docs/iac/rule/567.65.111.pdf" Type="http://schemas.openxmlformats.org/officeDocument/2006/relationships/hyperlink" Id="rId538"/>
    <Relationship TargetMode="External" Target="https://www.legis.iowa.gov/docs/iac/rule/567.65.209.pdf" Type="http://schemas.openxmlformats.org/officeDocument/2006/relationships/hyperlink" Id="rId539"/>
    <Relationship TargetMode="External" Target="https://www.legis.iowa.gov/docs/iac/rule/567.65.300.pdf" Type="http://schemas.openxmlformats.org/officeDocument/2006/relationships/hyperlink" Id="rId540"/>
    <Relationship TargetMode="External" Target="https://www.legis.iowa.gov/docs/iac/rule/567.65.2.pdf" Type="http://schemas.openxmlformats.org/officeDocument/2006/relationships/hyperlink" Id="rId541"/>
    <Relationship TargetMode="External" Target="https://www.legis.iowa.gov/docs/iac/rule/567.65.300.pdf" Type="http://schemas.openxmlformats.org/officeDocument/2006/relationships/hyperlink" Id="rId542"/>
    <Relationship TargetMode="External" Target="https://www.legis.iowa.gov/docs/iac/rule/567.65.306.pdf" Type="http://schemas.openxmlformats.org/officeDocument/2006/relationships/hyperlink" Id="rId543"/>
    <Relationship TargetMode="External" Target="https://www.legis.iowa.gov/docs/iac/rule/567.65.6.pdf" Type="http://schemas.openxmlformats.org/officeDocument/2006/relationships/hyperlink" Id="rId544"/>
    <Relationship TargetMode="External" Target="https://www.legis.iowa.gov/docs/iac/rule/567.65.301.pdf" Type="http://schemas.openxmlformats.org/officeDocument/2006/relationships/hyperlink" Id="rId545"/>
    <Relationship TargetMode="External" Target="http://iowadnr.gov/afo/rules" Type="http://schemas.openxmlformats.org/officeDocument/2006/relationships/hyperlink" Id="rId546"/>
    <Relationship TargetMode="External" Target="https://www.legis.iowa.gov/docs/iac/rule/567.65.302.pdf" Type="http://schemas.openxmlformats.org/officeDocument/2006/relationships/hyperlink" Id="rId547"/>
    <Relationship TargetMode="External" Target="https://www.legis.iowa.gov/docs/iac/rule/567.65.302.pdf" Type="http://schemas.openxmlformats.org/officeDocument/2006/relationships/hyperlink" Id="rId548"/>
    <Relationship TargetMode="External" Target="https://www.legis.iowa.gov/docs/iac/rule/567.65.302.pdf" Type="http://schemas.openxmlformats.org/officeDocument/2006/relationships/hyperlink" Id="rId549"/>
    <Relationship TargetMode="External" Target="https://www.legis.iowa.gov/docs/ico/chapter/459.310.pdf" Type="http://schemas.openxmlformats.org/officeDocument/2006/relationships/hyperlink" Id="rId550"/>
    <Relationship TargetMode="External" Target="https://www.legis.iowa.gov/docs/ico/chapter/459.310.pdf" Type="http://schemas.openxmlformats.org/officeDocument/2006/relationships/hyperlink" Id="rId551"/>
    <Relationship TargetMode="External" Target="http://iowadnr.gov/afo/rules" Type="http://schemas.openxmlformats.org/officeDocument/2006/relationships/hyperlink" Id="rId552"/>
    <Relationship TargetMode="External" Target="https://www.legis.iowa.gov/docs/ico/chapter/462A.2.pdf" Type="http://schemas.openxmlformats.org/officeDocument/2006/relationships/hyperlink" Id="rId553"/>
    <Relationship TargetMode="External" Target="https://www.legis.iowa.gov/docs/iac/rule/567.65.108.pdf" Type="http://schemas.openxmlformats.org/officeDocument/2006/relationships/hyperlink" Id="rId554"/>
    <Relationship TargetMode="External" Target="https://www.legis.iowa.gov/docs/iac/rule/567.65.104.pdf" Type="http://schemas.openxmlformats.org/officeDocument/2006/relationships/hyperlink" Id="rId555"/>
    <Relationship TargetMode="External" Target="https://www.legis.iowa.gov/docs/iac/rule/567.65.302.pdf" Type="http://schemas.openxmlformats.org/officeDocument/2006/relationships/hyperlink" Id="rId556"/>
    <Relationship TargetMode="External" Target="https://www.legis.iowa.gov/docs/iac/rule/567.65.301.pdf" Type="http://schemas.openxmlformats.org/officeDocument/2006/relationships/hyperlink" Id="rId557"/>
    <Relationship TargetMode="External" Target="https://www.legis.iowa.gov/docs/iac/rule/567.65.304.pdf" Type="http://schemas.openxmlformats.org/officeDocument/2006/relationships/hyperlink" Id="rId558"/>
    <Relationship TargetMode="External" Target="https://www.legis.iowa.gov/docs/ico/chapter/455B.171.pdf" Type="http://schemas.openxmlformats.org/officeDocument/2006/relationships/hyperlink" Id="rId559"/>
    <Relationship TargetMode="External" Target="https://www.legis.iowa.gov/docs/iac/rule/567.65.302.pdf" Type="http://schemas.openxmlformats.org/officeDocument/2006/relationships/hyperlink" Id="rId560"/>
    <Relationship TargetMode="External" Target="https://www.legis.iowa.gov/docs/iac/rule/567.65.302.pdf" Type="http://schemas.openxmlformats.org/officeDocument/2006/relationships/hyperlink" Id="rId561"/>
    <Relationship TargetMode="External" Target="https://www.legis.iowa.gov/docs/ico/chapter/459A.205.pdf" Type="http://schemas.openxmlformats.org/officeDocument/2006/relationships/hyperlink" Id="rId562"/>
    <Relationship TargetMode="External" Target="https://www.legis.iowa.gov/docs/iac/rule/567.65.301.pdf" Type="http://schemas.openxmlformats.org/officeDocument/2006/relationships/hyperlink" Id="rId563"/>
    <Relationship TargetMode="External" Target="https://www.legis.iowa.gov/docs/iac/rule/567.65.303.pdf" Type="http://schemas.openxmlformats.org/officeDocument/2006/relationships/hyperlink" Id="rId564"/>
    <Relationship TargetMode="External" Target="https://www.legis.iowa.gov/docs/iac/rule/567.65.304.pdf" Type="http://schemas.openxmlformats.org/officeDocument/2006/relationships/hyperlink" Id="rId565"/>
    <Relationship TargetMode="External" Target="https://www.legis.iowa.gov/docs/iac/rule/567.65.304.pdf" Type="http://schemas.openxmlformats.org/officeDocument/2006/relationships/hyperlink" Id="rId566"/>
    <Relationship TargetMode="External" Target="https://www.legis.iowa.gov/docs/iac/chapter/567.134.pdf" Type="http://schemas.openxmlformats.org/officeDocument/2006/relationships/hyperlink" Id="rId567"/>
    <Relationship TargetMode="External" Target="https://www.legis.iowa.gov/docs/iac/rule/567.65.304.pdf" Type="http://schemas.openxmlformats.org/officeDocument/2006/relationships/hyperlink" Id="rId568"/>
    <Relationship TargetMode="External" Target="https://www.legis.iowa.gov/docs/iac/rule/567.65.304.pdf" Type="http://schemas.openxmlformats.org/officeDocument/2006/relationships/hyperlink" Id="rId569"/>
    <Relationship TargetMode="External" Target="https://www.legis.iowa.gov/docs/iac/rule/567.65.304.pdf" Type="http://schemas.openxmlformats.org/officeDocument/2006/relationships/hyperlink" Id="rId570"/>
    <Relationship TargetMode="External" Target="https://www.legis.iowa.gov/docs/iac/rule/567.65.304.pdf" Type="http://schemas.openxmlformats.org/officeDocument/2006/relationships/hyperlink" Id="rId571"/>
    <Relationship TargetMode="External" Target="https://www.legis.iowa.gov/docs/iac/rule/567.65.104.pdf" Type="http://schemas.openxmlformats.org/officeDocument/2006/relationships/hyperlink" Id="rId572"/>
    <Relationship TargetMode="External" Target="https://www.legis.iowa.gov/docs/iac/rule/567.65.301.pdf" Type="http://schemas.openxmlformats.org/officeDocument/2006/relationships/hyperlink" Id="rId573"/>
    <Relationship TargetMode="External" Target="https://www.legis.iowa.gov/docs/iac/rule/567.65.303.pdf" Type="http://schemas.openxmlformats.org/officeDocument/2006/relationships/hyperlink" Id="rId574"/>
    <Relationship TargetMode="External" Target="https://www.legis.iowa.gov/docs/iac/rule/567.65.304.pdf" Type="http://schemas.openxmlformats.org/officeDocument/2006/relationships/hyperlink" Id="rId575"/>
    <Relationship TargetMode="External" Target="https://www.legis.iowa.gov/docs/iac/rule/567.65.301.pdf" Type="http://schemas.openxmlformats.org/officeDocument/2006/relationships/hyperlink" Id="rId576"/>
    <Relationship TargetMode="External" Target="https://www.legis.iowa.gov/docs/iac/rule/567.65.301.pdf" Type="http://schemas.openxmlformats.org/officeDocument/2006/relationships/hyperlink" Id="rId577"/>
    <Relationship TargetMode="External" Target="https://www.legis.iowa.gov/docs/iac/rule/567.65.111.pdf" Type="http://schemas.openxmlformats.org/officeDocument/2006/relationships/hyperlink" Id="rId578"/>
    <Relationship TargetMode="External" Target="https://www.legis.iowa.gov/docs/iac/rule/567.67.111.pdf" Type="http://schemas.openxmlformats.org/officeDocument/2006/relationships/hyperlink" Id="rId579"/>
    <Relationship TargetMode="External" Target="https://www.legis.iowa.gov/docs/iac/rule/567.65.111.pdf" Type="http://schemas.openxmlformats.org/officeDocument/2006/relationships/hyperlink" Id="rId580"/>
    <Relationship TargetMode="External" Target="https://www.legis.iowa.gov/docs/iac/rule/567.65.306.pdf" Type="http://schemas.openxmlformats.org/officeDocument/2006/relationships/hyperlink" Id="rId581"/>
    <Relationship TargetMode="External" Target="https://www.legis.iowa.gov/docs/ico/chapter/455B.103.pdf" Type="http://schemas.openxmlformats.org/officeDocument/2006/relationships/hyperlink" Id="rId582"/>
    <Relationship TargetMode="External" Target="https://www.legis.iowa.gov/docs/ico/chapter/455B.134.pdf" Type="http://schemas.openxmlformats.org/officeDocument/2006/relationships/hyperlink" Id="rId583"/>
    <Relationship TargetMode="External" Target="https://www.legis.iowa.gov/docs/ico/chapter/455B.171.pdf" Type="http://schemas.openxmlformats.org/officeDocument/2006/relationships/hyperlink" Id="rId584"/>
    <Relationship TargetMode="External" Target="https://www.legis.iowa.gov/docs/ico/chapter/459.pdf" Type="http://schemas.openxmlformats.org/officeDocument/2006/relationships/hyperlink" Id="rId585"/>
    <Relationship TargetMode="External" Target="https://www.legis.iowa.gov/docs/ico/chapter/459A.pdf" Type="http://schemas.openxmlformats.org/officeDocument/2006/relationships/hyperlink" Id="rId586"/>
    <Relationship TargetMode="External" Target="https://www.legis.iowa.gov/docs/ico/chapter/459B.pdf" Type="http://schemas.openxmlformats.org/officeDocument/2006/relationships/hyperlink" Id="rId587"/>
    <Relationship TargetMode="External" Target="https://www.legis.iowa.gov/docs/iac/chapter/567.65.pdf" Type="http://schemas.openxmlformats.org/officeDocument/2006/relationships/hyperlink" Id="rId588"/>
    <Relationship TargetMode="External" Target="https://www.legis.iowa.gov/docs/ico/chapter/17A.4.pdf" Type="http://schemas.openxmlformats.org/officeDocument/2006/relationships/hyperlink" Id="rId5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