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MONITORING, ANALYTICAL AND REPORTING REQUIREMENTS</w:t>
      </w:r>
    </w:p>
    <w:p>
      <w:pPr>
        <w:spacing w:before="0" w:after="0"/>
        <w:ind w:left="120"/>
        <w:jc w:val="center"/>
      </w:pPr>
      <w:r>
        <w:rPr>
          <w:rFonts w:ascii="Times New Roman" w:hAnsi="Times New Roman"/>
          <w:b w:val="false"/>
          <w:i w:val="false"/>
          <w:color w:val="000000"/>
          <w:sz w:val="14"/>
        </w:rPr>
        <w:t>[Prior to 7/1/83, DEQ Ch 18]</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567—63.1</w:t>
      </w:r>
      <w:r>
        <w:rPr>
          <w:rFonts w:ascii="Times New Roman" w:hAnsi="Times New Roman"/>
          <w:b/>
          <w:i w:val="false"/>
          <w:color w:val="000000"/>
          <w:sz w:val="22"/>
        </w:rPr>
        <w:t xml:space="preserve">(455B) </w:t>
      </w:r>
      <w:r>
        <w:rPr>
          <w:rFonts w:ascii="Times New Roman" w:hAnsi="Times New Roman"/>
          <w:b/>
          <w:i w:val="false"/>
          <w:color w:val="000000"/>
          <w:sz w:val="22"/>
        </w:rPr>
        <w:t xml:space="preserve">Guidelines establishing test procedures for the analysis of pollutants. </w:t>
      </w:r>
      <w:r>
        <w:rPr>
          <w:rFonts w:ascii="Times New Roman" w:hAnsi="Times New Roman"/>
          <w:b w:val="false"/>
          <w:i w:val="false"/>
          <w:color w:val="000000"/>
          <w:sz w:val="22"/>
        </w:rPr>
        <w:t>Only the procedures prescribed in this chapter shall be used to perform the measurements indicated in an application for an operation permit submitted to the department, a report required to be submitted by the terms of an operation permit, and a certification issued by the department pursuant to Section 401 of the CWA.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test methods, application for alternative test methods, and method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Laboratories shall use methods promulgated or approved by the EPA or by the department in accordance with </w:t>
      </w:r>
      <w:hyperlink r:id="rId5">
        <w:r>
          <w:rPr>
            <w:rStyle w:val="Hyperlink"/>
            <w:rFonts w:ascii="Times New Roman" w:hAnsi="Times New Roman"/>
            <w:b w:val="false"/>
            <w:i w:val="false"/>
            <w:color w:val="000000"/>
            <w:sz w:val="22"/>
          </w:rPr>
          <w:t>567—subrule 83.5(1)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parameters for which testing is required by a wastewater discharge permit, permit application, or administrative order, except operational performance testing, must be analyzed using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approved method specified in 40 CFR §136.3;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alternative method that has been previously approved pursuant to 40 CFR §136.4 or 136.5;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method identified by the department when no approved method is specified for the parameter in 40 CFR Part 136.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alternative test procedures shall follow the requirements of 40 CFR §136.4 or 136.5.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 modifications shall follow the requirements of 40 CFR §136.6.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color w:val="000000"/>
          <w:sz w:val="22"/>
        </w:rPr>
        <w:t xml:space="preserve">Containers, preservation techniques and holding times. </w:t>
      </w:r>
      <w:r>
        <w:rPr>
          <w:rFonts w:ascii="Times New Roman" w:hAnsi="Times New Roman"/>
          <w:b w:val="false"/>
          <w:i w:val="false"/>
          <w:color w:val="000000"/>
          <w:sz w:val="22"/>
        </w:rPr>
        <w:t>All samples collected in accordance with the self-monitoring requirements defined in an operation permit shall comply with the container, preservation techniques, and holding time requirements as specified in 40 CFR §136.3, Table II (Required Containers, Preservation Techniques, and Holding Times). Sample preservation should be performed immediately upon collection, if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laboratories conducting analyses required by this chapter must be certified in accordance with </w:t>
      </w:r>
      <w:hyperlink r:id="rId6">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Routine on-site monitoring for pH, temperature, dissolved oxygen, total residual chlorine (TRC), other pollutants that must be analyzed immediately upon sample collection, settleable solids, physical measurements such as flow and cell depth, and operational monitoring tests specified in </w:t>
      </w:r>
      <w:hyperlink r:id="rId7">
        <w:r>
          <w:rPr>
            <w:rStyle w:val="Hyperlink"/>
            <w:rFonts w:ascii="Times New Roman" w:hAnsi="Times New Roman"/>
            <w:b w:val="false"/>
            <w:i w:val="false"/>
            <w:color w:val="000000"/>
            <w:sz w:val="22"/>
          </w:rPr>
          <w:t>63.3(4)</w:t>
        </w:r>
      </w:hyperlink>
      <w:r>
        <w:rPr>
          <w:rFonts w:ascii="Times New Roman" w:hAnsi="Times New Roman"/>
          <w:b w:val="false"/>
          <w:i w:val="false"/>
          <w:color w:val="000000"/>
          <w:sz w:val="22"/>
        </w:rPr>
        <w:t xml:space="preserve"> are excluded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w:t>
      </w:r>
      <w:r>
        <w:rPr>
          <w:rFonts w:ascii="Times New Roman" w:hAnsi="Times New Roman"/>
          <w:b w:val="false"/>
          <w:i w:val="false"/>
          <w:color w:val="000000"/>
          <w:sz w:val="22"/>
        </w:rPr>
        <w:t> </w:t>
      </w:r>
      <w:r>
        <w:rPr>
          <w:rFonts w:ascii="Times New Roman" w:hAnsi="Times New Roman"/>
          <w:b w:val="false"/>
          <w:i w:val="false"/>
          <w:color w:val="000000"/>
          <w:sz w:val="22"/>
        </w:rPr>
        <w:t>All instrumentation used for conducting any analyses required by this chapter must be properly calibrated according to the manufacturer’s instructions.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567—63.2</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activities and records. </w:t>
      </w:r>
      <w:r>
        <w:rPr>
          <w:rFonts w:ascii="Times New Roman" w:hAnsi="Times New Roman"/>
          <w:b w:val="false"/>
          <w:i w:val="false"/>
          <w:color w:val="000000"/>
          <w:sz w:val="22"/>
        </w:rPr>
        <w:t>Permittees shall maintain records of all information resulting from any monitoring activities required in an operation permit and from any operational performance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w:t>
      </w:r>
      <w:r>
        <w:rPr>
          <w:rFonts w:ascii="Times New Roman" w:hAnsi="Times New Roman"/>
          <w:b w:val="false"/>
          <w:i w:val="false"/>
          <w:color w:val="000000"/>
          <w:sz w:val="22"/>
        </w:rPr>
        <w:t> </w:t>
      </w:r>
      <w:r>
        <w:rPr>
          <w:rFonts w:ascii="Times New Roman" w:hAnsi="Times New Roman"/>
          <w:b w:val="false"/>
          <w:i w:val="false"/>
          <w:color w:val="000000"/>
          <w:sz w:val="22"/>
        </w:rPr>
        <w:t xml:space="preserve">Samples and measurements taken for the purpose of monitoring shall be representative of the monitored activity, in accordance with </w:t>
      </w:r>
      <w:r>
        <w:rPr>
          <w:rFonts w:ascii="Times New Roman" w:hAnsi="Times New Roman"/>
          <w:b w:val="false"/>
          <w:i w:val="false"/>
          <w:color w:val="000000"/>
          <w:sz w:val="22"/>
        </w:rPr>
        <w:t>40 CFR §122.41(j)</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Permittees shall retain, for a minimum of three years, all paper and electronic records of monitoring activities and results in accordance with </w:t>
      </w:r>
      <w:r>
        <w:rPr>
          <w:rFonts w:ascii="Times New Roman" w:hAnsi="Times New Roman"/>
          <w:b w:val="false"/>
          <w:i w:val="false"/>
          <w:color w:val="000000"/>
          <w:sz w:val="22"/>
        </w:rPr>
        <w:t>40 CFR §122.41(j)</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monitoring activities and results shall include the information specified in </w:t>
      </w:r>
      <w:r>
        <w:rPr>
          <w:rFonts w:ascii="Times New Roman" w:hAnsi="Times New Roman"/>
          <w:b w:val="false"/>
          <w:i w:val="false"/>
          <w:color w:val="000000"/>
          <w:sz w:val="22"/>
        </w:rPr>
        <w:t>40 CFR §122.41(j)</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567—63.3</w:t>
      </w:r>
      <w:r>
        <w:rPr>
          <w:rFonts w:ascii="Times New Roman" w:hAnsi="Times New Roman"/>
          <w:b/>
          <w:i w:val="false"/>
          <w:color w:val="000000"/>
          <w:sz w:val="22"/>
        </w:rPr>
        <w:t xml:space="preserve">(455B) </w:t>
      </w:r>
      <w:r>
        <w:rPr>
          <w:rFonts w:ascii="Times New Roman" w:hAnsi="Times New Roman"/>
          <w:b/>
          <w:i w:val="false"/>
          <w:color w:val="000000"/>
          <w:sz w:val="22"/>
        </w:rPr>
        <w:t xml:space="preserve">Minimum self-monitoring requirements in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63.3(1)</w:t>
      </w:r>
      <w:r>
        <w:rPr>
          <w:rFonts w:ascii="Times New Roman" w:hAnsi="Times New Roman"/>
          <w:b w:val="false"/>
          <w:i w:val="false"/>
          <w:color w:val="000000"/>
          <w:sz w:val="22"/>
        </w:rPr>
        <w:t> </w:t>
      </w:r>
      <w:r>
        <w:rPr>
          <w:rFonts w:ascii="Times New Roman" w:hAnsi="Times New Roman"/>
          <w:b w:val="false"/>
          <w:i/>
          <w:color w:val="000000"/>
          <w:sz w:val="22"/>
        </w:rPr>
        <w:t xml:space="preserve">Organic waste dischargers. </w:t>
      </w:r>
      <w:r>
        <w:rPr>
          <w:rFonts w:ascii="Times New Roman" w:hAnsi="Times New Roman"/>
          <w:b w:val="false"/>
          <w:i w:val="false"/>
          <w:color w:val="000000"/>
          <w:sz w:val="22"/>
        </w:rPr>
        <w:t xml:space="preserve">The minimum self-monitoring requirements to be incorporated in operation permits for facilities discharging organic wastes shall be the appropriate requirements in Tables I and II of this chapter. Additional monitoring may be specified in operation permits in accordance with </w:t>
      </w:r>
      <w:r>
        <w:rPr>
          <w:rFonts w:ascii="Times New Roman" w:hAnsi="Times New Roman"/>
          <w:b w:val="false"/>
          <w:i w:val="false"/>
          <w:color w:val="000000"/>
          <w:sz w:val="22"/>
        </w:rPr>
        <w:t>63.3(5)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63.3(2)</w:t>
      </w:r>
      <w:r>
        <w:rPr>
          <w:rFonts w:ascii="Times New Roman" w:hAnsi="Times New Roman"/>
          <w:b w:val="false"/>
          <w:i w:val="false"/>
          <w:color w:val="000000"/>
          <w:sz w:val="22"/>
        </w:rPr>
        <w:t> </w:t>
      </w:r>
      <w:r>
        <w:rPr>
          <w:rFonts w:ascii="Times New Roman" w:hAnsi="Times New Roman"/>
          <w:b w:val="false"/>
          <w:i/>
          <w:color w:val="000000"/>
          <w:sz w:val="22"/>
        </w:rPr>
        <w:t xml:space="preserve">Inorganic waste dischargers. </w:t>
      </w:r>
      <w:r>
        <w:rPr>
          <w:rFonts w:ascii="Times New Roman" w:hAnsi="Times New Roman"/>
          <w:b w:val="false"/>
          <w:i w:val="false"/>
          <w:color w:val="000000"/>
          <w:sz w:val="22"/>
        </w:rPr>
        <w:t>The self-monitoring requirements to be incorporated in  operation permits for facilities discharging inorganic wastes shall be determined on a case-by-case evaluation of the impact of the discharge on the receiving stream, toxic or deleterious effects of wastewaters, complexity of the treatment process, history of noncompliance or any other factor which requires strict operational control to meet the effluent limitations of the permit, as described in the Supporting Document for Permit Monitoring Frequency Determination, March 2022, hereafter referred to as the Supporting Document, located on the department’s website. Grab samples shall be taken in accordance with 567–63 Table I (455B) Superscript 4, and composite samples shall be taken in accordance with 567–63 Table I (455B) Superscript 4a or 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63.3(3)</w:t>
      </w:r>
      <w:r>
        <w:rPr>
          <w:rFonts w:ascii="Times New Roman" w:hAnsi="Times New Roman"/>
          <w:b w:val="false"/>
          <w:i w:val="false"/>
          <w:color w:val="000000"/>
          <w:sz w:val="22"/>
        </w:rPr>
        <w:t> </w:t>
      </w:r>
      <w:r>
        <w:rPr>
          <w:rFonts w:ascii="Times New Roman" w:hAnsi="Times New Roman"/>
          <w:b w:val="false"/>
          <w:i/>
          <w:color w:val="000000"/>
          <w:sz w:val="22"/>
        </w:rPr>
        <w:t xml:space="preserve">Significant industrial users (SIUs) of publicly owned treatment works (POTWs). </w:t>
      </w:r>
      <w:r>
        <w:rPr>
          <w:rFonts w:ascii="Times New Roman" w:hAnsi="Times New Roman"/>
          <w:b w:val="false"/>
          <w:i w:val="false"/>
          <w:color w:val="000000"/>
          <w:sz w:val="22"/>
        </w:rPr>
        <w:t>Monitoring for SIUs shall be determined as described in the Supporting Document, located on the department’s website. Monitoring results shall be submitted to the department in accordance with the reporting requirements in the operation permit. The monitoring program of a POTW with a department-approved pretreatment program may be used in lieu of the Supporting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63.3(4)</w:t>
      </w:r>
      <w:r>
        <w:rPr>
          <w:rFonts w:ascii="Times New Roman" w:hAnsi="Times New Roman"/>
          <w:b w:val="false"/>
          <w:i w:val="false"/>
          <w:color w:val="000000"/>
          <w:sz w:val="22"/>
        </w:rPr>
        <w:t> </w:t>
      </w:r>
      <w:r>
        <w:rPr>
          <w:rFonts w:ascii="Times New Roman" w:hAnsi="Times New Roman"/>
          <w:b w:val="false"/>
          <w:i/>
          <w:color w:val="000000"/>
          <w:sz w:val="22"/>
        </w:rPr>
        <w:t xml:space="preserve">Operational performance monitoring. </w:t>
      </w:r>
      <w:r>
        <w:rPr>
          <w:rFonts w:ascii="Times New Roman" w:hAnsi="Times New Roman"/>
          <w:b w:val="false"/>
          <w:i w:val="false"/>
          <w:color w:val="000000"/>
          <w:sz w:val="22"/>
        </w:rPr>
        <w:t xml:space="preserve">Operational performance monitoring for treatment unit process control shall be conducted to ensure that a facility is properly operated in accordance with its design. The results of any operational performance monitoring need not be reported to the department but shall be maintained in accordance with rule </w:t>
      </w:r>
      <w:hyperlink r:id="rId8">
        <w:r>
          <w:rPr>
            <w:rStyle w:val="Hyperlink"/>
            <w:rFonts w:ascii="Times New Roman" w:hAnsi="Times New Roman"/>
            <w:b w:val="false"/>
            <w:i w:val="false"/>
            <w:color w:val="000000"/>
            <w:sz w:val="22"/>
          </w:rPr>
          <w:t>567—63.2</w:t>
        </w:r>
      </w:hyperlink>
      <w:r>
        <w:rPr>
          <w:rFonts w:ascii="Times New Roman" w:hAnsi="Times New Roman"/>
          <w:b w:val="false"/>
          <w:i w:val="false"/>
          <w:color w:val="000000"/>
          <w:sz w:val="22"/>
        </w:rPr>
        <w:t xml:space="preserve">(455B), and shall be submitted to the department upon request. Additional operational performance monitoring may be specified in operation permits in accordance with </w:t>
      </w:r>
      <w:hyperlink r:id="rId9">
        <w:r>
          <w:rPr>
            <w:rStyle w:val="Hyperlink"/>
            <w:rFonts w:ascii="Times New Roman" w:hAnsi="Times New Roman"/>
            <w:b w:val="false"/>
            <w:i w:val="false"/>
            <w:color w:val="000000"/>
            <w:sz w:val="22"/>
          </w:rPr>
          <w:t>63.3(5)</w:t>
        </w:r>
      </w:hyperlink>
      <w:r>
        <w:rPr>
          <w:rFonts w:ascii="Times New Roman" w:hAnsi="Times New Roman"/>
          <w:b w:val="false"/>
          <w:i w:val="false"/>
          <w:color w:val="000000"/>
          <w:sz w:val="22"/>
        </w:rPr>
        <w:t>. The results of operational performance monitoring specified in an operation permit shall be submitted to the department in accordance with the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63.3(5)</w:t>
      </w:r>
      <w:r>
        <w:rPr>
          <w:rFonts w:ascii="Times New Roman" w:hAnsi="Times New Roman"/>
          <w:b w:val="false"/>
          <w:i w:val="false"/>
          <w:color w:val="000000"/>
          <w:sz w:val="22"/>
        </w:rPr>
        <w:t> </w:t>
      </w:r>
      <w:r>
        <w:rPr>
          <w:rFonts w:ascii="Times New Roman" w:hAnsi="Times New Roman"/>
          <w:b w:val="false"/>
          <w:i/>
          <w:color w:val="000000"/>
          <w:sz w:val="22"/>
        </w:rPr>
        <w:t xml:space="preserve">Additional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Additional monitoring may be specified in operation permits in accordance with this subrule,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facilities discharging organic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 operational performance monitoring;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the purposes of whole effluent toxicity (WET)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monitoring requirements in operation permits shall be based on a case-by-case evaluation of the impact of the discharge on the receiving stream, toxic or deleterious effects of wastewaters, industrial contribution to the system, complexity of the treatment process, history of noncompliance or any other factor which requires strict operational control to meet the effluent limitations of the permit, as described in the Supporting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63.3(6)</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minimum monitoring requirements. </w:t>
      </w:r>
      <w:r>
        <w:rPr>
          <w:rFonts w:ascii="Times New Roman" w:hAnsi="Times New Roman"/>
          <w:b w:val="false"/>
          <w:i w:val="false"/>
          <w:color w:val="000000"/>
          <w:sz w:val="22"/>
        </w:rPr>
        <w:t xml:space="preserve">Monitoring requirements may be modified or reduced at the director’s discretion or when requested by the permittee, in accordance with </w:t>
      </w:r>
      <w:hyperlink r:id="rId10">
        <w:r>
          <w:rPr>
            <w:rStyle w:val="Hyperlink"/>
            <w:rFonts w:ascii="Times New Roman" w:hAnsi="Times New Roman"/>
            <w:b w:val="false"/>
            <w:i w:val="false"/>
            <w:color w:val="000000"/>
            <w:sz w:val="22"/>
          </w:rPr>
          <w:t>567—paragraph 60.3(6)</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567—63.4</w:t>
      </w:r>
      <w:r>
        <w:rPr>
          <w:rFonts w:ascii="Times New Roman" w:hAnsi="Times New Roman"/>
          <w:b/>
          <w:i w:val="false"/>
          <w:color w:val="000000"/>
          <w:sz w:val="22"/>
        </w:rPr>
        <w:t xml:space="preserve">(455B) </w:t>
      </w:r>
      <w:r>
        <w:rPr>
          <w:rFonts w:ascii="Times New Roman" w:hAnsi="Times New Roman"/>
          <w:b/>
          <w:i w:val="false"/>
          <w:color w:val="000000"/>
          <w:sz w:val="22"/>
        </w:rPr>
        <w:t xml:space="preserve">Whole effluent toxicity (WET) testing requirements in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color w:val="000000"/>
          <w:sz w:val="22"/>
        </w:rPr>
        <w:t xml:space="preserve">WET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major municipal and industrial dischargers shall conduct WET testing. Additional toxicity monitoring may be specified in operation permits for major or minor facilities in accordance with </w:t>
      </w:r>
      <w:hyperlink r:id="rId11">
        <w:r>
          <w:rPr>
            <w:rStyle w:val="Hyperlink"/>
            <w:rFonts w:ascii="Times New Roman" w:hAnsi="Times New Roman"/>
            <w:b w:val="false"/>
            <w:i w:val="false"/>
            <w:color w:val="000000"/>
            <w:sz w:val="22"/>
          </w:rPr>
          <w:t>63.3(5)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dischargers required to conduct WET tests shall conduct, at a minimum, one valid WET test annually. The testing requirements will be placed in the operation permit for each discharger required to conduct this testing. A “valid WET test” is one that meets the testing requirements in </w:t>
      </w:r>
      <w:hyperlink r:id="rId12">
        <w:r>
          <w:rPr>
            <w:rStyle w:val="Hyperlink"/>
            <w:rFonts w:ascii="Times New Roman" w:hAnsi="Times New Roman"/>
            <w:b w:val="false"/>
            <w:i w:val="false"/>
            <w:color w:val="000000"/>
            <w:sz w:val="22"/>
          </w:rPr>
          <w:t>63.4(2)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WET test completed by the department or other agency and conducted according to the procedures stated or referenced in this rule may be used to determine compliance with an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color w:val="000000"/>
          <w:sz w:val="22"/>
        </w:rPr>
        <w:t xml:space="preserve">Testing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WET tests shall be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24-hour composite sample of the effluent collected at the location stated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Commence within 36 hours of sample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Use the test methods referenced in </w:t>
      </w:r>
      <w:r>
        <w:rPr>
          <w:rFonts w:ascii="Times New Roman" w:hAnsi="Times New Roman"/>
          <w:b w:val="false"/>
          <w:i w:val="false"/>
          <w:color w:val="000000"/>
          <w:sz w:val="22"/>
        </w:rPr>
        <w:t>40 CFR Part 136</w:t>
      </w:r>
      <w:r>
        <w:rPr>
          <w:rFonts w:ascii="Times New Roman" w:hAnsi="Times New Roman"/>
          <w:b w:val="false"/>
          <w:i w:val="false"/>
          <w:color w:val="000000"/>
          <w:sz w:val="22"/>
        </w:rPr>
        <w:t xml:space="preserve"> and protocols described in the EPA document EPA-821-R-02-012, Methods for Measuring the Acute Toxicity of Effluents and Receiving Waters to Freshwater and Marine Organisms, 5th edition, October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the water flea (</w:t>
      </w:r>
      <w:r>
        <w:rPr>
          <w:rFonts w:ascii="Times New Roman" w:hAnsi="Times New Roman"/>
          <w:b w:val="false"/>
          <w:i/>
          <w:color w:val="000000"/>
          <w:sz w:val="22"/>
        </w:rPr>
        <w:t>Ceriodaphnia dubia</w:t>
      </w:r>
      <w:r>
        <w:rPr>
          <w:rFonts w:ascii="Times New Roman" w:hAnsi="Times New Roman"/>
          <w:b w:val="false"/>
          <w:i w:val="false"/>
          <w:color w:val="000000"/>
          <w:sz w:val="22"/>
        </w:rPr>
        <w:t>) and the fathead minnow (</w:t>
      </w:r>
      <w:r>
        <w:rPr>
          <w:rFonts w:ascii="Times New Roman" w:hAnsi="Times New Roman"/>
          <w:b w:val="false"/>
          <w:i/>
          <w:color w:val="000000"/>
          <w:sz w:val="22"/>
        </w:rPr>
        <w:t>Pimephales promelas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conducted as static pass/fail;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Include the following for each organism: a 100 percent culture water control series, a 100 percent effluent series, and any additional dilution series specified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Last for 48 hours, at which time the mortality will be determined for all tests;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Be conducted by a laboratory certified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WET test results, including results of any tests performed at a greater frequency than required in the operation permit, shall be submitted to the department within 30 days of test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w:t>
      </w:r>
      <w:r>
        <w:rPr>
          <w:rFonts w:ascii="Times New Roman" w:hAnsi="Times New Roman"/>
          <w:b w:val="false"/>
          <w:i w:val="false"/>
          <w:color w:val="000000"/>
          <w:sz w:val="22"/>
        </w:rPr>
        <w:t> </w:t>
      </w:r>
      <w:r>
        <w:rPr>
          <w:rFonts w:ascii="Times New Roman" w:hAnsi="Times New Roman"/>
          <w:b w:val="false"/>
          <w:i/>
          <w:color w:val="000000"/>
          <w:sz w:val="22"/>
        </w:rPr>
        <w:t xml:space="preserve">Positive result. </w:t>
      </w:r>
      <w:r>
        <w:rPr>
          <w:rFonts w:ascii="Times New Roman" w:hAnsi="Times New Roman"/>
          <w:b w:val="false"/>
          <w:i w:val="false"/>
          <w:color w:val="000000"/>
          <w:sz w:val="22"/>
        </w:rPr>
        <w:t xml:space="preserve">If there is a positive toxicity test result in the diluted effluent sample from a valid WET test, the following requirements apply unless the exception in </w:t>
      </w:r>
      <w:hyperlink r:id="rId13">
        <w:r>
          <w:rPr>
            <w:rStyle w:val="Hyperlink"/>
            <w:rFonts w:ascii="Times New Roman" w:hAnsi="Times New Roman"/>
            <w:b w:val="false"/>
            <w:i w:val="false"/>
            <w:color w:val="000000"/>
            <w:sz w:val="22"/>
          </w:rPr>
          <w:t>63.4(3)</w:t>
        </w:r>
      </w:hyperlink>
      <w:r>
        <w:rPr>
          <w:rFonts w:ascii="Times New Roman" w:hAnsi="Times New Roman"/>
          <w:b w:val="false"/>
          <w:i/>
          <w:color w:val="000000"/>
          <w:sz w:val="22"/>
        </w:rPr>
        <w:t>“d”</w:t>
      </w:r>
      <w:r>
        <w:rPr>
          <w:rFonts w:ascii="Times New Roman" w:hAnsi="Times New Roman"/>
          <w:b w:val="false"/>
          <w:i w:val="false"/>
          <w:color w:val="000000"/>
          <w:sz w:val="22"/>
        </w:rPr>
        <w:t xml:space="preserve"> is applicable. For the purposes of this rule, “positive toxicity test result” means a statistically significant difference of mortality rate between the control and the diluted effluent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the discharger shall conduct quarterly WET tests until three successive tests are determined not to be positive, after which the toxicity testing shall be resumed as specified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discharger has two successive positive valid diluted WET test results or three positive test results out of five valid diluted tests, the discharger shall conduct a toxicity reduction evaluation (TRE). A TRE is a stepwise process, similar to that found in EPA Document 600/2-88/062, that combines effluent toxicity tests and analysis of the chemical characteristics of the effluent to determine the cause of the effluent toxicity or the treatment methods that will reduce the effluent toxicity,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discharger may be required to conduct instream monitoring or other analyses in conjunction with the TRE. If at any time during the course of conducting a TRE there are three consecutive follow-up toxicity test results for the diluted sample which are not positive, the discharger will be considered as in compliance and work on the TRE may cease. WET testing shall then resume as specified in the operation permit. Nothing in these rules shall preclude the department from taking enforcement action beyond that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pretest chemical analysis for un-ionized ammonia nitrogen (NH3-N) or TRC on the diluted effluent sample exceeds the concentrations given below, a positive test result is likely to have been caused by high concentrations of un-ionized NH3-N or TRC, and the test result will not be used to determine if follow-up testing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Un-ionized NH3-N—0.9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TRC—0.1 mg/l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567—63.5</w:t>
      </w:r>
      <w:r>
        <w:rPr>
          <w:rFonts w:ascii="Times New Roman" w:hAnsi="Times New Roman"/>
          <w:b/>
          <w:i w:val="false"/>
          <w:color w:val="000000"/>
          <w:sz w:val="22"/>
        </w:rPr>
        <w:t xml:space="preserve">(455B) </w:t>
      </w:r>
      <w:r>
        <w:rPr>
          <w:rFonts w:ascii="Times New Roman" w:hAnsi="Times New Roman"/>
          <w:b/>
          <w:i w:val="false"/>
          <w:color w:val="000000"/>
          <w:sz w:val="22"/>
        </w:rPr>
        <w:t xml:space="preserve">Self-monitoring and reporting for animal feeding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The following self-monitoring requirements may be imposed on an animal feeding operation in any operation permit issued for such an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Measurement of liquid level in a waste storage facility on a periodic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Measurement of daily precipitation,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Sampling and analysis of groundwater as necessary to determine effects of wastewater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measurements necessary to evaluate the adequacy of a waste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Reports of the self-monitoring results shall be submitted to the appropriate regional department field office (hereafter referred to as FO) quarterly. The quarterly reports shall cover the periods January through March, April through June, July through September, and October through December. The quarterly report for each period shall be submitted by the tenth day of the month following the quarter being reported.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567—63.6</w:t>
      </w:r>
      <w:r>
        <w:rPr>
          <w:rFonts w:ascii="Times New Roman" w:hAnsi="Times New Roman"/>
          <w:b/>
          <w:i w:val="false"/>
          <w:color w:val="000000"/>
          <w:sz w:val="22"/>
        </w:rPr>
        <w:t xml:space="preserve">(455B) </w:t>
      </w:r>
      <w:r>
        <w:rPr>
          <w:rFonts w:ascii="Times New Roman" w:hAnsi="Times New Roman"/>
          <w:b/>
          <w:i w:val="false"/>
          <w:color w:val="000000"/>
          <w:sz w:val="22"/>
        </w:rPr>
        <w:t xml:space="preserve">Bypasses and upsets.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Bypasses from any portion of a treatment facility or from a sanitary sewer collection system designed to carry only sewage are prohibited. The department may not assess a penalty against a permittee for a bypass if the permittee has complied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bypass was unavoidable to prevent loss of life, personal injury, or severe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were no feasible alternatives to the bypass, such as the use of auxiliary treatment facilities, retention of untreated wastes, or maintenance during normal periods of equipment downtime. This condition is not satisfied if adequate backup equipment should have been installed in the exercise of reasonable engineering judgment to prevent a bypass which occurred during normal periods of equipment downtime or preventive maintenance;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permittee submitted the information required in </w:t>
      </w:r>
      <w:hyperlink r:id="rId14">
        <w:r>
          <w:rPr>
            <w:rStyle w:val="Hyperlink"/>
            <w:rFonts w:ascii="Times New Roman" w:hAnsi="Times New Roman"/>
            <w:b w:val="false"/>
            <w:i w:val="false"/>
            <w:color w:val="000000"/>
            <w:sz w:val="22"/>
          </w:rPr>
          <w:t>63.6(2)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63.6(3)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63.6(5)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color w:val="000000"/>
          <w:sz w:val="22"/>
        </w:rPr>
        <w:t xml:space="preserve">Request for anticipated bypass. </w:t>
      </w:r>
      <w:r>
        <w:rPr>
          <w:rFonts w:ascii="Times New Roman" w:hAnsi="Times New Roman"/>
          <w:b w:val="false"/>
          <w:i w:val="false"/>
          <w:color w:val="000000"/>
          <w:sz w:val="22"/>
        </w:rPr>
        <w:t xml:space="preserve">Except for bypasses that occur as a result of mechanical failure or acts beyond the control of the owner or operator of a waste disposal system (unanticipated bypasses), the owner or operator shall obtain written permission from the department prior to any discharge of sewage or wastes from a waste disposal system not authorized by a discharge permit. The director may approve an anticipated bypass after considering its adverse effects if the director determines that it will meet the conditions in </w:t>
      </w:r>
      <w:hyperlink r:id="rId17">
        <w:r>
          <w:rPr>
            <w:rStyle w:val="Hyperlink"/>
            <w:rFonts w:ascii="Times New Roman" w:hAnsi="Times New Roman"/>
            <w:b w:val="false"/>
            <w:i w:val="false"/>
            <w:color w:val="000000"/>
            <w:sz w:val="22"/>
          </w:rPr>
          <w:t>63.6(1)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for a bypass shall be submitted in writing to the appropriate FO at least ten days prior to the expected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the bypass will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expected duration of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estimate of the amount of untreated or partially treated sewage or wastewater that will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any body of surface water that will be affected by the bypass;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actions the owner or operator proposes to take to mitigate the effects of the bypass upon the receiving stream or other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unanticipated bypass or upset and public notices (PNs). </w:t>
      </w:r>
      <w:r>
        <w:rPr>
          <w:rFonts w:ascii="Times New Roman" w:hAnsi="Times New Roman"/>
          <w:b w:val="false"/>
          <w:i w:val="false"/>
          <w:color w:val="000000"/>
          <w:sz w:val="22"/>
        </w:rPr>
        <w:t xml:space="preserve">In the event that a bypass or upset occurs without prior notice having been provided pursuant to </w:t>
      </w:r>
      <w:r>
        <w:rPr>
          <w:rFonts w:ascii="Times New Roman" w:hAnsi="Times New Roman"/>
          <w:b w:val="false"/>
          <w:i w:val="false"/>
          <w:color w:val="000000"/>
          <w:sz w:val="22"/>
        </w:rPr>
        <w:t>63.6(2)</w:t>
      </w:r>
      <w:r>
        <w:rPr>
          <w:rFonts w:ascii="Times New Roman" w:hAnsi="Times New Roman"/>
          <w:b w:val="false"/>
          <w:i w:val="false"/>
          <w:color w:val="000000"/>
          <w:sz w:val="22"/>
        </w:rPr>
        <w:t xml:space="preserve"> or as a result of mechanical failure or acts beyond the control of the owner or operator, the owner or operator of the treatment facility or collection system shall notify the department by telephone as soon as possible but not later than 24 hours after the onset 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by contacting the appropriate FO. After-hours notification may be made by calling the Department of Natural Resources emergency response hotline at 515.725.8694.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include information on as many items listed in </w:t>
      </w:r>
      <w:hyperlink r:id="rId18">
        <w:r>
          <w:rPr>
            <w:rStyle w:val="Hyperlink"/>
            <w:rFonts w:ascii="Times New Roman" w:hAnsi="Times New Roman"/>
            <w:b w:val="false"/>
            <w:i w:val="false"/>
            <w:color w:val="000000"/>
            <w:sz w:val="22"/>
          </w:rPr>
          <w:t>63.6(3)</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63.6(3)</w:t>
        </w:r>
        <w:r>
          <w:rPr>
            <w:rFonts w:ascii="Times New Roman" w:hAnsi="Times New Roman"/>
            <w:b w:val="false"/>
            <w:i/>
            <w:color w:val="000000"/>
            <w:sz w:val="22"/>
          </w:rPr>
          <w:t>“d”</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as available information will allow.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notification, the department shall determine if a PN for an unanticipated bypass is necessary. If the department determines that a PN is necessary, the owner or operator of the treatment facility or the collection system shall prepare a PN.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submission describing the bypass shall also be provided to the appropriate FO within five days of the time the permittee becomes aware of the bypass. The written submission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the bypass, including the amount and duration of any rainfall event that may have contributed to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onset or discovery of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duration of the bypass;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estimate of the amount of untreated or partially treated sewage or wastewater that was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bypass;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any body of surface water that was affected by the bypass.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w:t>
      </w:r>
      <w:r>
        <w:rPr>
          <w:rFonts w:ascii="Times New Roman" w:hAnsi="Times New Roman"/>
          <w:b w:val="false"/>
          <w:i w:val="false"/>
          <w:color w:val="000000"/>
          <w:sz w:val="22"/>
        </w:rPr>
        <w:t> </w:t>
      </w:r>
      <w:r>
        <w:rPr>
          <w:rFonts w:ascii="Times New Roman" w:hAnsi="Times New Roman"/>
          <w:b w:val="false"/>
          <w:i/>
          <w:color w:val="000000"/>
          <w:sz w:val="22"/>
        </w:rPr>
        <w:t xml:space="preserve">Monitoring, disinfection, and cleanup. </w:t>
      </w:r>
      <w:r>
        <w:rPr>
          <w:rFonts w:ascii="Times New Roman" w:hAnsi="Times New Roman"/>
          <w:b w:val="false"/>
          <w:i w:val="false"/>
          <w:color w:val="000000"/>
          <w:sz w:val="22"/>
        </w:rPr>
        <w:t>The owner or operator of the treatment facility or collection system shall perform any additional monitoring, sampling, or analysis of the bypass or upset requested by the FO and shall comply with department instructions intended to minimize the effect of a bypass or upset on the receiving water of the state. In addition, the department may require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Temporary disinfection, depending on the volume and duration of the bypass, the classification of the stream affected by the bypass, and the time of year during which the bypass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Cleanup of any debris and waste materials deposited in the area affected by the bypass;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Lime application to the ground surface or disinfection of the affected area with chlorine 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w:t>
      </w:r>
      <w:r>
        <w:rPr>
          <w:rFonts w:ascii="Times New Roman" w:hAnsi="Times New Roman"/>
          <w:b w:val="false"/>
          <w:i w:val="false"/>
          <w:color w:val="000000"/>
          <w:sz w:val="22"/>
        </w:rPr>
        <w:t> </w:t>
      </w:r>
      <w:r>
        <w:rPr>
          <w:rFonts w:ascii="Times New Roman" w:hAnsi="Times New Roman"/>
          <w:b w:val="false"/>
          <w:i/>
          <w:color w:val="000000"/>
          <w:sz w:val="22"/>
        </w:rPr>
        <w:t xml:space="preserve">Reporting of subsequent findings and additional information requested by the department. </w:t>
      </w:r>
      <w:r>
        <w:rPr>
          <w:rFonts w:ascii="Times New Roman" w:hAnsi="Times New Roman"/>
          <w:b w:val="false"/>
          <w:i w:val="false"/>
          <w:color w:val="000000"/>
          <w:sz w:val="22"/>
        </w:rPr>
        <w:t>All subsequent findings and laboratory results concerning a bypass shall be submitted in writing to the appropriate FO as soon as they become available. Any additional information requested by the department concerning the steps taken to minimize the effects of a bypass shall be submitted within 30 days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w:t>
      </w:r>
      <w:r>
        <w:rPr>
          <w:rFonts w:ascii="Times New Roman" w:hAnsi="Times New Roman"/>
          <w:b w:val="false"/>
          <w:i w:val="false"/>
          <w:color w:val="000000"/>
          <w:sz w:val="22"/>
        </w:rPr>
        <w:t> </w:t>
      </w:r>
      <w:r>
        <w:rPr>
          <w:rFonts w:ascii="Times New Roman" w:hAnsi="Times New Roman"/>
          <w:b w:val="false"/>
          <w:i/>
          <w:color w:val="000000"/>
          <w:sz w:val="22"/>
        </w:rPr>
        <w:t xml:space="preserve">Upset. </w:t>
      </w:r>
      <w:r>
        <w:rPr>
          <w:rFonts w:ascii="Times New Roman" w:hAnsi="Times New Roman"/>
          <w:b w:val="false"/>
          <w:i w:val="false"/>
          <w:color w:val="000000"/>
          <w:sz w:val="22"/>
        </w:rPr>
        <w:t>40 CFR §122.41(n)</w:t>
      </w:r>
      <w:r>
        <w:rPr>
          <w:rFonts w:ascii="Times New Roman" w:hAnsi="Times New Roman"/>
          <w:b w:val="false"/>
          <w:i w:val="false"/>
          <w:color w:val="000000"/>
          <w:sz w:val="22"/>
        </w:rPr>
        <w:t xml:space="preserve"> is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567—63.7</w:t>
      </w:r>
      <w:r>
        <w:rPr>
          <w:rFonts w:ascii="Times New Roman" w:hAnsi="Times New Roman"/>
          <w:b/>
          <w:i w:val="false"/>
          <w:color w:val="000000"/>
          <w:sz w:val="22"/>
        </w:rPr>
        <w:t xml:space="preserve">(455B) </w:t>
      </w:r>
      <w:r>
        <w:rPr>
          <w:rFonts w:ascii="Times New Roman" w:hAnsi="Times New Roman"/>
          <w:b/>
          <w:i w:val="false"/>
          <w:color w:val="000000"/>
          <w:sz w:val="22"/>
        </w:rPr>
        <w:t xml:space="preserve">Submission of operation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63.7(1)</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this rule and </w:t>
      </w:r>
      <w:hyperlink r:id="rId20">
        <w:r>
          <w:rPr>
            <w:rStyle w:val="Hyperlink"/>
            <w:rFonts w:ascii="Times New Roman" w:hAnsi="Times New Roman"/>
            <w:b w:val="false"/>
            <w:i w:val="false"/>
            <w:color w:val="000000"/>
            <w:sz w:val="22"/>
          </w:rPr>
          <w:t>63.3(4)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63.5(2)</w:t>
        </w:r>
      </w:hyperlink>
      <w:r>
        <w:rPr>
          <w:rFonts w:ascii="Times New Roman" w:hAnsi="Times New Roman"/>
          <w:b w:val="false"/>
          <w:i w:val="false"/>
          <w:color w:val="000000"/>
          <w:sz w:val="22"/>
        </w:rPr>
        <w:t xml:space="preserve">, operation records required by NPDES permits shall be submitted electronically to the department within 15 days following the close of the reporting period specified in </w:t>
      </w:r>
      <w:hyperlink r:id="rId22">
        <w:r>
          <w:rPr>
            <w:rStyle w:val="Hyperlink"/>
            <w:rFonts w:ascii="Times New Roman" w:hAnsi="Times New Roman"/>
            <w:b w:val="false"/>
            <w:i w:val="false"/>
            <w:color w:val="000000"/>
            <w:sz w:val="22"/>
          </w:rPr>
          <w:t>63.7(5)</w:t>
        </w:r>
      </w:hyperlink>
      <w:r>
        <w:rPr>
          <w:rFonts w:ascii="Times New Roman" w:hAnsi="Times New Roman"/>
          <w:b w:val="false"/>
          <w:i w:val="false"/>
          <w:color w:val="000000"/>
          <w:sz w:val="22"/>
        </w:rPr>
        <w:t xml:space="preserve"> and in accordance with monitoring requirements derived from this chapter and incorporated in the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records required by operation permits shall be submitted to the department within 15 days following the close of the reporting period specified in </w:t>
      </w:r>
      <w:hyperlink r:id="rId23">
        <w:r>
          <w:rPr>
            <w:rStyle w:val="Hyperlink"/>
            <w:rFonts w:ascii="Times New Roman" w:hAnsi="Times New Roman"/>
            <w:b w:val="false"/>
            <w:i w:val="false"/>
            <w:color w:val="000000"/>
            <w:sz w:val="22"/>
          </w:rPr>
          <w:t>63.7(5)</w:t>
        </w:r>
      </w:hyperlink>
      <w:r>
        <w:rPr>
          <w:rFonts w:ascii="Times New Roman" w:hAnsi="Times New Roman"/>
          <w:b w:val="false"/>
          <w:i w:val="false"/>
          <w:color w:val="000000"/>
          <w:sz w:val="22"/>
        </w:rPr>
        <w:t xml:space="preserve"> and in accordance with monitoring requirements derived from this chapter and incorporated in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63.7(2)</w:t>
      </w:r>
      <w:r>
        <w:rPr>
          <w:rFonts w:ascii="Times New Roman" w:hAnsi="Times New Roman"/>
          <w:b w:val="false"/>
          <w:i w:val="false"/>
          <w:color w:val="000000"/>
          <w:sz w:val="22"/>
        </w:rPr>
        <w:t> </w:t>
      </w:r>
      <w:r>
        <w:rPr>
          <w:rFonts w:ascii="Times New Roman" w:hAnsi="Times New Roman"/>
          <w:b w:val="false"/>
          <w:i/>
          <w:color w:val="000000"/>
          <w:sz w:val="22"/>
        </w:rPr>
        <w:t xml:space="preserve">Temporary or permanent paper submittal of operation records. </w:t>
      </w:r>
      <w:r>
        <w:rPr>
          <w:rFonts w:ascii="Times New Roman" w:hAnsi="Times New Roman"/>
          <w:b w:val="false"/>
          <w:i w:val="false"/>
          <w:color w:val="000000"/>
          <w:sz w:val="22"/>
        </w:rPr>
        <w:t>Upon satisfaction of the following criteria and written approval from the department, temporary or permanent paper submittal of operation records may be allowed in lieu of electronic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paper submittal.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obtain an approval for temporary or permanent paper submittal of operation records, a permittee must submit a paper copy of a written request to the department’s NPDES section. The written request for paper submittal must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NPDES permit number or GP authorization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owner’s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contact information of the person submitting operation records (if different than the owner);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reason for the request, including a justification of why electronic submission is not feasible at this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Requests for paper submittal that do not contain all of the above information will not be considered. Electronic (email) requests for paper submittal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Temporary paper submittal.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or deny a request for temporary paper submittal of operation records within 60 days of receipt. Paper submittal requests shall be approved or denied at the director's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approvals for temporary paper submittal will expire five years from department approval. After an approval for temporary paper submittal expires, the permittee must submit all operation records electronically, unless another approval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Approved temporary paper submittals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Permanent paper submittal.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or deny a request for permanent paper submittal of operation records within 60 days of receipt. Permanent paper submittal approvals shall only be granted to facilities and entities owned or operated by members of religious communities that choose not to use certain modern technologies (e.g., computers, electricity). Permanent approvals for paper submittal shall not be granted to any other facilities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Approved permanent paper submittals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Paper copies of operation records. </w:t>
      </w:r>
      <w:r>
        <w:rPr>
          <w:rFonts w:ascii="Times New Roman" w:hAnsi="Times New Roman"/>
          <w:b w:val="false"/>
          <w:i w:val="false"/>
          <w:color w:val="000000"/>
          <w:sz w:val="22"/>
        </w:rPr>
        <w:t xml:space="preserve">All permittees who have received temporary or permanent paper submittal approvals must submit paper copies of all operation records to the department within 15 days following the close of the reporting period specified in </w:t>
      </w:r>
      <w:hyperlink r:id="rId24">
        <w:r>
          <w:rPr>
            <w:rStyle w:val="Hyperlink"/>
            <w:rFonts w:ascii="Times New Roman" w:hAnsi="Times New Roman"/>
            <w:b w:val="false"/>
            <w:i w:val="false"/>
            <w:color w:val="000000"/>
            <w:sz w:val="22"/>
          </w:rPr>
          <w:t>63.7(5)</w:t>
        </w:r>
      </w:hyperlink>
      <w:r>
        <w:rPr>
          <w:rFonts w:ascii="Times New Roman" w:hAnsi="Times New Roman"/>
          <w:b w:val="false"/>
          <w:i w:val="false"/>
          <w:color w:val="000000"/>
          <w:sz w:val="22"/>
        </w:rPr>
        <w:t xml:space="preserve"> and in accordance with monitoring requirements derived from this chapter and incorporated in the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63.7(3)</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pursuant to NPDES general permits (GPs). </w:t>
      </w:r>
      <w:r>
        <w:rPr>
          <w:rFonts w:ascii="Times New Roman" w:hAnsi="Times New Roman"/>
          <w:b w:val="false"/>
          <w:i w:val="false"/>
          <w:color w:val="000000"/>
          <w:sz w:val="22"/>
        </w:rPr>
        <w:t>Both electronic and paper reporting options are available to permittees covered under GP No. 5. Paper operation records are accepted under GP No.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63.7(4)</w:t>
      </w:r>
      <w:r>
        <w:rPr>
          <w:rFonts w:ascii="Times New Roman" w:hAnsi="Times New Roman"/>
          <w:b w:val="false"/>
          <w:i w:val="false"/>
          <w:color w:val="000000"/>
          <w:sz w:val="22"/>
        </w:rPr>
        <w:t> </w:t>
      </w:r>
      <w:r>
        <w:rPr>
          <w:rFonts w:ascii="Times New Roman" w:hAnsi="Times New Roman"/>
          <w:b w:val="false"/>
          <w:i/>
          <w:color w:val="000000"/>
          <w:sz w:val="22"/>
        </w:rPr>
        <w:t xml:space="preserve">Episodic paper submittal of operation records. </w:t>
      </w:r>
      <w:r>
        <w:rPr>
          <w:rFonts w:ascii="Times New Roman" w:hAnsi="Times New Roman"/>
          <w:b w:val="false"/>
          <w:i w:val="false"/>
          <w:color w:val="000000"/>
          <w:sz w:val="22"/>
        </w:rPr>
        <w:t>In accordance with this subrule, episodic paper submittal of operation records may be allowed in lieu of electronic reporting. The department shall provide notice, individually or through means of mass communication, regarding when episodic paper submittal is allowed, the facilities and entities that qualify for episodic paper submittal, and the likely duration of episodic paper submittal. The department shall determine if and when episodic paper submittal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Episodic paper submittal is only allowed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Large-scale emergencies involving catastrophic circumstances beyond permittee control, such as forces of nature (e.g., hurricanes, floods, fires, earthquakes) or other national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Prolonged electronic reporting system outages (i.e., outages longer than 96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Permittees are not required to request episodic paper submittal. If the department determines that episodic paper submittal is warranted, a permittee shall submit paper copies of all operation records to the department within 15 days following the close of the reporting period specified in </w:t>
      </w:r>
      <w:hyperlink r:id="rId25">
        <w:r>
          <w:rPr>
            <w:rStyle w:val="Hyperlink"/>
            <w:rFonts w:ascii="Times New Roman" w:hAnsi="Times New Roman"/>
            <w:b w:val="false"/>
            <w:i w:val="false"/>
            <w:color w:val="000000"/>
            <w:sz w:val="22"/>
          </w:rPr>
          <w:t>63.7(5)</w:t>
        </w:r>
      </w:hyperlink>
      <w:r>
        <w:rPr>
          <w:rFonts w:ascii="Times New Roman" w:hAnsi="Times New Roman"/>
          <w:b w:val="false"/>
          <w:i w:val="false"/>
          <w:color w:val="000000"/>
          <w:sz w:val="22"/>
        </w:rPr>
        <w:t xml:space="preserve"> and in accordance with monitoring requirements derived from this chapter and incorporated in the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Episodic paper submittal is not transferable and cannot last more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63.7(5)</w:t>
      </w:r>
      <w:r>
        <w:rPr>
          <w:rFonts w:ascii="Times New Roman" w:hAnsi="Times New Roman"/>
          <w:b w:val="false"/>
          <w:i w:val="false"/>
          <w:color w:val="000000"/>
          <w:sz w:val="22"/>
        </w:rPr>
        <w:t> </w:t>
      </w:r>
      <w:r>
        <w:rPr>
          <w:rFonts w:ascii="Times New Roman" w:hAnsi="Times New Roman"/>
          <w:b w:val="false"/>
          <w:i/>
          <w:color w:val="000000"/>
          <w:sz w:val="22"/>
        </w:rPr>
        <w:t xml:space="preserve">Submission frequency. </w:t>
      </w:r>
      <w:r>
        <w:rPr>
          <w:rFonts w:ascii="Times New Roman" w:hAnsi="Times New Roman"/>
          <w:b w:val="false"/>
          <w:i w:val="false"/>
          <w:color w:val="000000"/>
          <w:sz w:val="22"/>
        </w:rPr>
        <w:t xml:space="preserve">Except as provided in </w:t>
      </w:r>
      <w:hyperlink r:id="rId26">
        <w:r>
          <w:rPr>
            <w:rStyle w:val="Hyperlink"/>
            <w:rFonts w:ascii="Times New Roman" w:hAnsi="Times New Roman"/>
            <w:b w:val="false"/>
            <w:i w:val="false"/>
            <w:color w:val="000000"/>
            <w:sz w:val="22"/>
          </w:rPr>
          <w:t>63.3(4)</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63.5(2)</w:t>
        </w:r>
      </w:hyperlink>
      <w:r>
        <w:rPr>
          <w:rFonts w:ascii="Times New Roman" w:hAnsi="Times New Roman"/>
          <w:b w:val="false"/>
          <w:i w:val="false"/>
          <w:color w:val="000000"/>
          <w:sz w:val="22"/>
        </w:rPr>
        <w:t xml:space="preserve">, or as specified in an NPDES GP issued in accordance with </w:t>
      </w:r>
      <w:hyperlink r:id="rId28">
        <w:r>
          <w:rPr>
            <w:rStyle w:val="Hyperlink"/>
            <w:rFonts w:ascii="Times New Roman" w:hAnsi="Times New Roman"/>
            <w:b w:val="false"/>
            <w:i w:val="false"/>
            <w:color w:val="000000"/>
            <w:sz w:val="22"/>
          </w:rPr>
          <w:t>567—subrule 60.4(2)</w:t>
        </w:r>
      </w:hyperlink>
      <w:r>
        <w:rPr>
          <w:rFonts w:ascii="Times New Roman" w:hAnsi="Times New Roman"/>
          <w:b w:val="false"/>
          <w:i w:val="false"/>
          <w:color w:val="000000"/>
          <w:sz w:val="22"/>
        </w:rPr>
        <w:t>, operation records required by these rules shall be submitted at monthly intervals. The department may vary the submission frequency in certain cases for only non-NPDES permits. Variation from the monthly interval shall be made only under such conditions as the department may prescribe in writing to the permittee.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567—63.8</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Operation records; content, forms, certification, and signature.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 xml:space="preserve">Operation records shall include the results of all monitoring specified in or authorized by this chapter or incorporated in the operation permit. The results of any additional monitoring for parameters included in the operation permit performed at the compliance monitoring point and analyzed according to </w:t>
      </w:r>
      <w:r>
        <w:rPr>
          <w:rFonts w:ascii="Times New Roman" w:hAnsi="Times New Roman"/>
          <w:b w:val="false"/>
          <w:i w:val="false"/>
          <w:color w:val="000000"/>
          <w:sz w:val="22"/>
        </w:rPr>
        <w:t>40 CFR Part 136</w:t>
      </w:r>
      <w:r>
        <w:rPr>
          <w:rFonts w:ascii="Times New Roman" w:hAnsi="Times New Roman"/>
          <w:b w:val="false"/>
          <w:i w:val="false"/>
          <w:color w:val="000000"/>
          <w:sz w:val="22"/>
        </w:rPr>
        <w:t xml:space="preserve"> shall be included in the calculation and reporting of any data submitted in accordance with this chapter and the operation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63.8(2)</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Operation record forms shall be those provided by the department unless a permittee has obtained department approval to use an alternative reporting form. Properly completed reporting forms and all attachments shall be submitted in accordance with department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63.8(3)</w:t>
      </w:r>
      <w:r>
        <w:rPr>
          <w:rFonts w:ascii="Times New Roman" w:hAnsi="Times New Roman"/>
          <w:b w:val="false"/>
          <w:i w:val="false"/>
          <w:color w:val="000000"/>
          <w:sz w:val="22"/>
        </w:rPr>
        <w:t> </w:t>
      </w:r>
      <w:r>
        <w:rPr>
          <w:rFonts w:ascii="Times New Roman" w:hAnsi="Times New Roman"/>
          <w:b w:val="false"/>
          <w:i/>
          <w:color w:val="000000"/>
          <w:sz w:val="22"/>
        </w:rPr>
        <w:t xml:space="preserve">Certification and signatory requirements. </w:t>
      </w:r>
      <w:r>
        <w:rPr>
          <w:rFonts w:ascii="Times New Roman" w:hAnsi="Times New Roman"/>
          <w:b w:val="false"/>
          <w:i w:val="false"/>
          <w:color w:val="000000"/>
          <w:sz w:val="22"/>
        </w:rPr>
        <w:t xml:space="preserve">All operation records required by these rules shall include certification that attests that all information contained therein is representative and accurate. Each operation record, including those for operation permits, shall be signed in accordance with </w:t>
      </w:r>
      <w:r>
        <w:rPr>
          <w:rFonts w:ascii="Times New Roman" w:hAnsi="Times New Roman"/>
          <w:b w:val="false"/>
          <w:i w:val="false"/>
          <w:color w:val="000000"/>
          <w:sz w:val="22"/>
        </w:rPr>
        <w:t>40 CFR §122.22</w:t>
      </w:r>
      <w:r>
        <w:rPr>
          <w:rFonts w:ascii="Times New Roman" w:hAnsi="Times New Roman"/>
          <w:b w:val="false"/>
          <w:i w:val="false"/>
          <w:color w:val="000000"/>
          <w:sz w:val="22"/>
        </w:rPr>
        <w:t>. For electronic submissions of operation records, a signed paper copy of the record that was submitted electronically must be maintained at the facility for a minimum of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567—63.9</w:t>
      </w:r>
      <w:r>
        <w:rPr>
          <w:rFonts w:ascii="Times New Roman" w:hAnsi="Times New Roman"/>
          <w:b/>
          <w:i w:val="false"/>
          <w:color w:val="000000"/>
          <w:sz w:val="22"/>
        </w:rPr>
        <w:t xml:space="preserve">(455B) </w:t>
      </w:r>
      <w:r>
        <w:rPr>
          <w:rFonts w:ascii="Times New Roman" w:hAnsi="Times New Roman"/>
          <w:b/>
          <w:i w:val="false"/>
          <w:color w:val="000000"/>
          <w:sz w:val="22"/>
        </w:rPr>
        <w:t xml:space="preserve">Other reporting and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63.9(1)</w:t>
      </w:r>
      <w:r>
        <w:rPr>
          <w:rFonts w:ascii="Times New Roman" w:hAnsi="Times New Roman"/>
          <w:b w:val="false"/>
          <w:i w:val="false"/>
          <w:color w:val="000000"/>
          <w:sz w:val="22"/>
        </w:rPr>
        <w:t> </w:t>
      </w:r>
      <w:r>
        <w:rPr>
          <w:rFonts w:ascii="Times New Roman" w:hAnsi="Times New Roman"/>
          <w:b w:val="false"/>
          <w:i/>
          <w:color w:val="000000"/>
          <w:sz w:val="22"/>
        </w:rPr>
        <w:t xml:space="preserve">Twenty-four-hour reporting.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40 CFR §122.41(l)</w:t>
      </w:r>
      <w:r>
        <w:rPr>
          <w:rFonts w:ascii="Times New Roman" w:hAnsi="Times New Roman"/>
          <w:b w:val="false"/>
          <w:i w:val="false"/>
          <w:color w:val="000000"/>
          <w:sz w:val="22"/>
        </w:rPr>
        <w:t xml:space="preserve">(6), all permittees shall report any permit noncompliance that may endanger human health or the environment. Information shall be provided orally to the appropriate FO within 24 hours from the time the permittee becomes aware of the circumstances. In addition, a written submission containing the information required in </w:t>
      </w:r>
      <w:r>
        <w:rPr>
          <w:rFonts w:ascii="Times New Roman" w:hAnsi="Times New Roman"/>
          <w:b w:val="false"/>
          <w:i w:val="false"/>
          <w:color w:val="000000"/>
          <w:sz w:val="22"/>
        </w:rPr>
        <w:t>40 CFR §122.41(l)</w:t>
      </w:r>
      <w:r>
        <w:rPr>
          <w:rFonts w:ascii="Times New Roman" w:hAnsi="Times New Roman"/>
          <w:b w:val="false"/>
          <w:i w:val="false"/>
          <w:color w:val="000000"/>
          <w:sz w:val="22"/>
        </w:rPr>
        <w:t>(6)(i) must be provided to the appropriate FO within five days of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63.9(2)</w:t>
      </w:r>
      <w:r>
        <w:rPr>
          <w:rFonts w:ascii="Times New Roman" w:hAnsi="Times New Roman"/>
          <w:b w:val="false"/>
          <w:i w:val="false"/>
          <w:color w:val="000000"/>
          <w:sz w:val="22"/>
        </w:rPr>
        <w:t> </w:t>
      </w:r>
      <w:r>
        <w:rPr>
          <w:rFonts w:ascii="Times New Roman" w:hAnsi="Times New Roman"/>
          <w:b w:val="false"/>
          <w:i/>
          <w:color w:val="000000"/>
          <w:sz w:val="22"/>
        </w:rPr>
        <w:t xml:space="preserve">Planned changes.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40 CFR §122.41(l)</w:t>
      </w:r>
      <w:r>
        <w:rPr>
          <w:rFonts w:ascii="Times New Roman" w:hAnsi="Times New Roman"/>
          <w:b w:val="false"/>
          <w:i w:val="false"/>
          <w:color w:val="000000"/>
          <w:sz w:val="22"/>
        </w:rPr>
        <w:t>(1), a permittee shall give notice to the appropriate FO 30 days prior to any planned physical alterations or additions to the permitted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63.9(3)</w:t>
      </w:r>
      <w:r>
        <w:rPr>
          <w:rFonts w:ascii="Times New Roman" w:hAnsi="Times New Roman"/>
          <w:b w:val="false"/>
          <w:i w:val="false"/>
          <w:color w:val="000000"/>
          <w:sz w:val="22"/>
        </w:rPr>
        <w:t> </w:t>
      </w:r>
      <w:r>
        <w:rPr>
          <w:rFonts w:ascii="Times New Roman" w:hAnsi="Times New Roman"/>
          <w:b w:val="false"/>
          <w:i/>
          <w:color w:val="000000"/>
          <w:sz w:val="22"/>
        </w:rPr>
        <w:t xml:space="preserve">Anticipated noncompliance.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40 CFR §122.41(l)</w:t>
      </w:r>
      <w:r>
        <w:rPr>
          <w:rFonts w:ascii="Times New Roman" w:hAnsi="Times New Roman"/>
          <w:b w:val="false"/>
          <w:i w:val="false"/>
          <w:color w:val="000000"/>
          <w:sz w:val="22"/>
        </w:rPr>
        <w:t>(2), a permittee shall give advance notice to the appropriate FO of any activity which may result in noncompliance with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63.9(4)</w:t>
      </w:r>
      <w:r>
        <w:rPr>
          <w:rFonts w:ascii="Times New Roman" w:hAnsi="Times New Roman"/>
          <w:b w:val="false"/>
          <w:i w:val="false"/>
          <w:color w:val="000000"/>
          <w:sz w:val="22"/>
        </w:rPr>
        <w:t> </w:t>
      </w:r>
      <w:r>
        <w:rPr>
          <w:rFonts w:ascii="Times New Roman" w:hAnsi="Times New Roman"/>
          <w:b w:val="false"/>
          <w:i/>
          <w:color w:val="000000"/>
          <w:sz w:val="22"/>
        </w:rPr>
        <w:t xml:space="preserve">Other noncompliance.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40 CFR §122.41(l)</w:t>
      </w:r>
      <w:r>
        <w:rPr>
          <w:rFonts w:ascii="Times New Roman" w:hAnsi="Times New Roman"/>
          <w:b w:val="false"/>
          <w:i w:val="false"/>
          <w:color w:val="000000"/>
          <w:sz w:val="22"/>
        </w:rPr>
        <w:t xml:space="preserve">(7), a permittee shall provide a written description of all instances of noncompliance not reported under </w:t>
      </w:r>
      <w:hyperlink r:id="rId29">
        <w:r>
          <w:rPr>
            <w:rStyle w:val="Hyperlink"/>
            <w:rFonts w:ascii="Times New Roman" w:hAnsi="Times New Roman"/>
            <w:b w:val="false"/>
            <w:i w:val="false"/>
            <w:color w:val="000000"/>
            <w:sz w:val="22"/>
          </w:rPr>
          <w:t>63.9(1)</w:t>
        </w:r>
      </w:hyperlink>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567—subrule 60.7(4)</w:t>
        </w:r>
      </w:hyperlink>
      <w:r>
        <w:rPr>
          <w:rFonts w:ascii="Times New Roman" w:hAnsi="Times New Roman"/>
          <w:b w:val="false"/>
          <w:i w:val="false"/>
          <w:color w:val="000000"/>
          <w:sz w:val="22"/>
        </w:rPr>
        <w:t xml:space="preserve"> at the time operation records are submitted. The written description shall contain the information required in 40 CFR §122.41(l)(6)(i).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63.9(5)</w:t>
      </w:r>
      <w:r>
        <w:rPr>
          <w:rFonts w:ascii="Times New Roman" w:hAnsi="Times New Roman"/>
          <w:b w:val="false"/>
          <w:i w:val="false"/>
          <w:color w:val="000000"/>
          <w:sz w:val="22"/>
        </w:rPr>
        <w:t> </w:t>
      </w:r>
      <w:r>
        <w:rPr>
          <w:rFonts w:ascii="Times New Roman" w:hAnsi="Times New Roman"/>
          <w:b w:val="false"/>
          <w:i/>
          <w:color w:val="000000"/>
          <w:sz w:val="22"/>
        </w:rPr>
        <w:t xml:space="preserve">Notice exemption. </w:t>
      </w:r>
      <w:r>
        <w:rPr>
          <w:rFonts w:ascii="Times New Roman" w:hAnsi="Times New Roman"/>
          <w:b w:val="false"/>
          <w:i w:val="false"/>
          <w:color w:val="000000"/>
          <w:sz w:val="22"/>
        </w:rPr>
        <w:t>Notice under this subrule is only required when previous notice has not been given to any other section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63.9(6)</w:t>
      </w:r>
      <w:r>
        <w:rPr>
          <w:rFonts w:ascii="Times New Roman" w:hAnsi="Times New Roman"/>
          <w:b w:val="false"/>
          <w:i w:val="false"/>
          <w:color w:val="000000"/>
          <w:sz w:val="22"/>
        </w:rPr>
        <w:t> </w:t>
      </w:r>
      <w:r>
        <w:rPr>
          <w:rFonts w:ascii="Times New Roman" w:hAnsi="Times New Roman"/>
          <w:b w:val="false"/>
          <w:i/>
          <w:color w:val="000000"/>
          <w:sz w:val="22"/>
        </w:rPr>
        <w:t xml:space="preserve">Other information.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40 CFR §122.41(l)</w:t>
      </w:r>
      <w:r>
        <w:rPr>
          <w:rFonts w:ascii="Times New Roman" w:hAnsi="Times New Roman"/>
          <w:b w:val="false"/>
          <w:i w:val="false"/>
          <w:color w:val="000000"/>
          <w:sz w:val="22"/>
        </w:rPr>
        <w:t>(8), if a permittee becomes aware that it failed to submit any relevant facts in any report to the director, the permittee shall promptly submit such facts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63.9(7)</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other reporting and notice requirements in this rule apply to all NPDES permits and apply as specified in operation permits.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567—63.10</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procedures for monitoring wells. </w:t>
      </w:r>
      <w:r>
        <w:rPr>
          <w:rFonts w:ascii="Times New Roman" w:hAnsi="Times New Roman"/>
          <w:b w:val="false"/>
          <w:i w:val="false"/>
          <w:color w:val="000000"/>
          <w:sz w:val="22"/>
        </w:rPr>
        <w:t>The following steps shall be taken prior to monitoring well sampling.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63.10(1)</w:t>
      </w:r>
      <w:r>
        <w:rPr>
          <w:rFonts w:ascii="Times New Roman" w:hAnsi="Times New Roman"/>
          <w:b w:val="false"/>
          <w:i w:val="false"/>
          <w:color w:val="000000"/>
          <w:sz w:val="22"/>
        </w:rPr>
        <w:t> </w:t>
      </w:r>
      <w:r>
        <w:rPr>
          <w:rFonts w:ascii="Times New Roman" w:hAnsi="Times New Roman"/>
          <w:b w:val="false"/>
          <w:i w:val="false"/>
          <w:color w:val="000000"/>
          <w:sz w:val="22"/>
        </w:rPr>
        <w:t>Measure depth from top of well head casing to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63.10(2)</w:t>
      </w:r>
      <w:r>
        <w:rPr>
          <w:rFonts w:ascii="Times New Roman" w:hAnsi="Times New Roman"/>
          <w:b w:val="false"/>
          <w:i w:val="false"/>
          <w:color w:val="000000"/>
          <w:sz w:val="22"/>
        </w:rPr>
        <w:t> </w:t>
      </w:r>
      <w:r>
        <w:rPr>
          <w:rFonts w:ascii="Times New Roman" w:hAnsi="Times New Roman"/>
          <w:b w:val="false"/>
          <w:i w:val="false"/>
          <w:color w:val="000000"/>
          <w:sz w:val="22"/>
        </w:rPr>
        <w:t>Calculate quantity of water to be flushed from well using the formula:</w:t>
      </w:r>
    </w:p>
    <w:p>
      <w:pPr>
        <w:spacing w:before="0" w:after="0"/>
        <w:ind w:left="120"/>
        <w:jc w:val="both"/>
      </w:pPr>
      <w:r>
        <w:rPr>
          <w:rFonts w:ascii="Times New Roman" w:hAnsi="Times New Roman"/>
          <w:b w:val="false"/>
          <w:i w:val="false"/>
          <w:color w:val="000000"/>
          <w:sz w:val="22"/>
        </w:rPr>
        <w:t>Gallons to be pumped = 0.221 d(squared)h, where:</w:t>
      </w:r>
    </w:p>
    <w:p>
      <w:pPr>
        <w:spacing w:before="0" w:after="0"/>
        <w:ind w:left="120"/>
        <w:jc w:val="both"/>
      </w:pPr>
      <w:r>
        <w:rPr>
          <w:rFonts w:ascii="Times New Roman" w:hAnsi="Times New Roman"/>
          <w:b w:val="false"/>
          <w:i w:val="false"/>
          <w:color w:val="000000"/>
          <w:sz w:val="22"/>
        </w:rPr>
        <w:t>d = well diameter in inches</w:t>
      </w:r>
    </w:p>
    <w:p>
      <w:pPr>
        <w:spacing w:before="0" w:after="0"/>
        <w:ind w:left="120"/>
        <w:jc w:val="both"/>
      </w:pPr>
      <w:r>
        <w:rPr>
          <w:rFonts w:ascii="Times New Roman" w:hAnsi="Times New Roman"/>
          <w:b w:val="false"/>
          <w:i w:val="false"/>
          <w:color w:val="000000"/>
          <w:sz w:val="22"/>
        </w:rPr>
        <w:t>h = depth in feet of standing water in well prior to pumping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63.10(3)</w:t>
      </w:r>
      <w:r>
        <w:rPr>
          <w:rFonts w:ascii="Times New Roman" w:hAnsi="Times New Roman"/>
          <w:b w:val="false"/>
          <w:i w:val="false"/>
          <w:color w:val="000000"/>
          <w:sz w:val="22"/>
        </w:rPr>
        <w:t> </w:t>
      </w:r>
      <w:r>
        <w:rPr>
          <w:rFonts w:ascii="Times New Roman" w:hAnsi="Times New Roman"/>
          <w:b w:val="false"/>
          <w:i w:val="false"/>
          <w:color w:val="000000"/>
          <w:sz w:val="22"/>
        </w:rPr>
        <w:t>Pump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63.10(4)</w:t>
      </w:r>
      <w:r>
        <w:rPr>
          <w:rFonts w:ascii="Times New Roman" w:hAnsi="Times New Roman"/>
          <w:b w:val="false"/>
          <w:i w:val="false"/>
          <w:color w:val="000000"/>
          <w:sz w:val="22"/>
        </w:rPr>
        <w:t> </w:t>
      </w:r>
      <w:r>
        <w:rPr>
          <w:rFonts w:ascii="Times New Roman" w:hAnsi="Times New Roman"/>
          <w:b w:val="false"/>
          <w:i w:val="false"/>
          <w:color w:val="000000"/>
          <w:sz w:val="22"/>
        </w:rPr>
        <w:t>Measure depth from well head casing to water table after pumping.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63.10(5)</w:t>
      </w:r>
      <w:r>
        <w:rPr>
          <w:rFonts w:ascii="Times New Roman" w:hAnsi="Times New Roman"/>
          <w:b w:val="false"/>
          <w:i w:val="false"/>
          <w:color w:val="000000"/>
          <w:sz w:val="22"/>
        </w:rPr>
        <w:t> </w:t>
      </w:r>
      <w:r>
        <w:rPr>
          <w:rFonts w:ascii="Times New Roman" w:hAnsi="Times New Roman"/>
          <w:b w:val="false"/>
          <w:i w:val="false"/>
          <w:color w:val="000000"/>
          <w:sz w:val="22"/>
        </w:rPr>
        <w:t>Wait for well to recharge to or near static water level prior to sampling.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ageBreakBefore/>
        <w:spacing w:before="0" w:after="0"/>
        <w:ind w:left="120"/>
        <w:jc w:val="both"/>
      </w:pPr>
    </w:p>
    <w:p>
      <w:pPr>
        <w:spacing w:before="60" w:after="0"/>
        <w:ind w:left="120"/>
        <w:jc w:val="center"/>
      </w:pPr>
      <w:r>
        <w:rPr>
          <w:rFonts w:ascii="Times New Roman" w:hAnsi="Times New Roman"/>
          <w:b/>
          <w:i w:val="false"/>
          <w:color w:val="000000"/>
          <w:sz w:val="22"/>
        </w:rPr>
        <w:t>Table I — Minimum Self-Monitoring in Permits for Organic Waste Dischargers</w:t>
      </w:r>
    </w:p>
    <w:p>
      <w:pPr>
        <w:spacing w:before="60" w:after="0"/>
        <w:ind w:left="120"/>
        <w:jc w:val="center"/>
      </w:pPr>
      <w:r>
        <w:rPr>
          <w:rFonts w:ascii="Times New Roman" w:hAnsi="Times New Roman"/>
          <w:b/>
          <w:i w:val="false"/>
          <w:color w:val="000000"/>
          <w:sz w:val="22"/>
        </w:rPr>
        <w:t>Controlled Discharge Wastewater Treatment Plants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151"/>
        <w:gridCol w:w="1728"/>
        <w:gridCol w:w="1728"/>
        <w:gridCol w:w="1728"/>
        <w:gridCol w:w="1728"/>
        <w:gridCol w:w="1728"/>
        <w:gridCol w:w="1728"/>
        <w:gridCol w:w="1"/>
      </w:tblGrid>
      <w:tr>
        <w:trPr>
          <w:trHeight w:val="240" w:hRule="atLeast"/>
        </w:trPr>
        <w:tc>
          <w:tcPr>
            <w:tcW w:w="115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4"/>
              </w:rPr>
              <w:t>Wastewater Parameter</w:t>
            </w:r>
          </w:p>
        </w:tc>
        <w:tc>
          <w:tcPr>
            <w:tcW w:w="172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val="false"/>
                <w:color w:val="000000"/>
                <w:sz w:val="14"/>
              </w:rPr>
              <w:t>Sampling</w:t>
            </w:r>
            <w:r>
              <w:rPr>
                <w:rFonts w:ascii="Times New Roman" w:hAnsi="Times New Roman"/>
                <w:b/>
                <w:i w:val="false"/>
                <w:color w:val="000000"/>
                <w:sz w:val="18"/>
                <w:vertAlign w:val="superscript"/>
              </w:rPr>
              <w:t>5</w:t>
            </w:r>
          </w:p>
          <w:p>
            <w:pPr>
              <w:spacing w:before="0" w:after="0"/>
              <w:ind w:left="160"/>
              <w:jc w:val="center"/>
            </w:pPr>
            <w:r>
              <w:rPr>
                <w:rFonts w:ascii="Times New Roman" w:hAnsi="Times New Roman"/>
                <w:b/>
                <w:i w:val="false"/>
                <w:color w:val="000000"/>
                <w:sz w:val="14"/>
              </w:rPr>
              <w:t>Location</w:t>
            </w:r>
          </w:p>
        </w:tc>
        <w:tc>
          <w:tcPr>
            <w:tcW w:w="172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4"/>
              </w:rPr>
              <w:t>Sample Type</w:t>
            </w:r>
            <w:r>
              <w:rPr>
                <w:rFonts w:ascii="Times New Roman" w:hAnsi="Times New Roman"/>
                <w:b/>
                <w:i w:val="false"/>
                <w:color w:val="000000"/>
                <w:sz w:val="18"/>
                <w:vertAlign w:val="superscript"/>
              </w:rPr>
              <w:t>4</w:t>
            </w:r>
          </w:p>
        </w:tc>
        <w:tc>
          <w:tcPr>
            <w:tcW w:w="0" w:type="auto"/>
            <w:gridSpan w:val="4"/>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4"/>
              </w:rPr>
              <w:t>Frequency by PE</w:t>
            </w:r>
            <w:r>
              <w:rPr>
                <w:rFonts w:ascii="Times New Roman" w:hAnsi="Times New Roman"/>
                <w:b/>
                <w:i w:val="false"/>
                <w:color w:val="000000"/>
                <w:sz w:val="18"/>
                <w:vertAlign w:val="superscript"/>
              </w:rPr>
              <w:t>1,5,6</w:t>
            </w:r>
          </w:p>
        </w:tc>
      </w:tr>
      <w:tr>
        <w:trPr>
          <w:trHeight w:val="21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4"/>
              </w:rPr>
              <w:t>&lt;100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4"/>
              </w:rPr>
              <w:t>101-500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4"/>
              </w:rPr>
              <w:t>501-1,000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4"/>
              </w:rPr>
              <w:t>&gt;1,001</w:t>
            </w:r>
          </w:p>
        </w:tc>
      </w:tr>
      <w:tr>
        <w:trPr>
          <w:trHeight w:val="210" w:hRule="atLeast"/>
        </w:trPr>
        <w:tc>
          <w:tcPr>
            <w:tcW w:w="115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Flow</w:t>
            </w:r>
            <w:r>
              <w:rPr>
                <w:rFonts w:ascii="Times New Roman" w:hAnsi="Times New Roman"/>
                <w:b w:val="false"/>
                <w:i w:val="false"/>
                <w:color w:val="000000"/>
                <w:sz w:val="18"/>
                <w:vertAlign w:val="superscript"/>
              </w:rPr>
              <w:t>2</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Raw</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24-Hr Total</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Daily</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Daily</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Daily</w:t>
            </w:r>
          </w:p>
        </w:tc>
      </w:tr>
      <w:tr>
        <w:trPr>
          <w:trHeight w:val="360" w:hRule="atLeast"/>
        </w:trPr>
        <w:tc>
          <w:tcPr>
            <w:tcW w:w="0" w:type="auto"/>
            <w:vMerge/>
            <w:tcBorders>
              <w:top w:val="nil"/>
              <w:bottom w:val="single" w:color="000000" w:sz="8"/>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Instantaneous</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2/Week During Drawdown</w:t>
            </w:r>
          </w:p>
        </w:tc>
        <w:tc>
          <w:tcPr>
            <w:tcW w:w="0" w:type="auto"/>
            <w:gridSpan w:val="4"/>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Daily During Drawdown</w:t>
            </w:r>
          </w:p>
        </w:tc>
      </w:tr>
      <w:tr>
        <w:trPr>
          <w:trHeight w:val="255" w:hRule="atLeast"/>
        </w:trPr>
        <w:tc>
          <w:tcPr>
            <w:tcW w:w="1151"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BOD</w:t>
            </w:r>
            <w:r>
              <w:rPr>
                <w:rFonts w:ascii="Times New Roman" w:hAnsi="Times New Roman"/>
                <w:b w:val="false"/>
                <w:i w:val="false"/>
                <w:color w:val="000000"/>
                <w:sz w:val="18"/>
                <w:vertAlign w:val="subscript"/>
              </w:rPr>
              <w:t>5</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Raw</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24-Hr Composite</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1/3 Months</w:t>
            </w:r>
          </w:p>
        </w:tc>
      </w:tr>
      <w:tr>
        <w:trPr>
          <w:trHeight w:val="240" w:hRule="atLeast"/>
        </w:trPr>
        <w:tc>
          <w:tcPr>
            <w:tcW w:w="115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CBOD</w:t>
            </w:r>
            <w:r>
              <w:rPr>
                <w:rFonts w:ascii="Times New Roman" w:hAnsi="Times New Roman"/>
                <w:b w:val="false"/>
                <w:i w:val="false"/>
                <w:color w:val="000000"/>
                <w:sz w:val="18"/>
                <w:vertAlign w:val="subscript"/>
              </w:rPr>
              <w:t>5</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Cell Contents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Grab</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At least two weeks prior to drawdown</w:t>
            </w:r>
            <w:r>
              <w:rPr>
                <w:rFonts w:ascii="Times New Roman" w:hAnsi="Times New Roman"/>
                <w:b w:val="false"/>
                <w:i w:val="false"/>
                <w:color w:val="000000"/>
                <w:sz w:val="18"/>
                <w:vertAlign w:val="superscript"/>
              </w:rPr>
              <w:t>3</w:t>
            </w:r>
          </w:p>
        </w:tc>
      </w:tr>
      <w:tr>
        <w:trPr>
          <w:trHeight w:val="240" w:hRule="atLeast"/>
        </w:trPr>
        <w:tc>
          <w:tcPr>
            <w:tcW w:w="0" w:type="auto"/>
            <w:vMerge/>
            <w:tcBorders>
              <w:top w:val="nil"/>
              <w:bottom w:val="single" w:color="000000" w:sz="8"/>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r>
              <w:rPr>
                <w:rFonts w:ascii="Times New Roman" w:hAnsi="Times New Roman"/>
                <w:b w:val="false"/>
                <w:i w:val="false"/>
                <w:color w:val="000000"/>
                <w:sz w:val="18"/>
                <w:vertAlign w:val="superscript"/>
              </w:rPr>
              <w:t>7</w:t>
            </w:r>
          </w:p>
        </w:tc>
        <w:tc>
          <w:tcPr>
            <w:tcW w:w="0" w:type="auto"/>
            <w:gridSpan w:val="4"/>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r>
        <w:trPr>
          <w:trHeight w:val="240" w:hRule="atLeast"/>
        </w:trPr>
        <w:tc>
          <w:tcPr>
            <w:tcW w:w="115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Total Suspended Solids (TSS)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Cell Contents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Grab</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At least two weeks prior to drawdown</w:t>
            </w:r>
            <w:r>
              <w:rPr>
                <w:rFonts w:ascii="Times New Roman" w:hAnsi="Times New Roman"/>
                <w:b w:val="false"/>
                <w:i w:val="false"/>
                <w:color w:val="000000"/>
                <w:sz w:val="18"/>
                <w:vertAlign w:val="superscript"/>
              </w:rPr>
              <w:t>3</w:t>
            </w:r>
          </w:p>
        </w:tc>
      </w:tr>
      <w:tr>
        <w:trPr>
          <w:trHeight w:val="210" w:hRule="atLeast"/>
        </w:trPr>
        <w:tc>
          <w:tcPr>
            <w:tcW w:w="0" w:type="auto"/>
            <w:vMerge/>
            <w:tcBorders>
              <w:top w:val="nil"/>
              <w:bottom w:val="single" w:color="000000" w:sz="8"/>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Raw</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24-Hr Composite</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1/3 Months</w:t>
            </w:r>
          </w:p>
        </w:tc>
      </w:tr>
      <w:tr>
        <w:trPr>
          <w:trHeight w:val="240" w:hRule="atLeast"/>
        </w:trPr>
        <w:tc>
          <w:tcPr>
            <w:tcW w:w="0" w:type="auto"/>
            <w:vMerge/>
            <w:tcBorders>
              <w:top w:val="nil"/>
              <w:bottom w:val="single" w:color="000000" w:sz="8"/>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r>
              <w:rPr>
                <w:rFonts w:ascii="Times New Roman" w:hAnsi="Times New Roman"/>
                <w:b w:val="false"/>
                <w:i w:val="false"/>
                <w:color w:val="000000"/>
                <w:sz w:val="18"/>
                <w:vertAlign w:val="superscript"/>
              </w:rPr>
              <w:t>7</w:t>
            </w:r>
          </w:p>
        </w:tc>
        <w:tc>
          <w:tcPr>
            <w:tcW w:w="0" w:type="auto"/>
            <w:gridSpan w:val="4"/>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r>
        <w:trPr>
          <w:trHeight w:val="525" w:hRule="atLeast"/>
        </w:trPr>
        <w:tc>
          <w:tcPr>
            <w:tcW w:w="1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Ammonia Nitrogen (NH3-N)</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0" w:type="auto"/>
            <w:gridSpan w:val="3"/>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r>
        <w:trPr>
          <w:trHeight w:val="210" w:hRule="atLeast"/>
        </w:trPr>
        <w:tc>
          <w:tcPr>
            <w:tcW w:w="1151"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color w:val="000000"/>
                <w:sz w:val="14"/>
              </w:rPr>
              <w:t>E.</w:t>
            </w:r>
            <w:r>
              <w:rPr>
                <w:rFonts w:ascii="Times New Roman" w:hAnsi="Times New Roman"/>
                <w:b w:val="false"/>
                <w:i/>
                <w:color w:val="000000"/>
                <w:sz w:val="14"/>
              </w:rPr>
              <w:t> </w:t>
            </w:r>
          </w:p>
          <w:p>
            <w:pPr>
              <w:spacing w:before="0" w:after="0"/>
              <w:ind w:left="0"/>
              <w:jc w:val="left"/>
            </w:pPr>
            <w:r>
              <w:rPr>
                <w:rFonts w:ascii="Times New Roman" w:hAnsi="Times New Roman"/>
                <w:b w:val="false"/>
                <w:i/>
                <w:color w:val="000000"/>
                <w:sz w:val="14"/>
              </w:rPr>
              <w:t>coli</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0" w:type="auto"/>
            <w:gridSpan w:val="4"/>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r>
        <w:trPr>
          <w:trHeight w:val="210" w:hRule="atLeast"/>
        </w:trPr>
        <w:tc>
          <w:tcPr>
            <w:tcW w:w="115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pH</w:t>
            </w:r>
            <w:r>
              <w:rPr>
                <w:rFonts w:ascii="Times New Roman" w:hAnsi="Times New Roman"/>
                <w:b w:val="false"/>
                <w:i w:val="false"/>
                <w:color w:val="000000"/>
                <w:sz w:val="18"/>
                <w:vertAlign w:val="superscript"/>
              </w:rPr>
              <w:t>8</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Raw</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1/3 Months</w:t>
            </w:r>
          </w:p>
        </w:tc>
      </w:tr>
      <w:tr>
        <w:trPr>
          <w:trHeight w:val="360" w:hRule="atLeast"/>
        </w:trPr>
        <w:tc>
          <w:tcPr>
            <w:tcW w:w="0" w:type="auto"/>
            <w:vMerge/>
            <w:tcBorders>
              <w:top w:val="nil"/>
              <w:bottom w:val="single" w:color="000000" w:sz="8"/>
              <w:right w:val="single" w:color="000000" w:sz="8"/>
            </w:tcBorders>
          </w:tcP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 During Drawdown</w:t>
            </w:r>
          </w:p>
        </w:tc>
      </w:tr>
      <w:tr>
        <w:trPr>
          <w:trHeight w:val="240" w:hRule="atLeast"/>
        </w:trPr>
        <w:tc>
          <w:tcPr>
            <w:tcW w:w="1151"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4"/>
              </w:rPr>
              <w:t>Cell Depth</w:t>
            </w:r>
            <w:r>
              <w:rPr>
                <w:rFonts w:ascii="Times New Roman" w:hAnsi="Times New Roman"/>
                <w:b w:val="false"/>
                <w:i w:val="false"/>
                <w:color w:val="000000"/>
                <w:sz w:val="18"/>
                <w:vertAlign w:val="superscript"/>
              </w:rPr>
              <w:t>9</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Each Cell</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Measurement</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w:t>
            </w:r>
          </w:p>
        </w:tc>
        <w:tc>
          <w:tcPr>
            <w:tcW w:w="172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1/Week</w:t>
            </w:r>
          </w:p>
        </w:tc>
        <w:tc>
          <w:tcPr>
            <w:tcW w:w="1728"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2/Week</w:t>
            </w:r>
          </w:p>
        </w:tc>
      </w:tr>
      <w:tr>
        <w:trPr>
          <w:trHeight w:val="705" w:hRule="atLeast"/>
        </w:trPr>
        <w:tc>
          <w:tcPr>
            <w:tcW w:w="1151"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4"/>
              </w:rPr>
              <w:t>Total Residual Chlorine (TRC)</w:t>
            </w:r>
            <w:r>
              <w:rPr>
                <w:rFonts w:ascii="Times New Roman" w:hAnsi="Times New Roman"/>
                <w:b w:val="false"/>
                <w:i w:val="false"/>
                <w:color w:val="000000"/>
                <w:sz w:val="18"/>
                <w:vertAlign w:val="superscript"/>
              </w:rPr>
              <w:t>10</w:t>
            </w:r>
          </w:p>
        </w:tc>
        <w:tc>
          <w:tcPr>
            <w:tcW w:w="1728"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Final</w:t>
            </w:r>
          </w:p>
        </w:tc>
        <w:tc>
          <w:tcPr>
            <w:tcW w:w="1728"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Grab</w:t>
            </w:r>
          </w:p>
        </w:tc>
        <w:tc>
          <w:tcPr>
            <w:tcW w:w="1728"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1728"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1/Drawdown</w:t>
            </w:r>
          </w:p>
        </w:tc>
        <w:tc>
          <w:tcPr>
            <w:tcW w:w="0" w:type="auto"/>
            <w:gridSpan w:val="2"/>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4"/>
              </w:rPr>
              <w:t>Twice during drawdown</w:t>
            </w:r>
          </w:p>
        </w:tc>
      </w:tr>
    </w:tbl>
    <w:tbl>
      <w:tblPr>
        <w:tblW w:w="5000" w:type="pct"/>
        <w:tblCellSpacing w:w="0" w:type="auto"/>
        <w:tblBorders>
          <w:top w:val="none"/>
          <w:left w:val="none"/>
          <w:bottom w:val="none"/>
          <w:right w:val="none"/>
          <w:insideH w:val="none"/>
          <w:insideV w:val="none"/>
        </w:tblBorders>
      </w:tblPr>
      <w:tblGrid>
        <w:gridCol w:w="576"/>
        <w:gridCol w:w="576"/>
        <w:gridCol w:w="10368"/>
      </w:tblGrid>
      <w:tr>
        <w:trPr>
          <w:trHeight w:val="69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The PE (population equivalent) shall be computed on the basis of the original engineering design criteria for the facility and any modifications thereof. Where such design criteria are not available, the PE shall be computed using 0.167 pounds of BOD</w:t>
            </w:r>
            <w:r>
              <w:rPr>
                <w:rFonts w:ascii="Times New Roman" w:hAnsi="Times New Roman"/>
                <w:b w:val="false"/>
                <w:i w:val="false"/>
                <w:color w:val="000000"/>
                <w:sz w:val="18"/>
                <w:vertAlign w:val="subscript"/>
              </w:rPr>
              <w:t>5</w:t>
            </w:r>
            <w:r>
              <w:rPr>
                <w:rFonts w:ascii="Times New Roman" w:hAnsi="Times New Roman"/>
                <w:b w:val="false"/>
                <w:i w:val="false"/>
                <w:color w:val="000000"/>
                <w:sz w:val="18"/>
              </w:rPr>
              <w:t xml:space="preserve"> per capita per day.</w:t>
            </w:r>
          </w:p>
        </w:tc>
      </w:tr>
      <w:tr>
        <w:trPr>
          <w:trHeight w:val="10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Facilities serving a PE less than 100 are not required to provide continuous flow measurement but are required to provide manual flow measurement at the specified frequency. Facilities serving a PE greater than 100 must provide continuous flow measurement of the raw waste but need only provide manual flow measurement of the final effluent. Acceptable flow measurement and recording techniques shall be those described in the Iowa Wastewater Facilities Design Standards, effective June 18, 2025.</w:t>
            </w:r>
          </w:p>
        </w:tc>
      </w:tr>
      <w:tr>
        <w:trPr>
          <w:trHeight w:val="156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The sampling that is required at least two weeks prior to lagoon drawdown (pre-discharge sampling) shall be collected at a point near the outlet structure and analyzed at least two weeks prior to an anticipated discharge to demonstrate that the wastewater is of such quality to meet the effluent limitations in the permit. The CBOD</w:t>
            </w:r>
            <w:r>
              <w:rPr>
                <w:rFonts w:ascii="Times New Roman" w:hAnsi="Times New Roman"/>
                <w:b w:val="false"/>
                <w:i w:val="false"/>
                <w:color w:val="000000"/>
                <w:sz w:val="18"/>
                <w:vertAlign w:val="subscript"/>
              </w:rPr>
              <w:t>5</w:t>
            </w:r>
            <w:r>
              <w:rPr>
                <w:rFonts w:ascii="Times New Roman" w:hAnsi="Times New Roman"/>
                <w:b w:val="false"/>
                <w:i w:val="false"/>
                <w:color w:val="000000"/>
                <w:sz w:val="18"/>
              </w:rPr>
              <w:t xml:space="preserve"> and TSS results must be compared with the 30-day average effluent limits. If the results are less than the 30-day average limits, the permittee may isolate the final cell and draw down the lagoon cell. If the pre-discharge sample results exceed the 30-day average effluent limits for either CBOD</w:t>
            </w:r>
            <w:r>
              <w:rPr>
                <w:rFonts w:ascii="Times New Roman" w:hAnsi="Times New Roman"/>
                <w:b w:val="false"/>
                <w:i w:val="false"/>
                <w:color w:val="000000"/>
                <w:sz w:val="18"/>
                <w:vertAlign w:val="subscript"/>
              </w:rPr>
              <w:t>5</w:t>
            </w:r>
            <w:r>
              <w:rPr>
                <w:rFonts w:ascii="Times New Roman" w:hAnsi="Times New Roman"/>
                <w:b w:val="false"/>
                <w:i w:val="false"/>
                <w:color w:val="000000"/>
                <w:sz w:val="18"/>
              </w:rPr>
              <w:t xml:space="preserve"> or TSS, the permittee must contact the appropriate FO for guidance before beginning to discharge. </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4 -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Sample types are defined as follows:</w:t>
            </w:r>
          </w:p>
        </w:tc>
      </w:tr>
      <w:tr>
        <w:trPr>
          <w:trHeight w:val="4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“Grab Sample” means a representative, discrete portion of sewage, industrial waste, other waste, surface water or groundwater taken without regard to flow rate.</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“24-Hour Composite” means:</w:t>
            </w:r>
          </w:p>
        </w:tc>
      </w:tr>
      <w:tr>
        <w:trPr>
          <w:trHeight w:val="10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 sample made by collecting a minimum of six grab samples taken four hours apart and combined in proportion to the flow rate at the time each grab sample was collected, unless otherwise noted in b. Generally, grab samples should be collected at 8 a.m., 12 p.m. (noon), 4 p.m., 8 p.m., 12 a.m. (midnight), and 4 a.m. on weekdays (Monday through Friday) unless local conditions indicate another more appropriate time for sample collection.</w:t>
            </w:r>
          </w:p>
        </w:tc>
      </w:tr>
      <w:tr>
        <w:trPr>
          <w:trHeight w:val="10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 a POTW with an SIU, a sample made by collecting a minimum of 12 grab samples taken two hours apart and combined in proportion to the flow rate at the time each grab sample was collected. Generally, grab samples should be collected at 8 a.m., 10 a.m., 12 p.m. (noon), 2 p.m., 4 p.m., 6 p.m., 8 p.m., 10 p.m., 12 a.m. (midnight), 2 a.m., 4 a.m., and 6 a.m. on weekdays (Monday through Friday) unless local conditions indicate another more appropriate time for sample collection.</w:t>
            </w:r>
          </w:p>
        </w:tc>
      </w:tr>
      <w:tr>
        <w:trPr>
          <w:trHeight w:val="4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 automatic composite sampling device may also be used for collection of flow-proportioned or time-proportioned composite samples.</w:t>
            </w:r>
          </w:p>
        </w:tc>
      </w:tr>
      <w:tr>
        <w:trPr>
          <w:trHeight w:val="141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Raw wastewater samples shall be taken continuously (year-round) at the specified frequency. Final effluent wastewater samples shall be taken only during the drawdown period. The first final effluent sample shall be taken the third day after the drawdown begins, and subsequent samples shall be taken at the specified frequencies. For final effluent samples that are required to be taken twice during drawdown, the first sample shall be taken the third day after the drawdown begins, and the second sample shall be taken between three and five days before the drawdown ends.</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If a facility has a PE greater than 3,000 or an SIU, additional monitoring may be required.</w:t>
            </w:r>
          </w:p>
        </w:tc>
      </w:tr>
      <w:tr>
        <w:trPr>
          <w:trHeight w:val="49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7 -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One-cell controlled discharge lagoon facilities with a PE less than 100 must perform final effluent sampling for CBOD</w:t>
            </w:r>
            <w:r>
              <w:rPr>
                <w:rFonts w:ascii="Times New Roman" w:hAnsi="Times New Roman"/>
                <w:b w:val="false"/>
                <w:i w:val="false"/>
                <w:color w:val="000000"/>
                <w:sz w:val="18"/>
                <w:vertAlign w:val="subscript"/>
              </w:rPr>
              <w:t>5</w:t>
            </w:r>
            <w:r>
              <w:rPr>
                <w:rFonts w:ascii="Times New Roman" w:hAnsi="Times New Roman"/>
                <w:b w:val="false"/>
                <w:i w:val="false"/>
                <w:color w:val="000000"/>
                <w:sz w:val="18"/>
              </w:rPr>
              <w:t xml:space="preserve"> and TSS twice during drawdown in accordance with superscript #5.</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pH can be monitored using electrometric measurement or an automated electrode, pursuant to </w:t>
            </w:r>
            <w:r>
              <w:rPr>
                <w:rFonts w:ascii="Times New Roman" w:hAnsi="Times New Roman"/>
                <w:b w:val="false"/>
                <w:i w:val="false"/>
                <w:color w:val="000000"/>
                <w:sz w:val="18"/>
              </w:rPr>
              <w:t>40 CFR Part 136</w:t>
            </w:r>
            <w:r>
              <w:rPr>
                <w:rFonts w:ascii="Times New Roman" w:hAnsi="Times New Roman"/>
                <w:b w:val="false"/>
                <w:i w:val="false"/>
                <w:color w:val="000000"/>
                <w:sz w:val="18"/>
              </w:rPr>
              <w:t>.</w:t>
            </w:r>
          </w:p>
        </w:tc>
      </w:tr>
      <w:tr>
        <w:trPr>
          <w:trHeight w:val="4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9 -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Cell Depth monitoring must be conducted year-round (not exclusively during drawdown periods). It may be applied to lagoon cells at continuous discharge wastewater treatment facilities on a case-by-case basis.</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TRC monitoring is only required for facilities with TRC effluent limitations.</w:t>
            </w:r>
          </w:p>
        </w:tc>
      </w:tr>
    </w:tbl>
    <w:p>
      <w:pPr>
        <w:spacing w:before="60" w:after="0"/>
        <w:ind w:left="120"/>
        <w:jc w:val="center"/>
      </w:pPr>
      <w:r>
        <w:rPr>
          <w:rFonts w:ascii="Times New Roman" w:hAnsi="Times New Roman"/>
          <w:b/>
          <w:i w:val="false"/>
          <w:color w:val="000000"/>
          <w:sz w:val="22"/>
        </w:rPr>
        <w:t>Table II — Minimum Self-Monitoring in Permits for Organic Waste Dischargers</w:t>
      </w:r>
    </w:p>
    <w:p>
      <w:pPr>
        <w:spacing w:before="60" w:after="0"/>
        <w:ind w:left="120"/>
        <w:jc w:val="center"/>
      </w:pPr>
      <w:r>
        <w:rPr>
          <w:rFonts w:ascii="Times New Roman" w:hAnsi="Times New Roman"/>
          <w:b/>
          <w:i w:val="false"/>
          <w:color w:val="000000"/>
          <w:sz w:val="22"/>
        </w:rPr>
        <w:t>Continuous Discharge Wastewater Treatment Plants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Pr>
      <w:tblGrid>
        <w:gridCol w:w="1383"/>
        <w:gridCol w:w="1268"/>
        <w:gridCol w:w="1267"/>
        <w:gridCol w:w="1267"/>
        <w:gridCol w:w="1267"/>
        <w:gridCol w:w="1267"/>
        <w:gridCol w:w="1267"/>
        <w:gridCol w:w="1267"/>
        <w:gridCol w:w="1267"/>
      </w:tblGrid>
      <w:tr>
        <w:trPr>
          <w:trHeight w:val="210" w:hRule="atLeast"/>
        </w:trPr>
        <w:tc>
          <w:tcPr>
            <w:tcW w:w="138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i w:val="false"/>
                <w:color w:val="000000"/>
                <w:sz w:val="12"/>
              </w:rPr>
              <w:t>Wastewater</w:t>
            </w:r>
          </w:p>
          <w:p>
            <w:pPr>
              <w:spacing w:before="0" w:after="0"/>
              <w:ind w:left="160"/>
              <w:jc w:val="both"/>
            </w:pPr>
            <w:r>
              <w:rPr>
                <w:rFonts w:ascii="Times New Roman" w:hAnsi="Times New Roman"/>
                <w:b/>
                <w:i w:val="false"/>
                <w:color w:val="000000"/>
                <w:sz w:val="12"/>
              </w:rPr>
              <w:t>Parameter</w:t>
            </w:r>
          </w:p>
        </w:tc>
        <w:tc>
          <w:tcPr>
            <w:tcW w:w="126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12"/>
              </w:rPr>
              <w:t xml:space="preserve">Sampling Location </w:t>
            </w:r>
          </w:p>
        </w:tc>
        <w:tc>
          <w:tcPr>
            <w:tcW w:w="1267"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val="false"/>
                <w:color w:val="000000"/>
                <w:sz w:val="12"/>
              </w:rPr>
              <w:t>Sample</w:t>
            </w:r>
          </w:p>
          <w:p>
            <w:pPr>
              <w:spacing w:before="0" w:after="0"/>
              <w:ind w:left="160"/>
              <w:jc w:val="center"/>
            </w:pPr>
            <w:r>
              <w:rPr>
                <w:rFonts w:ascii="Times New Roman" w:hAnsi="Times New Roman"/>
                <w:b/>
                <w:i w:val="false"/>
                <w:color w:val="000000"/>
                <w:sz w:val="12"/>
              </w:rPr>
              <w:t>Type</w:t>
            </w:r>
            <w:r>
              <w:rPr>
                <w:rFonts w:ascii="Times New Roman" w:hAnsi="Times New Roman"/>
                <w:b/>
                <w:i w:val="false"/>
                <w:color w:val="000000"/>
                <w:sz w:val="18"/>
                <w:vertAlign w:val="superscript"/>
              </w:rPr>
              <w:t>3,11</w:t>
            </w:r>
          </w:p>
        </w:tc>
        <w:tc>
          <w:tcPr>
            <w:tcW w:w="0" w:type="auto"/>
            <w:gridSpan w:val="6"/>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2"/>
              </w:rPr>
              <w:t>Frequency by PE</w:t>
            </w:r>
            <w:r>
              <w:rPr>
                <w:rFonts w:ascii="Times New Roman" w:hAnsi="Times New Roman"/>
                <w:b/>
                <w:i w:val="false"/>
                <w:color w:val="000000"/>
                <w:sz w:val="18"/>
                <w:vertAlign w:val="superscript"/>
              </w:rPr>
              <w:t>1,6</w:t>
            </w:r>
          </w:p>
        </w:tc>
      </w:tr>
      <w:tr>
        <w:trPr>
          <w:trHeight w:val="180"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 100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101-500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501-1,000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1,001-3,000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3,001-15,000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2"/>
              </w:rPr>
              <w:t>&gt;15,001</w:t>
            </w:r>
          </w:p>
        </w:tc>
      </w:tr>
      <w:tr>
        <w:trPr>
          <w:trHeight w:val="210"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2"/>
              </w:rPr>
              <w:t>Flow</w:t>
            </w:r>
            <w:r>
              <w:rPr>
                <w:rFonts w:ascii="Times New Roman" w:hAnsi="Times New Roman"/>
                <w:b w:val="false"/>
                <w:i w:val="false"/>
                <w:color w:val="000000"/>
                <w:sz w:val="18"/>
                <w:vertAlign w:val="superscript"/>
              </w:rPr>
              <w:t>2</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 or Final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Total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Daily</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BOD</w:t>
            </w:r>
            <w:r>
              <w:rPr>
                <w:rFonts w:ascii="Times New Roman" w:hAnsi="Times New Roman"/>
                <w:b w:val="false"/>
                <w:i w:val="false"/>
                <w:color w:val="000000"/>
                <w:sz w:val="18"/>
                <w:vertAlign w:val="subscript"/>
              </w:rPr>
              <w:t>5</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1/6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CBOD</w:t>
            </w:r>
            <w:r>
              <w:rPr>
                <w:rFonts w:ascii="Times New Roman" w:hAnsi="Times New Roman"/>
                <w:b w:val="false"/>
                <w:i w:val="false"/>
                <w:color w:val="000000"/>
                <w:sz w:val="18"/>
                <w:vertAlign w:val="subscript"/>
              </w:rPr>
              <w:t>5</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r>
      <w:tr>
        <w:trPr>
          <w:trHeight w:val="210" w:hRule="atLeast"/>
        </w:trPr>
        <w:tc>
          <w:tcPr>
            <w:tcW w:w="138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Total</w:t>
            </w:r>
          </w:p>
          <w:p>
            <w:pPr>
              <w:spacing w:before="0" w:after="0"/>
              <w:ind w:left="160"/>
              <w:jc w:val="both"/>
            </w:pPr>
            <w:r>
              <w:rPr>
                <w:rFonts w:ascii="Times New Roman" w:hAnsi="Times New Roman"/>
                <w:b w:val="false"/>
                <w:i w:val="false"/>
                <w:color w:val="000000"/>
                <w:sz w:val="12"/>
              </w:rPr>
              <w:t>Suspended</w:t>
            </w:r>
          </w:p>
          <w:p>
            <w:pPr>
              <w:spacing w:before="0" w:after="0"/>
              <w:ind w:left="160"/>
              <w:jc w:val="both"/>
            </w:pPr>
            <w:r>
              <w:rPr>
                <w:rFonts w:ascii="Times New Roman" w:hAnsi="Times New Roman"/>
                <w:b w:val="false"/>
                <w:i w:val="false"/>
                <w:color w:val="000000"/>
                <w:sz w:val="12"/>
              </w:rPr>
              <w:t>Solids (TSS)</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1/6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Weeks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r>
      <w:tr>
        <w:trPr>
          <w:trHeight w:val="240" w:hRule="atLeast"/>
        </w:trPr>
        <w:tc>
          <w:tcPr>
            <w:tcW w:w="0" w:type="auto"/>
            <w:vMerge/>
            <w:tcBorders>
              <w:top w:val="nil"/>
              <w:bottom w:val="single" w:color="000000" w:sz="8"/>
              <w:right w:val="single" w:color="000000" w:sz="8"/>
            </w:tcBorders>
          </w:tcP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Weeks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r>
      <w:tr>
        <w:trPr>
          <w:trHeight w:val="450"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2"/>
              </w:rPr>
              <w:t>Ammonia</w:t>
            </w:r>
          </w:p>
          <w:p>
            <w:pPr>
              <w:spacing w:before="0" w:after="0"/>
              <w:ind w:left="160"/>
              <w:jc w:val="both"/>
            </w:pPr>
            <w:r>
              <w:rPr>
                <w:rFonts w:ascii="Times New Roman" w:hAnsi="Times New Roman"/>
                <w:b w:val="false"/>
                <w:i w:val="false"/>
                <w:color w:val="000000"/>
                <w:sz w:val="12"/>
              </w:rPr>
              <w:t>Nitrogen (NH3-N)</w:t>
            </w:r>
            <w:r>
              <w:rPr>
                <w:rFonts w:ascii="Times New Roman" w:hAnsi="Times New Roman"/>
                <w:b w:val="false"/>
                <w:i w:val="false"/>
                <w:color w:val="000000"/>
                <w:sz w:val="18"/>
                <w:vertAlign w:val="superscript"/>
              </w:rPr>
              <w:t>10</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r>
      <w:tr>
        <w:trPr>
          <w:trHeight w:val="210"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TKN</w:t>
            </w:r>
            <w:r>
              <w:rPr>
                <w:rFonts w:ascii="Times New Roman" w:hAnsi="Times New Roman"/>
                <w:b w:val="false"/>
                <w:i w:val="false"/>
                <w:color w:val="000000"/>
                <w:sz w:val="18"/>
                <w:vertAlign w:val="superscript"/>
              </w:rPr>
              <w:t>8</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 —</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r>
      <w:tr>
        <w:trPr>
          <w:trHeight w:val="210"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Total Nitrogen</w:t>
            </w:r>
            <w:r>
              <w:rPr>
                <w:rFonts w:ascii="Times New Roman" w:hAnsi="Times New Roman"/>
                <w:b w:val="false"/>
                <w:i w:val="false"/>
                <w:color w:val="000000"/>
                <w:sz w:val="18"/>
                <w:vertAlign w:val="superscript"/>
              </w:rPr>
              <w:t>9</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 —</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Months</w:t>
            </w:r>
          </w:p>
        </w:tc>
      </w:tr>
      <w:tr>
        <w:trPr>
          <w:trHeight w:val="210"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Total Phosphorus</w:t>
            </w:r>
            <w:r>
              <w:rPr>
                <w:rFonts w:ascii="Times New Roman" w:hAnsi="Times New Roman"/>
                <w:b w:val="false"/>
                <w:i w:val="false"/>
                <w:color w:val="000000"/>
                <w:sz w:val="18"/>
                <w:vertAlign w:val="superscript"/>
              </w:rPr>
              <w:t>9</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24-Hr Comp.</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 —</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1/2 Months</w:t>
            </w:r>
          </w:p>
        </w:tc>
      </w:tr>
      <w:tr>
        <w:trPr>
          <w:trHeight w:val="210" w:hRule="atLeast"/>
        </w:trPr>
        <w:tc>
          <w:tcPr>
            <w:tcW w:w="138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pH</w:t>
            </w:r>
            <w:r>
              <w:rPr>
                <w:rFonts w:ascii="Times New Roman" w:hAnsi="Times New Roman"/>
                <w:b w:val="false"/>
                <w:i w:val="false"/>
                <w:color w:val="000000"/>
                <w:sz w:val="18"/>
                <w:vertAlign w:val="superscript"/>
              </w:rPr>
              <w:t>12</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r>
      <w:tr>
        <w:trPr>
          <w:trHeight w:val="180" w:hRule="atLeast"/>
        </w:trPr>
        <w:tc>
          <w:tcPr>
            <w:tcW w:w="0" w:type="auto"/>
            <w:vMerge/>
            <w:tcBorders>
              <w:top w:val="nil"/>
              <w:bottom w:val="single" w:color="000000" w:sz="8"/>
              <w:right w:val="single" w:color="000000" w:sz="8"/>
            </w:tcBorders>
          </w:tcP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5/Week</w:t>
            </w:r>
          </w:p>
        </w:tc>
      </w:tr>
      <w:tr>
        <w:trPr>
          <w:trHeight w:val="315" w:hRule="atLeast"/>
        </w:trPr>
        <w:tc>
          <w:tcPr>
            <w:tcW w:w="138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both"/>
            </w:pPr>
            <w:r>
              <w:rPr>
                <w:rFonts w:ascii="Times New Roman" w:hAnsi="Times New Roman"/>
                <w:b w:val="false"/>
                <w:i/>
                <w:color w:val="000000"/>
                <w:sz w:val="12"/>
              </w:rPr>
              <w:t>E. coli</w:t>
            </w:r>
            <w:r>
              <w:rPr>
                <w:rFonts w:ascii="Times New Roman" w:hAnsi="Times New Roman"/>
                <w:b w:val="false"/>
                <w:i w:val="false"/>
                <w:color w:val="000000"/>
                <w:sz w:val="18"/>
                <w:vertAlign w:val="superscript"/>
              </w:rPr>
              <w:t>4,7</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5 samples, </w:t>
            </w:r>
            <w:r>
              <w:br/>
            </w: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5 samples, </w:t>
            </w:r>
            <w:r>
              <w:br/>
            </w: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5 samples, </w:t>
            </w:r>
            <w:r>
              <w:br/>
            </w: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 xml:space="preserve">5 samples, </w:t>
            </w:r>
            <w:r>
              <w:br/>
            </w: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 samples,</w:t>
            </w:r>
            <w:r>
              <w:br/>
            </w: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 samples,</w:t>
            </w:r>
            <w:r>
              <w:br/>
            </w:r>
            <w:r>
              <w:rPr>
                <w:rFonts w:ascii="Times New Roman" w:hAnsi="Times New Roman"/>
                <w:b w:val="false"/>
                <w:i w:val="false"/>
                <w:color w:val="000000"/>
                <w:sz w:val="12"/>
              </w:rPr>
              <w:t>1/3 Months</w:t>
            </w:r>
          </w:p>
        </w:tc>
      </w:tr>
      <w:tr>
        <w:trPr>
          <w:trHeight w:val="210" w:hRule="atLeast"/>
        </w:trPr>
        <w:tc>
          <w:tcPr>
            <w:tcW w:w="1383"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2"/>
              </w:rPr>
              <w:t>Temperature</w:t>
            </w: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Raw</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r>
      <w:tr>
        <w:trPr>
          <w:trHeight w:val="210" w:hRule="atLeast"/>
        </w:trPr>
        <w:tc>
          <w:tcPr>
            <w:tcW w:w="0" w:type="auto"/>
            <w:vMerge/>
            <w:tcBorders>
              <w:top w:val="nil"/>
              <w:bottom w:val="single" w:color="000000" w:sz="8"/>
              <w:right w:val="single" w:color="000000" w:sz="8"/>
            </w:tcBorders>
          </w:tcPr>
          <w:p/>
        </w:tc>
        <w:tc>
          <w:tcPr>
            <w:tcW w:w="126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1/3 Months</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1/Month</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2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2-5/Week</w:t>
            </w:r>
            <w:r>
              <w:rPr>
                <w:rFonts w:ascii="Times New Roman" w:hAnsi="Times New Roman"/>
                <w:b w:val="false"/>
                <w:i w:val="false"/>
                <w:color w:val="000000"/>
                <w:sz w:val="18"/>
                <w:vertAlign w:val="superscript"/>
              </w:rPr>
              <w:t>5</w:t>
            </w:r>
          </w:p>
        </w:tc>
      </w:tr>
      <w:tr>
        <w:trPr>
          <w:trHeight w:val="345" w:hRule="atLeast"/>
        </w:trPr>
        <w:tc>
          <w:tcPr>
            <w:tcW w:w="1383"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2"/>
              </w:rPr>
              <w:t>Total Residual Chlorine (TRC)</w:t>
            </w:r>
            <w:r>
              <w:rPr>
                <w:rFonts w:ascii="Times New Roman" w:hAnsi="Times New Roman"/>
                <w:b w:val="false"/>
                <w:i w:val="false"/>
                <w:color w:val="000000"/>
                <w:sz w:val="18"/>
                <w:vertAlign w:val="superscript"/>
              </w:rPr>
              <w:t>13</w:t>
            </w:r>
          </w:p>
        </w:tc>
        <w:tc>
          <w:tcPr>
            <w:tcW w:w="1268"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Final</w:t>
            </w:r>
          </w:p>
        </w:tc>
        <w:tc>
          <w:tcPr>
            <w:tcW w:w="126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Grab</w:t>
            </w:r>
          </w:p>
        </w:tc>
        <w:tc>
          <w:tcPr>
            <w:tcW w:w="126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1/Week</w:t>
            </w:r>
          </w:p>
        </w:tc>
        <w:tc>
          <w:tcPr>
            <w:tcW w:w="126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26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2/Week</w:t>
            </w:r>
          </w:p>
        </w:tc>
        <w:tc>
          <w:tcPr>
            <w:tcW w:w="126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3/Week</w:t>
            </w:r>
          </w:p>
        </w:tc>
        <w:tc>
          <w:tcPr>
            <w:tcW w:w="1267"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2"/>
              </w:rPr>
              <w:t>5/Week</w:t>
            </w:r>
          </w:p>
        </w:tc>
      </w:tr>
    </w:tbl>
    <w:tbl>
      <w:tblPr>
        <w:tblW w:w="5000" w:type="pct"/>
        <w:tblCellSpacing w:w="0" w:type="auto"/>
        <w:tblBorders>
          <w:top w:val="none"/>
          <w:left w:val="none"/>
          <w:bottom w:val="none"/>
          <w:right w:val="none"/>
          <w:insideH w:val="none"/>
          <w:insideV w:val="none"/>
        </w:tblBorders>
      </w:tblPr>
      <w:tblGrid>
        <w:gridCol w:w="576"/>
        <w:gridCol w:w="576"/>
        <w:gridCol w:w="10368"/>
      </w:tblGrid>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1 -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See Superscript #1, Table I.</w:t>
            </w:r>
          </w:p>
        </w:tc>
      </w:tr>
      <w:tr>
        <w:trPr>
          <w:trHeight w:val="4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2 -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See Superscript #2, Table I. Both raw and final flow monitoring may be required if the raw and final wastewater flows may be different for any reason.</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3 -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See Superscript #4, Table I.</w:t>
            </w:r>
          </w:p>
        </w:tc>
      </w:tr>
      <w:tr>
        <w:trPr>
          <w:trHeight w:val="63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4 -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Analysis is required only when the facility discharges directly to a stream designated as Class A1, A2, or A3 in </w:t>
            </w:r>
            <w:hyperlink r:id="rId31">
              <w:r>
                <w:rPr>
                  <w:rStyle w:val="Hyperlink"/>
                  <w:rFonts w:ascii="Times New Roman" w:hAnsi="Times New Roman"/>
                  <w:b w:val="false"/>
                  <w:i w:val="false"/>
                  <w:color w:val="000000"/>
                  <w:sz w:val="18"/>
                </w:rPr>
                <w:t>567—Chapter 61</w:t>
              </w:r>
            </w:hyperlink>
            <w:r>
              <w:rPr>
                <w:rFonts w:ascii="Times New Roman" w:hAnsi="Times New Roman"/>
                <w:b w:val="false"/>
                <w:i w:val="false"/>
                <w:color w:val="000000"/>
                <w:sz w:val="18"/>
              </w:rPr>
              <w:t xml:space="preserve"> or there is a reasonable potential for the discharge to affect a stream designated as Class A1, A2, or A3.</w:t>
            </w:r>
          </w:p>
        </w:tc>
      </w:tr>
      <w:tr>
        <w:trPr>
          <w:trHeight w:val="4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5 -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The frequency of sample collection and analysis shall be increased by 1/week according to the following: 15,001 to 30,000 – 2/week; 30,001 to 45,000 – 3/week; 45,001 to 75,000 – 4/week; &gt; 75,001– 5/week.</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6 -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The requirements for SIUs shall be those specified in the permit for final effluent monitoring.</w:t>
            </w:r>
          </w:p>
        </w:tc>
      </w:tr>
      <w:tr>
        <w:trPr>
          <w:trHeight w:val="20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7 -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xml:space="preserve">Bacteria Monitoring. All facilities must collect and analyze a minimum of five </w:t>
            </w:r>
            <w:r>
              <w:rPr>
                <w:rFonts w:ascii="Times New Roman" w:hAnsi="Times New Roman"/>
                <w:b w:val="false"/>
                <w:i/>
                <w:color w:val="000000"/>
                <w:sz w:val="18"/>
              </w:rPr>
              <w:t>E. coli</w:t>
            </w:r>
            <w:r>
              <w:rPr>
                <w:rFonts w:ascii="Times New Roman" w:hAnsi="Times New Roman"/>
                <w:b w:val="false"/>
                <w:i w:val="false"/>
                <w:color w:val="000000"/>
                <w:sz w:val="18"/>
              </w:rPr>
              <w:t xml:space="preserve"> samples in one calendar month during each three-month period (quarter) during the appropriate recreation season associated with the receiving stream designation as specified in </w:t>
            </w:r>
            <w:hyperlink r:id="rId32">
              <w:r>
                <w:rPr>
                  <w:rStyle w:val="Hyperlink"/>
                  <w:rFonts w:ascii="Times New Roman" w:hAnsi="Times New Roman"/>
                  <w:b w:val="false"/>
                  <w:i w:val="false"/>
                  <w:color w:val="000000"/>
                  <w:sz w:val="18"/>
                </w:rPr>
                <w:t>567—subrule 61.3(3)</w:t>
              </w:r>
            </w:hyperlink>
            <w:r>
              <w:rPr>
                <w:rFonts w:ascii="Times New Roman" w:hAnsi="Times New Roman"/>
                <w:b w:val="false"/>
                <w:i w:val="false"/>
                <w:color w:val="000000"/>
                <w:sz w:val="18"/>
              </w:rPr>
              <w:t xml:space="preserve">. For sampling required during the recreational season, March 15 to November 15, the three-month periods are March through May, June through August, and September through November. For year-round sampling, the three-month periods are January through March, April through June, July through September, and October through December. For each three-month period, the operator must take five samples during one calendar month, resulting in 15 samples in one year for sampling required during the recreation season and 20 samples per year for sampling required year-round. </w:t>
            </w:r>
          </w:p>
          <w:p>
            <w:pPr>
              <w:spacing w:before="0" w:after="0"/>
              <w:ind w:left="160"/>
              <w:jc w:val="left"/>
            </w:pPr>
            <w:r>
              <w:rPr>
                <w:rFonts w:ascii="Times New Roman" w:hAnsi="Times New Roman"/>
                <w:b w:val="false"/>
                <w:i w:val="false"/>
                <w:color w:val="000000"/>
                <w:sz w:val="18"/>
              </w:rPr>
              <w:t>The following requirements apply to the individual samples collected in one calendar month:</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Samples must be spaced over one calendar month.</w:t>
            </w:r>
          </w:p>
        </w:tc>
      </w:tr>
      <w:tr>
        <w:trPr>
          <w:trHeight w:val="36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 more than one sample can be collected on any one day.</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There must be a minimum of 48 hours between each sample.</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 more than two samples may be collected in a period of seven consecutive days.</w:t>
            </w:r>
          </w:p>
        </w:tc>
      </w:tr>
      <w:tr>
        <w:trPr>
          <w:trHeight w:val="108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The geometric mean must be calculated using all valid sample results collected during a month. The geometric mean formula is as follows: Geometric Mean = (Sample one × Sample two × Sample three × Sample four × Sample five…Sample N)^(1/N), which is the N</w:t>
            </w:r>
            <w:r>
              <w:rPr>
                <w:rFonts w:ascii="Times New Roman" w:hAnsi="Times New Roman"/>
                <w:b w:val="false"/>
                <w:i w:val="false"/>
                <w:color w:val="000000"/>
                <w:sz w:val="18"/>
                <w:vertAlign w:val="superscript"/>
              </w:rPr>
              <w:t>th</w:t>
            </w:r>
            <w:r>
              <w:rPr>
                <w:rFonts w:ascii="Times New Roman" w:hAnsi="Times New Roman"/>
                <w:b w:val="false"/>
                <w:i w:val="false"/>
                <w:color w:val="000000"/>
                <w:sz w:val="18"/>
              </w:rPr>
              <w:t xml:space="preserve"> root of the result of the multiplication of all of the sample results where N = the number of samples. If a sample result is a less than value, the value reported by the lab without the less than sign shall be used in the geometric mean calculation.</w:t>
            </w:r>
          </w:p>
        </w:tc>
      </w:tr>
      <w:tr>
        <w:trPr>
          <w:trHeight w:val="4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8 -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Additional TKN monitoring may be required if the facility has one or more significant industrial users or has effluent ammonia violations.</w:t>
            </w:r>
          </w:p>
        </w:tc>
      </w:tr>
      <w:tr>
        <w:trPr>
          <w:trHeight w:val="63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9 -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Total nitrogen (as N) is defined as TKN (as N) plus nitrate (as N) plus nitrite (as N). Nitrate + nitrite can be analyzed together or separately. Total phosphorus shall be reported as P. Analyses must be performed by a laboratory certified in Iowa.</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10 -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NH3-N monitoring is only required for facilities with NH3-N effluent limitations.</w:t>
            </w:r>
          </w:p>
        </w:tc>
      </w:tr>
      <w:tr>
        <w:trPr>
          <w:trHeight w:val="435"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11 -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For aerated lagoons, 24-hour composite samples are not required on the final effluent; grab samples are acceptable.</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12 -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See Superscript #8, Table I.</w:t>
            </w:r>
          </w:p>
        </w:tc>
      </w:tr>
      <w:tr>
        <w:trPr>
          <w:trHeight w:val="240" w:hRule="atLeast"/>
        </w:trPr>
        <w:tc>
          <w:tcPr>
            <w:tcW w:w="5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13 -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See Superscript #10, Table I.</w:t>
            </w:r>
          </w:p>
        </w:tc>
      </w:tr>
    </w:tbl>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3">
        <w:r>
          <w:rPr>
            <w:rStyle w:val="Hyperlink"/>
            <w:rFonts w:ascii="Times New Roman" w:hAnsi="Times New Roman"/>
            <w:b w:val="false"/>
            <w:i w:val="false"/>
            <w:color w:val="000000"/>
            <w:sz w:val="22"/>
          </w:rPr>
          <w:t>455B.173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12/21/72]</w:t>
      </w:r>
    </w:p>
    <w:p>
      <w:pPr>
        <w:spacing w:before="0" w:after="0"/>
        <w:ind w:left="120"/>
        <w:jc w:val="center"/>
      </w:pPr>
      <w:r>
        <w:rPr>
          <w:rFonts w:ascii="Times New Roman" w:hAnsi="Times New Roman"/>
          <w:b w:val="false"/>
          <w:i w:val="false"/>
          <w:color w:val="000000"/>
          <w:sz w:val="21"/>
        </w:rPr>
        <w:t>[Filed 7/1/77, Notice 3/23/77—published 7/27/77, effective 8/31/77]</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4/20/84, Notice 2/15/84—published 5/9/84, effective 6/13/84]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4/26/91, Notice 10/17/90—published 5/15/91, effective 6/19/91]</w:t>
      </w:r>
    </w:p>
    <w:p>
      <w:pPr>
        <w:spacing w:before="0" w:after="0"/>
        <w:ind w:left="120"/>
        <w:jc w:val="center"/>
      </w:pPr>
      <w:r>
        <w:rPr>
          <w:rFonts w:ascii="Times New Roman" w:hAnsi="Times New Roman"/>
          <w:b w:val="false"/>
          <w:i w:val="false"/>
          <w:color w:val="000000"/>
          <w:sz w:val="21"/>
        </w:rPr>
        <w:t>[Filed 3/22/96, Notice 11/8/95—published 4/10/96, effective 5/15/96]</w:t>
      </w:r>
    </w:p>
    <w:p>
      <w:pPr>
        <w:spacing w:before="0" w:after="0"/>
        <w:ind w:left="120"/>
        <w:jc w:val="center"/>
      </w:pPr>
      <w:r>
        <w:rPr>
          <w:rFonts w:ascii="Times New Roman" w:hAnsi="Times New Roman"/>
          <w:b w:val="false"/>
          <w:i w:val="false"/>
          <w:color w:val="000000"/>
          <w:sz w:val="21"/>
        </w:rPr>
        <w:t>[Filed without Notice 9/20/96—published 10/9/96, effective 11/13/96]</w:t>
      </w:r>
    </w:p>
    <w:p>
      <w:pPr>
        <w:spacing w:before="0" w:after="0"/>
        <w:ind w:left="120"/>
        <w:jc w:val="center"/>
      </w:pPr>
      <w:r>
        <w:rPr>
          <w:rFonts w:ascii="Times New Roman" w:hAnsi="Times New Roman"/>
          <w:b w:val="false"/>
          <w:i w:val="false"/>
          <w:color w:val="000000"/>
          <w:sz w:val="21"/>
        </w:rPr>
        <w:t>[Filed without Notice 9/19/97—published 10/8/97, effective 11/12/97]</w:t>
      </w:r>
    </w:p>
    <w:p>
      <w:pPr>
        <w:spacing w:before="0" w:after="0"/>
        <w:ind w:left="120"/>
        <w:jc w:val="center"/>
      </w:pPr>
      <w:r>
        <w:rPr>
          <w:rFonts w:ascii="Times New Roman" w:hAnsi="Times New Roman"/>
          <w:b w:val="false"/>
          <w:i w:val="false"/>
          <w:color w:val="000000"/>
          <w:sz w:val="21"/>
        </w:rPr>
        <w:t>[Filed without Notice 2/5/99—published 2/24/99, effective 3/31/99]</w:t>
      </w:r>
    </w:p>
    <w:p>
      <w:pPr>
        <w:spacing w:before="0" w:after="0"/>
        <w:ind w:left="120"/>
        <w:jc w:val="center"/>
      </w:pPr>
      <w:r>
        <w:rPr>
          <w:rFonts w:ascii="Times New Roman" w:hAnsi="Times New Roman"/>
          <w:b w:val="false"/>
          <w:i w:val="false"/>
          <w:color w:val="000000"/>
          <w:sz w:val="21"/>
        </w:rPr>
        <w:t>[Filed without Notice 10/28/99—published 11/17/99, effective 12/22/99]</w:t>
      </w:r>
    </w:p>
    <w:p>
      <w:pPr>
        <w:spacing w:before="0" w:after="0"/>
        <w:ind w:left="120"/>
        <w:jc w:val="center"/>
      </w:pPr>
      <w:r>
        <w:rPr>
          <w:rFonts w:ascii="Times New Roman" w:hAnsi="Times New Roman"/>
          <w:b w:val="false"/>
          <w:i w:val="false"/>
          <w:color w:val="000000"/>
          <w:sz w:val="21"/>
        </w:rPr>
        <w:t>[Filed without Notice 10/27/00—published 11/15/00, effective 12/20/00]</w:t>
      </w:r>
    </w:p>
    <w:p>
      <w:pPr>
        <w:spacing w:before="0" w:after="0"/>
        <w:ind w:left="120"/>
        <w:jc w:val="center"/>
      </w:pPr>
      <w:r>
        <w:rPr>
          <w:rFonts w:ascii="Times New Roman" w:hAnsi="Times New Roman"/>
          <w:b w:val="false"/>
          <w:i w:val="false"/>
          <w:color w:val="000000"/>
          <w:sz w:val="21"/>
        </w:rPr>
        <w:t>[Filed without Notice 9/27/01—published 10/17/01, effective 11/21/01]</w:t>
      </w:r>
    </w:p>
    <w:p>
      <w:pPr>
        <w:spacing w:before="0" w:after="0"/>
        <w:ind w:left="120"/>
        <w:jc w:val="center"/>
      </w:pPr>
      <w:r>
        <w:rPr>
          <w:rFonts w:ascii="Times New Roman" w:hAnsi="Times New Roman"/>
          <w:b w:val="false"/>
          <w:i w:val="false"/>
          <w:color w:val="000000"/>
          <w:sz w:val="21"/>
        </w:rPr>
        <w:t>[Filed without Notice 9/25/02—published 10/16/02, effective 11/20/02]</w:t>
      </w:r>
    </w:p>
    <w:p>
      <w:pPr>
        <w:spacing w:before="0" w:after="0"/>
        <w:ind w:left="120"/>
        <w:jc w:val="center"/>
      </w:pPr>
      <w:r>
        <w:rPr>
          <w:rFonts w:ascii="Times New Roman" w:hAnsi="Times New Roman"/>
          <w:b w:val="false"/>
          <w:i w:val="false"/>
          <w:color w:val="000000"/>
          <w:sz w:val="21"/>
        </w:rPr>
        <w:t>[Filed without Notice 9/25/03—published 10/15/03, effective 11/19/03]</w:t>
      </w:r>
    </w:p>
    <w:p>
      <w:pPr>
        <w:spacing w:before="0" w:after="0"/>
        <w:ind w:left="120"/>
        <w:jc w:val="center"/>
      </w:pPr>
      <w:r>
        <w:rPr>
          <w:rFonts w:ascii="Times New Roman" w:hAnsi="Times New Roman"/>
          <w:b w:val="false"/>
          <w:i w:val="false"/>
          <w:color w:val="000000"/>
          <w:sz w:val="21"/>
        </w:rPr>
        <w:t>[Filed without Notice 11/17/04—published 12/8/04, effective 1/12/05]</w:t>
      </w:r>
    </w:p>
    <w:p>
      <w:pPr>
        <w:spacing w:before="0" w:after="0"/>
        <w:ind w:left="120"/>
        <w:jc w:val="center"/>
      </w:pPr>
      <w:r>
        <w:rPr>
          <w:rFonts w:ascii="Times New Roman" w:hAnsi="Times New Roman"/>
          <w:b w:val="false"/>
          <w:i w:val="false"/>
          <w:color w:val="000000"/>
          <w:sz w:val="21"/>
        </w:rPr>
        <w:t>[Filed without Notice 10/21/05—published 11/9/05, effective 12/14/05]</w:t>
      </w:r>
    </w:p>
    <w:p>
      <w:pPr>
        <w:spacing w:before="0" w:after="0"/>
        <w:ind w:left="120"/>
        <w:jc w:val="center"/>
      </w:pPr>
      <w:r>
        <w:rPr>
          <w:rFonts w:ascii="Times New Roman" w:hAnsi="Times New Roman"/>
          <w:b w:val="false"/>
          <w:i w:val="false"/>
          <w:color w:val="000000"/>
          <w:sz w:val="21"/>
        </w:rPr>
        <w:t>[Filed without Notice 9/21/06—published 10/11/06, effective 11/15/06]</w:t>
      </w:r>
    </w:p>
    <w:p>
      <w:pPr>
        <w:spacing w:before="0" w:after="0"/>
        <w:ind w:left="120"/>
        <w:jc w:val="center"/>
      </w:pPr>
      <w:r>
        <w:rPr>
          <w:rFonts w:ascii="Times New Roman" w:hAnsi="Times New Roman"/>
          <w:b w:val="false"/>
          <w:i w:val="false"/>
          <w:color w:val="000000"/>
          <w:sz w:val="21"/>
        </w:rPr>
        <w:t>[Filed without Notice 11/14/07—published 12/5/07, effective 1/9/08]</w:t>
      </w:r>
    </w:p>
    <w:p>
      <w:pPr>
        <w:spacing w:before="0" w:after="0"/>
        <w:ind w:left="120"/>
        <w:jc w:val="center"/>
      </w:pPr>
      <w:r>
        <w:rPr>
          <w:rFonts w:ascii="Times New Roman" w:hAnsi="Times New Roman"/>
          <w:b w:val="false"/>
          <w:i w:val="false"/>
          <w:color w:val="000000"/>
          <w:sz w:val="21"/>
        </w:rPr>
        <w:t>[Filed ARC 7625B</w:t>
      </w:r>
      <w:r>
        <w:rPr>
          <w:rFonts w:ascii="Times New Roman" w:hAnsi="Times New Roman"/>
          <w:b w:val="false"/>
          <w:i w:val="false"/>
          <w:color w:val="000000"/>
          <w:sz w:val="21"/>
        </w:rPr>
        <w:t xml:space="preserve"> (Notice ARC 7152B, IAB 9/10/08)</w:t>
      </w:r>
      <w:r>
        <w:rPr>
          <w:rFonts w:ascii="Times New Roman" w:hAnsi="Times New Roman"/>
          <w:b w:val="false"/>
          <w:i w:val="false"/>
          <w:color w:val="000000"/>
          <w:sz w:val="21"/>
        </w:rPr>
        <w:t>, IAB 3/11/09, effective 4/15/09]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4/22/09]</w:t>
      </w:r>
    </w:p>
    <w:p>
      <w:pPr>
        <w:spacing w:before="0" w:after="0"/>
        <w:ind w:left="120"/>
        <w:jc w:val="center"/>
      </w:pPr>
      <w:r>
        <w:rPr>
          <w:rFonts w:ascii="Times New Roman" w:hAnsi="Times New Roman"/>
          <w:b w:val="false"/>
          <w:i w:val="false"/>
          <w:color w:val="000000"/>
          <w:sz w:val="21"/>
        </w:rPr>
        <w:t>[Editorial change: IAC Supplement 5/20/09]</w:t>
      </w:r>
    </w:p>
    <w:p>
      <w:pPr>
        <w:spacing w:before="0" w:after="0"/>
        <w:ind w:left="120"/>
        <w:jc w:val="center"/>
      </w:pPr>
      <w:r>
        <w:rPr>
          <w:rFonts w:ascii="Times New Roman" w:hAnsi="Times New Roman"/>
          <w:b w:val="false"/>
          <w:i w:val="false"/>
          <w:color w:val="000000"/>
          <w:sz w:val="21"/>
        </w:rPr>
        <w:t>[Filed ARC 8123B</w:t>
      </w:r>
      <w:r>
        <w:rPr>
          <w:rFonts w:ascii="Times New Roman" w:hAnsi="Times New Roman"/>
          <w:b w:val="false"/>
          <w:i w:val="false"/>
          <w:color w:val="000000"/>
          <w:sz w:val="21"/>
        </w:rPr>
        <w:t xml:space="preserve"> (Notice ARC 7813B, IAB 6/3/09)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2482C</w:t>
      </w:r>
      <w:r>
        <w:rPr>
          <w:rFonts w:ascii="Times New Roman" w:hAnsi="Times New Roman"/>
          <w:b w:val="false"/>
          <w:i w:val="false"/>
          <w:color w:val="000000"/>
          <w:sz w:val="21"/>
        </w:rPr>
        <w:t xml:space="preserve"> (Notice ARC 2353C, IAB 1/6/16)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6191C</w:t>
      </w:r>
      <w:r>
        <w:rPr>
          <w:rFonts w:ascii="Times New Roman" w:hAnsi="Times New Roman"/>
          <w:b w:val="false"/>
          <w:i w:val="false"/>
          <w:color w:val="000000"/>
          <w:sz w:val="21"/>
        </w:rPr>
        <w:t xml:space="preserve"> (Notice ARC 6041C,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9205C</w:t>
      </w:r>
      <w:r>
        <w:rPr>
          <w:rFonts w:ascii="Times New Roman" w:hAnsi="Times New Roman"/>
          <w:b w:val="false"/>
          <w:i w:val="false"/>
          <w:color w:val="000000"/>
          <w:sz w:val="21"/>
        </w:rPr>
        <w:t xml:space="preserve"> (Notice ARC 8635C,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April 15, 2009, effective date of Items 27 and 33 to 38 of ARC 7625B delayed 70 days by the Administrative Rules Review Committee at its meeting held April 8, 2009; at its meeting held April 28, 2009, the Committee voted to lift the delay, effective April 29, 2009.</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83.5.pdf" Type="http://schemas.openxmlformats.org/officeDocument/2006/relationships/hyperlink" Id="rId5"/>
    <Relationship TargetMode="External" Target="https://www.legis.iowa.gov/docs/iac/chapter/567.83.pdf" Type="http://schemas.openxmlformats.org/officeDocument/2006/relationships/hyperlink" Id="rId6"/>
    <Relationship TargetMode="External" Target="https://www.legis.iowa.gov/docs/iac/rule/567.63.3.pdf" Type="http://schemas.openxmlformats.org/officeDocument/2006/relationships/hyperlink" Id="rId7"/>
    <Relationship TargetMode="External" Target="https://www.legis.iowa.gov/docs/iac/rule/567.63.2.pdf" Type="http://schemas.openxmlformats.org/officeDocument/2006/relationships/hyperlink" Id="rId8"/>
    <Relationship TargetMode="External" Target="https://www.legis.iowa.gov/docs/iac/rule/567.63.3.pdf" Type="http://schemas.openxmlformats.org/officeDocument/2006/relationships/hyperlink" Id="rId9"/>
    <Relationship TargetMode="External" Target="https://www.legis.iowa.gov/docs/iac/rule/567.60.3.pdf" Type="http://schemas.openxmlformats.org/officeDocument/2006/relationships/hyperlink" Id="rId10"/>
    <Relationship TargetMode="External" Target="https://www.legis.iowa.gov/docs/iac/rule/567.63.3.pdf" Type="http://schemas.openxmlformats.org/officeDocument/2006/relationships/hyperlink" Id="rId11"/>
    <Relationship TargetMode="External" Target="https://www.legis.iowa.gov/docs/iac/rule/567.63.4.pdf" Type="http://schemas.openxmlformats.org/officeDocument/2006/relationships/hyperlink" Id="rId12"/>
    <Relationship TargetMode="External" Target="https://www.legis.iowa.gov/docs/iac/rule/567.63.4.pdf" Type="http://schemas.openxmlformats.org/officeDocument/2006/relationships/hyperlink" Id="rId13"/>
    <Relationship TargetMode="External" Target="https://www.legis.iowa.gov/docs/iac/rule/567.63.6.pdf" Type="http://schemas.openxmlformats.org/officeDocument/2006/relationships/hyperlink" Id="rId14"/>
    <Relationship TargetMode="External" Target="https://www.legis.iowa.gov/docs/iac/rule/567.63.6.pdf" Type="http://schemas.openxmlformats.org/officeDocument/2006/relationships/hyperlink" Id="rId15"/>
    <Relationship TargetMode="External" Target="https://www.legis.iowa.gov/docs/iac/rule/567.63.6.pdf" Type="http://schemas.openxmlformats.org/officeDocument/2006/relationships/hyperlink" Id="rId16"/>
    <Relationship TargetMode="External" Target="https://www.legis.iowa.gov/docs/iac/rule/567.63.6.pdf" Type="http://schemas.openxmlformats.org/officeDocument/2006/relationships/hyperlink" Id="rId17"/>
    <Relationship TargetMode="External" Target="https://www.legis.iowa.gov/docs/iac/rule/567.63.6.pdf" Type="http://schemas.openxmlformats.org/officeDocument/2006/relationships/hyperlink" Id="rId18"/>
    <Relationship TargetMode="External" Target="https://www.legis.iowa.gov/docs/iac/rule/567.63.6.pdf" Type="http://schemas.openxmlformats.org/officeDocument/2006/relationships/hyperlink" Id="rId19"/>
    <Relationship TargetMode="External" Target="https://www.legis.iowa.gov/docs/iac/rule/567.63.3.pdf" Type="http://schemas.openxmlformats.org/officeDocument/2006/relationships/hyperlink" Id="rId20"/>
    <Relationship TargetMode="External" Target="https://www.legis.iowa.gov/docs/iac/rule/567.63.5.pdf" Type="http://schemas.openxmlformats.org/officeDocument/2006/relationships/hyperlink" Id="rId21"/>
    <Relationship TargetMode="External" Target="https://www.legis.iowa.gov/docs/iac/rule/567.63.7.pdf" Type="http://schemas.openxmlformats.org/officeDocument/2006/relationships/hyperlink" Id="rId22"/>
    <Relationship TargetMode="External" Target="https://www.legis.iowa.gov/docs/iac/rule/567.63.7.pdf" Type="http://schemas.openxmlformats.org/officeDocument/2006/relationships/hyperlink" Id="rId23"/>
    <Relationship TargetMode="External" Target="https://www.legis.iowa.gov/docs/iac/rule/567.63.7.pdf" Type="http://schemas.openxmlformats.org/officeDocument/2006/relationships/hyperlink" Id="rId24"/>
    <Relationship TargetMode="External" Target="https://www.legis.iowa.gov/docs/iac/rule/567.63.7.pdf" Type="http://schemas.openxmlformats.org/officeDocument/2006/relationships/hyperlink" Id="rId25"/>
    <Relationship TargetMode="External" Target="https://www.legis.iowa.gov/docs/iac/rule/567.63.3.pdf" Type="http://schemas.openxmlformats.org/officeDocument/2006/relationships/hyperlink" Id="rId26"/>
    <Relationship TargetMode="External" Target="https://www.legis.iowa.gov/docs/iac/rule/567.63.5.pdf" Type="http://schemas.openxmlformats.org/officeDocument/2006/relationships/hyperlink" Id="rId27"/>
    <Relationship TargetMode="External" Target="https://www.legis.iowa.gov/docs/iac/rule/567.60.4.pdf" Type="http://schemas.openxmlformats.org/officeDocument/2006/relationships/hyperlink" Id="rId28"/>
    <Relationship TargetMode="External" Target="https://www.legis.iowa.gov/docs/iac/rule/567.63.9.pdf" Type="http://schemas.openxmlformats.org/officeDocument/2006/relationships/hyperlink" Id="rId29"/>
    <Relationship TargetMode="External" Target="https://www.legis.iowa.gov/docs/iac/rule/567.60.7.pdf" Type="http://schemas.openxmlformats.org/officeDocument/2006/relationships/hyperlink" Id="rId30"/>
    <Relationship TargetMode="External" Target="https://www.legis.iowa.gov/docs/iac/chapter/567.61.pdf" Type="http://schemas.openxmlformats.org/officeDocument/2006/relationships/hyperlink" Id="rId31"/>
    <Relationship TargetMode="External" Target="https://www.legis.iowa.gov/docs/iac/rule/567.61.3.pdf" Type="http://schemas.openxmlformats.org/officeDocument/2006/relationships/hyperlink" Id="rId32"/>
    <Relationship TargetMode="External" Target="https://www.legis.iowa.gov/docs/ico/chapter/455B.173.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