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 xml:space="preserve"> EFFLUENT AND PRETREATMENT STANDARDS: </w:t>
      </w:r>
      <w:r>
        <w:br/>
      </w:r>
      <w:r>
        <w:rPr>
          <w:rFonts w:ascii="Times New Roman" w:hAnsi="Times New Roman"/>
          <w:b w:val="false"/>
          <w:i w:val="false"/>
          <w:color w:val="000000"/>
          <w:sz w:val="21"/>
        </w:rPr>
        <w:t>OTHER EFFLUENT LIMITATIONS OR PROHIBITIONS</w:t>
      </w:r>
    </w:p>
    <w:p>
      <w:pPr>
        <w:spacing w:before="0" w:after="0"/>
        <w:ind w:left="120"/>
        <w:jc w:val="center"/>
      </w:pPr>
      <w:r>
        <w:rPr>
          <w:rFonts w:ascii="Times New Roman" w:hAnsi="Times New Roman"/>
          <w:b w:val="false"/>
          <w:i w:val="false"/>
          <w:color w:val="000000"/>
          <w:sz w:val="14"/>
        </w:rPr>
        <w:t>[Prior to 7/1/83, DEQ Ch 17]</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567—62.1</w:t>
      </w:r>
      <w:r>
        <w:rPr>
          <w:rFonts w:ascii="Times New Roman" w:hAnsi="Times New Roman"/>
          <w:b/>
          <w:i w:val="false"/>
          <w:color w:val="000000"/>
          <w:sz w:val="22"/>
        </w:rPr>
        <w:t xml:space="preserve">(455B) </w:t>
      </w:r>
      <w:r>
        <w:rPr>
          <w:rFonts w:ascii="Times New Roman" w:hAnsi="Times New Roman"/>
          <w:b/>
          <w:i w:val="false"/>
          <w:color w:val="000000"/>
          <w:sz w:val="22"/>
        </w:rPr>
        <w:t xml:space="preserve">Prohibited discharges.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discharge of any pollutant from a point source into a navigable water is prohibited unless authorized by an NPDES permit or by a permit issued pursuant to Section 404 of the CWA and certified pursuant to </w:t>
      </w:r>
      <w:hyperlink r:id="rId5">
        <w:r>
          <w:rPr>
            <w:rStyle w:val="Hyperlink"/>
            <w:rFonts w:ascii="Times New Roman" w:hAnsi="Times New Roman"/>
            <w:b w:val="false"/>
            <w:i w:val="false"/>
            <w:color w:val="000000"/>
            <w:sz w:val="22"/>
          </w:rPr>
          <w:t>567—subrule 61.2(6)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in </w:t>
      </w:r>
      <w:r>
        <w:rPr>
          <w:rFonts w:ascii="Times New Roman" w:hAnsi="Times New Roman"/>
          <w:b w:val="false"/>
          <w:i w:val="false"/>
          <w:color w:val="000000"/>
          <w:sz w:val="22"/>
        </w:rPr>
        <w:t>40 CFR §122.4</w:t>
      </w:r>
      <w:r>
        <w:rPr>
          <w:rFonts w:ascii="Times New Roman" w:hAnsi="Times New Roman"/>
          <w:b w:val="false"/>
          <w:i w:val="false"/>
          <w:color w:val="000000"/>
          <w:sz w:val="22"/>
        </w:rPr>
        <w:t xml:space="preserve">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val="false"/>
          <w:color w:val="000000"/>
          <w:sz w:val="22"/>
        </w:rPr>
        <w:t>The following discharges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discharge of wastewater into a POTW or a semipublic sewage disposal system (DS) in volumes or quantities in excess of those to which a significant industrial user is committed in either a treatment agreement described in </w:t>
      </w:r>
      <w:hyperlink r:id="rId6">
        <w:r>
          <w:rPr>
            <w:rStyle w:val="Hyperlink"/>
            <w:rFonts w:ascii="Times New Roman" w:hAnsi="Times New Roman"/>
            <w:b w:val="false"/>
            <w:i w:val="false"/>
            <w:color w:val="000000"/>
            <w:sz w:val="22"/>
          </w:rPr>
          <w:t>567—subrule 60.3(3)</w:t>
        </w:r>
      </w:hyperlink>
      <w:r>
        <w:rPr>
          <w:rFonts w:ascii="Times New Roman" w:hAnsi="Times New Roman"/>
          <w:b w:val="false"/>
          <w:i w:val="false"/>
          <w:color w:val="000000"/>
          <w:sz w:val="22"/>
        </w:rPr>
        <w:t xml:space="preserve"> or a local control mechanism (in the case of a POTW with an approved pretreatment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of the pollutants listed in </w:t>
      </w:r>
      <w:r>
        <w:rPr>
          <w:rFonts w:ascii="Times New Roman" w:hAnsi="Times New Roman"/>
          <w:b w:val="false"/>
          <w:i w:val="false"/>
          <w:color w:val="000000"/>
          <w:sz w:val="22"/>
        </w:rPr>
        <w:t>40 CFR §403.5(b)</w:t>
      </w:r>
      <w:r>
        <w:rPr>
          <w:rFonts w:ascii="Times New Roman" w:hAnsi="Times New Roman"/>
          <w:b w:val="false"/>
          <w:i w:val="false"/>
          <w:color w:val="000000"/>
          <w:sz w:val="22"/>
        </w:rPr>
        <w:t xml:space="preserve"> to a POTW, a semipublic sewage DS, or a PSDS.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w:t>
      </w:r>
      <w:r>
        <w:rPr>
          <w:rFonts w:ascii="Times New Roman" w:hAnsi="Times New Roman"/>
          <w:b w:val="false"/>
          <w:i w:val="false"/>
          <w:color w:val="000000"/>
          <w:sz w:val="22"/>
        </w:rPr>
        <w:t> </w:t>
      </w:r>
      <w:r>
        <w:rPr>
          <w:rFonts w:ascii="Times New Roman" w:hAnsi="Times New Roman"/>
          <w:b w:val="false"/>
          <w:i w:val="false"/>
          <w:color w:val="000000"/>
          <w:sz w:val="22"/>
        </w:rPr>
        <w:t>Waste in such volumes or quantities as to exceed the design capacity of the treatment works, cause interference or pass through, or reduce the effluent quality below that specified in the operation permit of the treatment works is considered to be a waste that interferes with the operation or performance of a POTW or a semipublic sewage DS and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567—62.2</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 information: effluent standards for POTWs and semipublic sewage DSs.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This subrule describes the minimum level of effluent quality attainable by secondary treatment in terms of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suspended solids (SS), the pollutant parameter total suspended solids; and pH. The pollutant measurement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is used in lieu of the pollutant measurement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as noted in </w:t>
      </w:r>
      <w:r>
        <w:rPr>
          <w:rFonts w:ascii="Times New Roman" w:hAnsi="Times New Roman"/>
          <w:b w:val="false"/>
          <w:i w:val="false"/>
          <w:color w:val="000000"/>
          <w:sz w:val="22"/>
        </w:rPr>
        <w:t>40 CFR §133.102(a)</w:t>
      </w:r>
      <w:r>
        <w:rPr>
          <w:rFonts w:ascii="Times New Roman" w:hAnsi="Times New Roman"/>
          <w:b w:val="false"/>
          <w:i w:val="false"/>
          <w:color w:val="000000"/>
          <w:sz w:val="22"/>
        </w:rPr>
        <w:t xml:space="preserve">(4). All requirements for each pollutant measurement shall be achieved by POTWs and semipublic sewage DSs except as provided for in </w:t>
      </w:r>
      <w:hyperlink r:id="rId7">
        <w:r>
          <w:rPr>
            <w:rStyle w:val="Hyperlink"/>
            <w:rFonts w:ascii="Times New Roman" w:hAnsi="Times New Roman"/>
            <w:b w:val="false"/>
            <w:i w:val="false"/>
            <w:color w:val="000000"/>
            <w:sz w:val="22"/>
          </w:rPr>
          <w:t>62.2(2)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as noted in </w:t>
      </w:r>
      <w:r>
        <w:rPr>
          <w:rFonts w:ascii="Times New Roman" w:hAnsi="Times New Roman"/>
          <w:b w:val="false"/>
          <w:i w:val="false"/>
          <w:color w:val="000000"/>
          <w:sz w:val="22"/>
        </w:rPr>
        <w:t>40 CFR §133.102(a)</w:t>
      </w:r>
      <w:r>
        <w:rPr>
          <w:rFonts w:ascii="Times New Roman" w:hAnsi="Times New Roman"/>
          <w:b w:val="false"/>
          <w:i w:val="false"/>
          <w:color w:val="000000"/>
          <w:sz w:val="22"/>
        </w:rPr>
        <w:t>(4). The 30-day average percent removal shall not be less than 85 percent, and the percent removal shall be calculated by adding five units to the effluent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monitoring data and comparing that value to the influent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monitoring data. Site-specific information on the relationship between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shall be used in lieu of the five-unit relationship if such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SS, as noted in </w:t>
      </w:r>
      <w:r>
        <w:rPr>
          <w:rFonts w:ascii="Times New Roman" w:hAnsi="Times New Roman"/>
          <w:b w:val="false"/>
          <w:i w:val="false"/>
          <w:color w:val="000000"/>
          <w:sz w:val="22"/>
        </w:rPr>
        <w:t>40 CFR §133.102(b)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 as noted in </w:t>
      </w:r>
      <w:r>
        <w:rPr>
          <w:rFonts w:ascii="Times New Roman" w:hAnsi="Times New Roman"/>
          <w:b w:val="false"/>
          <w:i w:val="false"/>
          <w:color w:val="000000"/>
          <w:sz w:val="22"/>
        </w:rPr>
        <w:t>40 CFR §133.102(c)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sewers and percent removal. </w:t>
      </w:r>
      <w:r>
        <w:rPr>
          <w:rFonts w:ascii="Times New Roman" w:hAnsi="Times New Roman"/>
          <w:b w:val="false"/>
          <w:i w:val="false"/>
          <w:color w:val="000000"/>
          <w:sz w:val="22"/>
        </w:rPr>
        <w:t>40 CFR §133.103(a)</w:t>
      </w:r>
      <w:r>
        <w:rPr>
          <w:rFonts w:ascii="Times New Roman" w:hAnsi="Times New Roman"/>
          <w:b w:val="false"/>
          <w:i w:val="false"/>
          <w:color w:val="000000"/>
          <w:sz w:val="22"/>
        </w:rPr>
        <w:t xml:space="preserve">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Industrial wastes and POTWs; standard secondary adjustment. </w:t>
      </w:r>
      <w:r>
        <w:rPr>
          <w:rFonts w:ascii="Times New Roman" w:hAnsi="Times New Roman"/>
          <w:b w:val="false"/>
          <w:i w:val="false"/>
          <w:color w:val="000000"/>
          <w:sz w:val="22"/>
        </w:rPr>
        <w:t>40 CFR §133.103(b)</w:t>
      </w:r>
      <w:r>
        <w:rPr>
          <w:rFonts w:ascii="Times New Roman" w:hAnsi="Times New Roman"/>
          <w:b w:val="false"/>
          <w:i w:val="false"/>
          <w:color w:val="000000"/>
          <w:sz w:val="22"/>
        </w:rPr>
        <w:t xml:space="preserve">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 stabilization lagoons. </w:t>
      </w:r>
      <w:r>
        <w:rPr>
          <w:rFonts w:ascii="Times New Roman" w:hAnsi="Times New Roman"/>
          <w:b w:val="false"/>
          <w:i w:val="false"/>
          <w:color w:val="000000"/>
          <w:sz w:val="22"/>
        </w:rPr>
        <w:t xml:space="preserve">Secondary treatment standards for waste stabilization lagoons are the same as those found in </w:t>
      </w:r>
      <w:hyperlink r:id="rId9">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concerning secondary treatment with the exception of the SS standards, which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30-day average shall not exceed 80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7-day average shall not exceed 120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Less concentrated influent wastewater for separate and combined sewers; lower percent removal or mass loading limit. </w:t>
      </w:r>
      <w:r>
        <w:rPr>
          <w:rFonts w:ascii="Times New Roman" w:hAnsi="Times New Roman"/>
          <w:b w:val="false"/>
          <w:i w:val="false"/>
          <w:color w:val="000000"/>
          <w:sz w:val="22"/>
        </w:rPr>
        <w:t>40 CFR §133.103(d)</w:t>
      </w:r>
      <w:r>
        <w:rPr>
          <w:rFonts w:ascii="Times New Roman" w:hAnsi="Times New Roman"/>
          <w:b w:val="false"/>
          <w:i w:val="false"/>
          <w:color w:val="000000"/>
          <w:sz w:val="22"/>
        </w:rPr>
        <w:t xml:space="preserve"> and (e)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Upgraded facilities designed to operate in a split flow mode.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substitute either a lower percent removal requirement or a mass loading limit for the percent removal requirements in </w:t>
      </w:r>
      <w:hyperlink r:id="rId10">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provided that the treatment works is designed to split part of the primary treated wastewater flow around the secondary treatment unit(s). The design to accommodate split flow must be approved by the department and consistent with applicable design standards for wastewater treatment facilities. Paragraph </w:t>
      </w:r>
      <w:hyperlink r:id="rId11">
        <w:r>
          <w:rPr>
            <w:rStyle w:val="Hyperlink"/>
            <w:rFonts w:ascii="Times New Roman" w:hAnsi="Times New Roman"/>
            <w:b w:val="false"/>
            <w:i w:val="false"/>
            <w:color w:val="000000"/>
            <w:sz w:val="22"/>
          </w:rPr>
          <w:t>62.2(2)</w:t>
        </w:r>
        <w:r>
          <w:rPr>
            <w:rFonts w:ascii="Times New Roman" w:hAnsi="Times New Roman"/>
            <w:b w:val="false"/>
            <w:i/>
            <w:color w:val="000000"/>
            <w:sz w:val="22"/>
          </w:rPr>
          <w:t>“d”</w:t>
        </w:r>
      </w:hyperlink>
      <w:r>
        <w:rPr>
          <w:rFonts w:ascii="Times New Roman" w:hAnsi="Times New Roman"/>
          <w:b w:val="false"/>
          <w:i w:val="false"/>
          <w:color w:val="000000"/>
          <w:sz w:val="22"/>
        </w:rPr>
        <w:t xml:space="preserve"> applies to facilities considered under this subrule. This subrule shall not be considered for facilities eligible for treatment equivalent to secondary treatment under </w:t>
      </w:r>
      <w:hyperlink r:id="rId12">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applicant requesting a permit limit adjustment pursuant to this subrule must include as part of the request an analysis of the infiltration and inflow (I/I) sources in the system and a plan for the elimination of all inflow sources such as roof drains, manholes, and storm sewer interconnections. Infiltration sources that can be economically eliminated or minimized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Dilution. </w:t>
      </w:r>
      <w:r>
        <w:rPr>
          <w:rFonts w:ascii="Times New Roman" w:hAnsi="Times New Roman"/>
          <w:b w:val="false"/>
          <w:i w:val="false"/>
          <w:color w:val="000000"/>
          <w:sz w:val="22"/>
        </w:rPr>
        <w:t>Nothing in this subrule or any other department rule shall be construed to encourage dilution of sewage as a means of complying with secondary treatment effluent standards. Reasonable efforts to prevent and abate infiltration of groundwater into sewers, and prevention or removal of any significant source of inflow, are required of all persons responsible for facilities subject to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color w:val="000000"/>
          <w:sz w:val="22"/>
        </w:rPr>
        <w:t xml:space="preserve">Treatment equivalent to secondary treatment. </w:t>
      </w:r>
      <w:r>
        <w:rPr>
          <w:rFonts w:ascii="Times New Roman" w:hAnsi="Times New Roman"/>
          <w:b w:val="false"/>
          <w:i w:val="false"/>
          <w:color w:val="000000"/>
          <w:sz w:val="22"/>
        </w:rPr>
        <w:t>40 CFR §133.105</w:t>
      </w:r>
      <w:r>
        <w:rPr>
          <w:rFonts w:ascii="Times New Roman" w:hAnsi="Times New Roman"/>
          <w:b w:val="false"/>
          <w:i w:val="false"/>
          <w:color w:val="000000"/>
          <w:sz w:val="22"/>
        </w:rPr>
        <w:t xml:space="preserve"> is adopted by reference. Treatment works shall be eligible for consideration of effluent limitations described for treatment equivalent to secondary treatment in accordance with </w:t>
      </w:r>
      <w:r>
        <w:rPr>
          <w:rFonts w:ascii="Times New Roman" w:hAnsi="Times New Roman"/>
          <w:b w:val="false"/>
          <w:i w:val="false"/>
          <w:color w:val="000000"/>
          <w:sz w:val="22"/>
        </w:rPr>
        <w:t>40 CFR §133.101(g)</w:t>
      </w:r>
      <w:r>
        <w:rPr>
          <w:rFonts w:ascii="Times New Roman" w:hAnsi="Times New Roman"/>
          <w:b w:val="false"/>
          <w:i w:val="false"/>
          <w:color w:val="000000"/>
          <w:sz w:val="22"/>
        </w:rPr>
        <w:t>. The pollutant measurement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will be used in lieu of the pollutant measurement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as noted in </w:t>
      </w:r>
      <w:r>
        <w:rPr>
          <w:rFonts w:ascii="Times New Roman" w:hAnsi="Times New Roman"/>
          <w:b w:val="false"/>
          <w:i w:val="false"/>
          <w:color w:val="000000"/>
          <w:sz w:val="22"/>
        </w:rPr>
        <w:t>40 CFR §133.105</w:t>
      </w:r>
      <w:r>
        <w:rPr>
          <w:rFonts w:ascii="Times New Roman" w:hAnsi="Times New Roman"/>
          <w:b w:val="false"/>
          <w:i w:val="false"/>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567—62.3</w:t>
      </w:r>
      <w:r>
        <w:rPr>
          <w:rFonts w:ascii="Times New Roman" w:hAnsi="Times New Roman"/>
          <w:b/>
          <w:i w:val="false"/>
          <w:color w:val="000000"/>
          <w:sz w:val="22"/>
        </w:rPr>
        <w:t xml:space="preserve">(455B) </w:t>
      </w:r>
      <w:r>
        <w:rPr>
          <w:rFonts w:ascii="Times New Roman" w:hAnsi="Times New Roman"/>
          <w:b/>
          <w:i w:val="false"/>
          <w:color w:val="000000"/>
          <w:sz w:val="22"/>
        </w:rPr>
        <w:t xml:space="preserve">Federal standards and effluent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color w:val="000000"/>
          <w:sz w:val="22"/>
        </w:rPr>
        <w:t xml:space="preserve">Federal effluent and pretreatment standards. </w:t>
      </w:r>
      <w:r>
        <w:rPr>
          <w:rFonts w:ascii="Times New Roman" w:hAnsi="Times New Roman"/>
          <w:b w:val="false"/>
          <w:i w:val="false"/>
          <w:color w:val="000000"/>
          <w:sz w:val="22"/>
        </w:rPr>
        <w:t xml:space="preserve">The following are adopted by reference: </w:t>
      </w:r>
      <w:r>
        <w:rPr>
          <w:rFonts w:ascii="Times New Roman" w:hAnsi="Times New Roman"/>
          <w:b w:val="false"/>
          <w:i w:val="false"/>
          <w:color w:val="000000"/>
          <w:sz w:val="22"/>
        </w:rPr>
        <w:t>40 CFR Part 125</w:t>
      </w:r>
      <w:r>
        <w:rPr>
          <w:rFonts w:ascii="Times New Roman" w:hAnsi="Times New Roman"/>
          <w:b w:val="false"/>
          <w:i w:val="false"/>
          <w:color w:val="000000"/>
          <w:sz w:val="22"/>
        </w:rPr>
        <w:t>, Subparts H, I, and J, and 40 CFR Parts 401 through 471.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color w:val="000000"/>
          <w:sz w:val="22"/>
        </w:rPr>
        <w:t xml:space="preserve">Federal toxic pollutant effluent standards. </w:t>
      </w:r>
      <w:r>
        <w:rPr>
          <w:rFonts w:ascii="Times New Roman" w:hAnsi="Times New Roman"/>
          <w:b w:val="false"/>
          <w:i w:val="false"/>
          <w:color w:val="000000"/>
          <w:sz w:val="22"/>
        </w:rPr>
        <w:t>40 CFR Part 129</w:t>
      </w:r>
      <w:r>
        <w:rPr>
          <w:rFonts w:ascii="Times New Roman" w:hAnsi="Times New Roman"/>
          <w:b w:val="false"/>
          <w:i w:val="false"/>
          <w:color w:val="000000"/>
          <w:sz w:val="22"/>
        </w:rPr>
        <w:t xml:space="preserve">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and pretreatment requirements for sources for which there are no federal effluent or pretreatment standards. </w:t>
      </w:r>
      <w:r>
        <w:rPr>
          <w:rFonts w:ascii="Times New Roman" w:hAnsi="Times New Roman"/>
          <w:b w:val="false"/>
          <w:i w:val="false"/>
          <w:color w:val="000000"/>
          <w:sz w:val="22"/>
        </w:rPr>
        <w:t xml:space="preserve">For discharges of pollutants from sources that are not subject to the federal effluent standards adopted by reference in </w:t>
      </w:r>
      <w:hyperlink r:id="rId13">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 xml:space="preserve">, the department shall establish effluent limitations, pretreatment requirements, or both, that represent the best professional judgment for pollutant reduction, consistent with the CWA and Iowa Code chapter </w:t>
      </w:r>
      <w:hyperlink r:id="rId1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less stringent than the effluent limitation guidelines. </w:t>
      </w:r>
      <w:r>
        <w:rPr>
          <w:rFonts w:ascii="Times New Roman" w:hAnsi="Times New Roman"/>
          <w:b w:val="false"/>
          <w:i w:val="false"/>
          <w:color w:val="000000"/>
          <w:sz w:val="22"/>
        </w:rPr>
        <w:t>40 CFR Part 125</w:t>
      </w:r>
      <w:r>
        <w:rPr>
          <w:rFonts w:ascii="Times New Roman" w:hAnsi="Times New Roman"/>
          <w:b w:val="false"/>
          <w:i w:val="false"/>
          <w:color w:val="000000"/>
          <w:sz w:val="22"/>
        </w:rPr>
        <w:t xml:space="preserve"> Subpart D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567—62.4</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limitations or pretreatment requirements more stringent than the effluent or pretreatment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necessary to meet water quality standards (WQSs). </w:t>
      </w:r>
      <w:r>
        <w:rPr>
          <w:rFonts w:ascii="Times New Roman" w:hAnsi="Times New Roman"/>
          <w:b w:val="false"/>
          <w:i w:val="false"/>
          <w:color w:val="000000"/>
          <w:sz w:val="22"/>
        </w:rPr>
        <w:t xml:space="preserve">No effluent, alone or in combination with the effluent of other sources, shall cause a violation of any applicable WQS. When it is found that a discharge that would comply with applicable effluent standards or effluent limitations in this chapter would cause a violation of WQSs, the discharge will be required to meet the water quality-based effluent limits (WQBELs) necessary to achieve the applicable WQSs as established in </w:t>
      </w:r>
      <w:hyperlink r:id="rId15">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WQBELs shall be derived from a wasteload allocation (WLA) calculated for the discharge, as described in the Iowa Wasteload Allocation Procedure (WLAP) (Nov. 11, 2020), or a WLA calculated for a TMDL, whichever is more stringent, except that the daily sample maximum criteria for </w:t>
      </w:r>
      <w:r>
        <w:rPr>
          <w:rFonts w:ascii="Times New Roman" w:hAnsi="Times New Roman"/>
          <w:b w:val="false"/>
          <w:i/>
          <w:color w:val="000000"/>
          <w:sz w:val="22"/>
        </w:rPr>
        <w:t>E. coli</w:t>
      </w:r>
      <w:r>
        <w:rPr>
          <w:rFonts w:ascii="Times New Roman" w:hAnsi="Times New Roman"/>
          <w:b w:val="false"/>
          <w:i w:val="false"/>
          <w:color w:val="000000"/>
          <w:sz w:val="22"/>
        </w:rPr>
        <w:t xml:space="preserve"> set forth in </w:t>
      </w:r>
      <w:hyperlink r:id="rId16">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shall not be used as an end-of-pipe permit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color w:val="000000"/>
          <w:sz w:val="22"/>
        </w:rPr>
        <w:t xml:space="preserve">Pretreatment requirements more stringent than categorical standards. </w:t>
      </w:r>
      <w:r>
        <w:rPr>
          <w:rFonts w:ascii="Times New Roman" w:hAnsi="Times New Roman"/>
          <w:b w:val="false"/>
          <w:i w:val="false"/>
          <w:color w:val="000000"/>
          <w:sz w:val="22"/>
        </w:rPr>
        <w:t xml:space="preserve">The department or POTW may impose pretreatment requirements more stringent than the applicable categorical standards in </w:t>
      </w:r>
      <w:r>
        <w:rPr>
          <w:rFonts w:ascii="Times New Roman" w:hAnsi="Times New Roman"/>
          <w:b w:val="false"/>
          <w:i w:val="false"/>
          <w:color w:val="000000"/>
          <w:sz w:val="22"/>
        </w:rPr>
        <w:t>62.3(1)</w:t>
      </w:r>
      <w:r>
        <w:rPr>
          <w:rFonts w:ascii="Times New Roman" w:hAnsi="Times New Roman"/>
          <w:b w:val="false"/>
          <w:i w:val="false"/>
          <w:color w:val="000000"/>
          <w:sz w:val="22"/>
        </w:rPr>
        <w:t xml:space="preserve"> when more stringent requirements are necessary to prevent violations of WQSs, pass through, acute worker health or safety problems, or interference (including inhibiting or disrupting sludge use and disposal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for pollutants not covered by effluent or categorical standards. </w:t>
      </w:r>
      <w:r>
        <w:rPr>
          <w:rFonts w:ascii="Times New Roman" w:hAnsi="Times New Roman"/>
          <w:b w:val="false"/>
          <w:i w:val="false"/>
          <w:color w:val="000000"/>
          <w:sz w:val="22"/>
        </w:rPr>
        <w:t xml:space="preserve">When a pollutant is not otherwise regulated under rules </w:t>
      </w:r>
      <w:hyperlink r:id="rId17">
        <w:r>
          <w:rPr>
            <w:rStyle w:val="Hyperlink"/>
            <w:rFonts w:ascii="Times New Roman" w:hAnsi="Times New Roman"/>
            <w:b w:val="false"/>
            <w:i w:val="false"/>
            <w:color w:val="000000"/>
            <w:sz w:val="22"/>
          </w:rPr>
          <w:t>567—62.2</w:t>
        </w:r>
      </w:hyperlink>
      <w:r>
        <w:rPr>
          <w:rFonts w:ascii="Times New Roman" w:hAnsi="Times New Roman"/>
          <w:b w:val="false"/>
          <w:i w:val="false"/>
          <w:color w:val="000000"/>
          <w:sz w:val="22"/>
        </w:rPr>
        <w:t xml:space="preserve">(455B) and </w:t>
      </w:r>
      <w:hyperlink r:id="rId18">
        <w:r>
          <w:rPr>
            <w:rStyle w:val="Hyperlink"/>
            <w:rFonts w:ascii="Times New Roman" w:hAnsi="Times New Roman"/>
            <w:b w:val="false"/>
            <w:i w:val="false"/>
            <w:color w:val="000000"/>
            <w:sz w:val="22"/>
          </w:rPr>
          <w:t>567—62.3(455B)</w:t>
        </w:r>
      </w:hyperlink>
      <w:r>
        <w:rPr>
          <w:rFonts w:ascii="Times New Roman" w:hAnsi="Times New Roman"/>
          <w:b w:val="false"/>
          <w:i w:val="false"/>
          <w:color w:val="000000"/>
          <w:sz w:val="22"/>
        </w:rPr>
        <w:t>, effluent limits or pretreatment requirements may be imposed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Effluent limits shall be based on the effect of the pollutant in water and the feasibility and reasonableness of treating the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Pretreatment requirements shall be based on the effect of the pollutant in water, the effect on the receiving treatment works (including pass through, inhibition, worker safety, and sludge disposal), and the feasibility and reasonableness of treating the pollutant.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567—62.5</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reuse.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color w:val="000000"/>
          <w:sz w:val="22"/>
        </w:rPr>
        <w:t xml:space="preserve">Manner of reuse. </w:t>
      </w:r>
      <w:r>
        <w:rPr>
          <w:rFonts w:ascii="Times New Roman" w:hAnsi="Times New Roman"/>
          <w:b w:val="false"/>
          <w:i w:val="false"/>
          <w:color w:val="000000"/>
          <w:sz w:val="22"/>
        </w:rPr>
        <w:t>Treated final effluent may be reused in a manner noted in this rule or as specified in an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color w:val="000000"/>
          <w:sz w:val="22"/>
        </w:rPr>
        <w:t xml:space="preserve">Reuse for golf course irrigation. </w:t>
      </w:r>
      <w:r>
        <w:rPr>
          <w:rFonts w:ascii="Times New Roman" w:hAnsi="Times New Roman"/>
          <w:b w:val="false"/>
          <w:i w:val="false"/>
          <w:color w:val="000000"/>
          <w:sz w:val="22"/>
        </w:rPr>
        <w:t xml:space="preserve">Treated final effluent may be reused for golf course irrigation if one of the conditions described in </w:t>
      </w:r>
      <w:hyperlink r:id="rId19">
        <w:r>
          <w:rPr>
            <w:rStyle w:val="Hyperlink"/>
            <w:rFonts w:ascii="Times New Roman" w:hAnsi="Times New Roman"/>
            <w:b w:val="false"/>
            <w:i w:val="false"/>
            <w:color w:val="000000"/>
            <w:sz w:val="22"/>
          </w:rPr>
          <w:t>62.5(2)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all of the conditions in </w:t>
      </w:r>
      <w:hyperlink r:id="rId20">
        <w:r>
          <w:rPr>
            <w:rStyle w:val="Hyperlink"/>
            <w:rFonts w:ascii="Times New Roman" w:hAnsi="Times New Roman"/>
            <w:b w:val="false"/>
            <w:i w:val="false"/>
            <w:color w:val="000000"/>
            <w:sz w:val="22"/>
          </w:rPr>
          <w:t>62.5(2)</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treated final effluent must meet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total residual chlorine (TRC) level of 0.5 mg/l must be maintained at a minimum of 15 minutes’ contact time of chlorine to wastewater prior to the irrigation of the golf course with treatment plant effluent;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Disinfected effluent shall be held in a retention pond with a detention time of at least 20 days prior to reuse as irrigation on a golf course. For this purpose, effluent may be disinfected using any common treatment technology, and either an existing pond or a pond constructed specifically for effluent retention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golf course utilizing treated final effluent shall take all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Clearly state on all scorecards that treated final effluent is used for golf course irrigation and oral contact with golf balls and tees should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 signs that warn against consumption of water at all water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Color code, label, or tag all piping and sprinklers associated with the distribution or transmission of the treated final effluent to clearly warn against the consumptive use of the contents;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Restrict public access to any area of the golf course where spraying is being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455B, subchapter III</w:t>
        </w:r>
      </w:hyperlink>
      <w:r>
        <w:rPr>
          <w:rFonts w:ascii="Times New Roman" w:hAnsi="Times New Roman"/>
          <w:b w:val="false"/>
          <w:i w:val="false"/>
          <w:color w:val="000000"/>
          <w:sz w:val="22"/>
        </w:rPr>
        <w:t>, part 1.</w:t>
      </w:r>
    </w:p>
    <w:p>
      <w:pPr>
        <w:spacing w:before="0" w:after="0"/>
        <w:ind w:left="120"/>
        <w:jc w:val="center"/>
      </w:pPr>
      <w:r>
        <w:rPr>
          <w:rFonts w:ascii="Times New Roman" w:hAnsi="Times New Roman"/>
          <w:b w:val="false"/>
          <w:i w:val="false"/>
          <w:color w:val="000000"/>
          <w:sz w:val="21"/>
        </w:rPr>
        <w:t>[Filed 5/10/66; amended 11/8/71]</w:t>
      </w:r>
    </w:p>
    <w:p>
      <w:pPr>
        <w:spacing w:before="0" w:after="0"/>
        <w:ind w:left="120"/>
        <w:jc w:val="center"/>
      </w:pPr>
      <w:r>
        <w:rPr>
          <w:rFonts w:ascii="Times New Roman" w:hAnsi="Times New Roman"/>
          <w:b w:val="false"/>
          <w:i w:val="false"/>
          <w:color w:val="000000"/>
          <w:sz w:val="21"/>
        </w:rPr>
        <w:t>[Filed 7/1/77, Notice 3/23/77—published 7/27/77, effective 8/31/77]</w:t>
      </w:r>
    </w:p>
    <w:p>
      <w:pPr>
        <w:spacing w:before="0" w:after="0"/>
        <w:ind w:left="120"/>
        <w:jc w:val="center"/>
      </w:pPr>
      <w:r>
        <w:rPr>
          <w:rFonts w:ascii="Times New Roman" w:hAnsi="Times New Roman"/>
          <w:b w:val="false"/>
          <w:i w:val="false"/>
          <w:color w:val="000000"/>
          <w:sz w:val="21"/>
        </w:rPr>
        <w:t>[Filed without Notice 2/2/79—published 2/21/79, effective 3/28/79]</w:t>
      </w:r>
    </w:p>
    <w:p>
      <w:pPr>
        <w:spacing w:before="0" w:after="0"/>
        <w:ind w:left="120"/>
        <w:jc w:val="center"/>
      </w:pPr>
      <w:r>
        <w:rPr>
          <w:rFonts w:ascii="Times New Roman" w:hAnsi="Times New Roman"/>
          <w:b w:val="false"/>
          <w:i w:val="false"/>
          <w:color w:val="000000"/>
          <w:sz w:val="21"/>
        </w:rPr>
        <w:t>[Filed 8/3/79, Notice 5/2/79—published 8/22/79, effective 9/26/79]</w:t>
      </w:r>
    </w:p>
    <w:p>
      <w:pPr>
        <w:spacing w:before="0" w:after="0"/>
        <w:ind w:left="120"/>
        <w:jc w:val="center"/>
      </w:pPr>
      <w:r>
        <w:rPr>
          <w:rFonts w:ascii="Times New Roman" w:hAnsi="Times New Roman"/>
          <w:b w:val="false"/>
          <w:i w:val="false"/>
          <w:color w:val="000000"/>
          <w:sz w:val="21"/>
        </w:rPr>
        <w:t>[Filed 10/26/79, Notice 6/27/79—published 11/14/79, effective 12/19/79]</w:t>
      </w:r>
    </w:p>
    <w:p>
      <w:pPr>
        <w:spacing w:before="0" w:after="0"/>
        <w:ind w:left="120"/>
        <w:jc w:val="center"/>
      </w:pPr>
      <w:r>
        <w:rPr>
          <w:rFonts w:ascii="Times New Roman" w:hAnsi="Times New Roman"/>
          <w:b w:val="false"/>
          <w:i w:val="false"/>
          <w:color w:val="000000"/>
          <w:sz w:val="21"/>
        </w:rPr>
        <w:t>[Filed without Notice 2/1/80—published 2/20/80, effective 3/26/80]</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10/19/84, Notice 7/18/84—published 11/7/84, effective 12/12/84]</w:t>
      </w:r>
    </w:p>
    <w:p>
      <w:pPr>
        <w:spacing w:before="0" w:after="0"/>
        <w:ind w:left="120"/>
        <w:jc w:val="center"/>
      </w:pPr>
      <w:r>
        <w:rPr>
          <w:rFonts w:ascii="Times New Roman" w:hAnsi="Times New Roman"/>
          <w:b w:val="false"/>
          <w:i w:val="false"/>
          <w:color w:val="000000"/>
          <w:sz w:val="21"/>
        </w:rPr>
        <w:t>[Filed 4/30/86, Notice 9/11/85—published 5/21/86, effective 6/25/86]</w:t>
      </w:r>
    </w:p>
    <w:p>
      <w:pPr>
        <w:spacing w:before="0" w:after="0"/>
        <w:ind w:left="120"/>
        <w:jc w:val="center"/>
      </w:pPr>
      <w:r>
        <w:rPr>
          <w:rFonts w:ascii="Times New Roman" w:hAnsi="Times New Roman"/>
          <w:b w:val="false"/>
          <w:i w:val="false"/>
          <w:color w:val="000000"/>
          <w:sz w:val="21"/>
        </w:rPr>
        <w:t>[Filed without Notice 8/22/86—published 9/10/86, effective 10/15/86]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without Notice 7/24/87—published 8/12/87, effective 9/16/87]</w:t>
      </w:r>
    </w:p>
    <w:p>
      <w:pPr>
        <w:spacing w:before="0" w:after="0"/>
        <w:ind w:left="120"/>
        <w:jc w:val="center"/>
      </w:pPr>
      <w:r>
        <w:rPr>
          <w:rFonts w:ascii="Times New Roman" w:hAnsi="Times New Roman"/>
          <w:b w:val="false"/>
          <w:i w:val="false"/>
          <w:color w:val="000000"/>
          <w:sz w:val="21"/>
        </w:rPr>
        <w:t>[Filed 8/31/89, Notice 6/14/89—published 9/20/89, effective 10/25/89]</w:t>
      </w:r>
    </w:p>
    <w:p>
      <w:pPr>
        <w:spacing w:before="0" w:after="0"/>
        <w:ind w:left="120"/>
        <w:jc w:val="center"/>
      </w:pPr>
      <w:r>
        <w:rPr>
          <w:rFonts w:ascii="Times New Roman" w:hAnsi="Times New Roman"/>
          <w:b w:val="false"/>
          <w:i w:val="false"/>
          <w:color w:val="000000"/>
          <w:sz w:val="21"/>
        </w:rPr>
        <w:t>[Filed 3/30/90, Notice 8/9/90—published 4/18/90, effective 5/23/90]</w:t>
      </w:r>
    </w:p>
    <w:p>
      <w:pPr>
        <w:spacing w:before="0" w:after="0"/>
        <w:ind w:left="120"/>
        <w:jc w:val="center"/>
      </w:pPr>
      <w:r>
        <w:rPr>
          <w:rFonts w:ascii="Times New Roman" w:hAnsi="Times New Roman"/>
          <w:b w:val="false"/>
          <w:i w:val="false"/>
          <w:color w:val="000000"/>
          <w:sz w:val="21"/>
        </w:rPr>
        <w:t>[Filed 10/26/90, Notice 8/8/90—published 11/14/90, effective 12/19/90]</w:t>
      </w:r>
    </w:p>
    <w:p>
      <w:pPr>
        <w:spacing w:before="0" w:after="0"/>
        <w:ind w:left="120"/>
        <w:jc w:val="center"/>
      </w:pPr>
      <w:r>
        <w:rPr>
          <w:rFonts w:ascii="Times New Roman" w:hAnsi="Times New Roman"/>
          <w:b w:val="false"/>
          <w:i w:val="false"/>
          <w:color w:val="000000"/>
          <w:sz w:val="21"/>
        </w:rPr>
        <w:t>[Filed without Notice 6/21/91—published 7/10/91, effective 8/14/91]</w:t>
      </w:r>
    </w:p>
    <w:p>
      <w:pPr>
        <w:spacing w:before="0" w:after="0"/>
        <w:ind w:left="120"/>
        <w:jc w:val="center"/>
      </w:pPr>
      <w:r>
        <w:rPr>
          <w:rFonts w:ascii="Times New Roman" w:hAnsi="Times New Roman"/>
          <w:b w:val="false"/>
          <w:i w:val="false"/>
          <w:color w:val="000000"/>
          <w:sz w:val="21"/>
        </w:rPr>
        <w:t>[Filed without Notice 8/28/92—published 9/16/92, effective 10/21/92]</w:t>
      </w:r>
    </w:p>
    <w:p>
      <w:pPr>
        <w:spacing w:before="0" w:after="0"/>
        <w:ind w:left="120"/>
        <w:jc w:val="center"/>
      </w:pPr>
      <w:r>
        <w:rPr>
          <w:rFonts w:ascii="Times New Roman" w:hAnsi="Times New Roman"/>
          <w:b w:val="false"/>
          <w:i w:val="false"/>
          <w:color w:val="000000"/>
          <w:sz w:val="21"/>
        </w:rPr>
        <w:t>[Filed without Notice 8/27/93—published 9/15/93, effective 10/20/93]</w:t>
      </w:r>
    </w:p>
    <w:p>
      <w:pPr>
        <w:spacing w:before="0" w:after="0"/>
        <w:ind w:left="120"/>
        <w:jc w:val="center"/>
      </w:pPr>
      <w:r>
        <w:rPr>
          <w:rFonts w:ascii="Times New Roman" w:hAnsi="Times New Roman"/>
          <w:b w:val="false"/>
          <w:i w:val="false"/>
          <w:color w:val="000000"/>
          <w:sz w:val="21"/>
        </w:rPr>
        <w:t>[Filed without Notice 8/26/94—published 9/14/94, effective 10/19/94]</w:t>
      </w:r>
    </w:p>
    <w:p>
      <w:pPr>
        <w:spacing w:before="0" w:after="0"/>
        <w:ind w:left="120"/>
        <w:jc w:val="center"/>
      </w:pPr>
      <w:r>
        <w:rPr>
          <w:rFonts w:ascii="Times New Roman" w:hAnsi="Times New Roman"/>
          <w:b w:val="false"/>
          <w:i w:val="false"/>
          <w:color w:val="000000"/>
          <w:sz w:val="21"/>
        </w:rPr>
        <w:t>[Filed without Notice 9/22/95—published 10/11/95, effective 11/15/95]</w:t>
      </w:r>
    </w:p>
    <w:p>
      <w:pPr>
        <w:spacing w:before="0" w:after="0"/>
        <w:ind w:left="120"/>
        <w:jc w:val="center"/>
      </w:pPr>
      <w:r>
        <w:rPr>
          <w:rFonts w:ascii="Times New Roman" w:hAnsi="Times New Roman"/>
          <w:b w:val="false"/>
          <w:i w:val="false"/>
          <w:color w:val="000000"/>
          <w:sz w:val="21"/>
        </w:rPr>
        <w:t>[Filed without Notice 9/20/96—published 10/9/96, effective 11/13/96]</w:t>
      </w:r>
    </w:p>
    <w:p>
      <w:pPr>
        <w:spacing w:before="0" w:after="0"/>
        <w:ind w:left="120"/>
        <w:jc w:val="center"/>
      </w:pPr>
      <w:r>
        <w:rPr>
          <w:rFonts w:ascii="Times New Roman" w:hAnsi="Times New Roman"/>
          <w:b w:val="false"/>
          <w:i w:val="false"/>
          <w:color w:val="000000"/>
          <w:sz w:val="21"/>
        </w:rPr>
        <w:t>[Filed without Notice 9/19/97—published 10/8/97, effective 11/12/97]</w:t>
      </w:r>
    </w:p>
    <w:p>
      <w:pPr>
        <w:spacing w:before="0" w:after="0"/>
        <w:ind w:left="120"/>
        <w:jc w:val="center"/>
      </w:pPr>
      <w:r>
        <w:rPr>
          <w:rFonts w:ascii="Times New Roman" w:hAnsi="Times New Roman"/>
          <w:b w:val="false"/>
          <w:i w:val="false"/>
          <w:color w:val="000000"/>
          <w:sz w:val="21"/>
        </w:rPr>
        <w:t>[Filed without Notice 2/5/99—published 2/24/99, effective 3/31/99]</w:t>
      </w:r>
    </w:p>
    <w:p>
      <w:pPr>
        <w:spacing w:before="0" w:after="0"/>
        <w:ind w:left="120"/>
        <w:jc w:val="center"/>
      </w:pPr>
      <w:r>
        <w:rPr>
          <w:rFonts w:ascii="Times New Roman" w:hAnsi="Times New Roman"/>
          <w:b w:val="false"/>
          <w:i w:val="false"/>
          <w:color w:val="000000"/>
          <w:sz w:val="21"/>
        </w:rPr>
        <w:t>[Filed without Notice 10/28/99—published 11/17/99, effective 12/22/99]</w:t>
      </w:r>
    </w:p>
    <w:p>
      <w:pPr>
        <w:spacing w:before="0" w:after="0"/>
        <w:ind w:left="120"/>
        <w:jc w:val="center"/>
      </w:pPr>
      <w:r>
        <w:rPr>
          <w:rFonts w:ascii="Times New Roman" w:hAnsi="Times New Roman"/>
          <w:b w:val="false"/>
          <w:i w:val="false"/>
          <w:color w:val="000000"/>
          <w:sz w:val="21"/>
        </w:rPr>
        <w:t>[Filed without Notice 10/27/00—published 11/15/00, effective 12/20/00]</w:t>
      </w:r>
    </w:p>
    <w:p>
      <w:pPr>
        <w:spacing w:before="0" w:after="0"/>
        <w:ind w:left="120"/>
        <w:jc w:val="center"/>
      </w:pPr>
      <w:r>
        <w:rPr>
          <w:rFonts w:ascii="Times New Roman" w:hAnsi="Times New Roman"/>
          <w:b w:val="false"/>
          <w:i w:val="false"/>
          <w:color w:val="000000"/>
          <w:sz w:val="21"/>
        </w:rPr>
        <w:t>[Filed without Notice 9/27/01—published 10/17/01, effective 11/21/01]</w:t>
      </w:r>
    </w:p>
    <w:p>
      <w:pPr>
        <w:spacing w:before="0" w:after="0"/>
        <w:ind w:left="120"/>
        <w:jc w:val="center"/>
      </w:pPr>
      <w:r>
        <w:rPr>
          <w:rFonts w:ascii="Times New Roman" w:hAnsi="Times New Roman"/>
          <w:b w:val="false"/>
          <w:i w:val="false"/>
          <w:color w:val="000000"/>
          <w:sz w:val="21"/>
        </w:rPr>
        <w:t>[Filed 5/24/02, Notice 1/9/02—published 6/12/02, effective 7/17/02]</w:t>
      </w:r>
    </w:p>
    <w:p>
      <w:pPr>
        <w:spacing w:before="0" w:after="0"/>
        <w:ind w:left="120"/>
        <w:jc w:val="center"/>
      </w:pPr>
      <w:r>
        <w:rPr>
          <w:rFonts w:ascii="Times New Roman" w:hAnsi="Times New Roman"/>
          <w:b w:val="false"/>
          <w:i w:val="false"/>
          <w:color w:val="000000"/>
          <w:sz w:val="21"/>
        </w:rPr>
        <w:t>[Filed without Notice 9/25/02—published 10/16/02, effective 11/20/02]</w:t>
      </w:r>
    </w:p>
    <w:p>
      <w:pPr>
        <w:spacing w:before="0" w:after="0"/>
        <w:ind w:left="120"/>
        <w:jc w:val="center"/>
      </w:pPr>
      <w:r>
        <w:rPr>
          <w:rFonts w:ascii="Times New Roman" w:hAnsi="Times New Roman"/>
          <w:b w:val="false"/>
          <w:i w:val="false"/>
          <w:color w:val="000000"/>
          <w:sz w:val="21"/>
        </w:rPr>
        <w:t>[Filed 5/22/03, Notice 1/8/03—published 6/11/03, effective 7/16/03]</w:t>
      </w:r>
    </w:p>
    <w:p>
      <w:pPr>
        <w:spacing w:before="0" w:after="0"/>
        <w:ind w:left="120"/>
        <w:jc w:val="center"/>
      </w:pPr>
      <w:r>
        <w:rPr>
          <w:rFonts w:ascii="Times New Roman" w:hAnsi="Times New Roman"/>
          <w:b w:val="false"/>
          <w:i w:val="false"/>
          <w:color w:val="000000"/>
          <w:sz w:val="21"/>
        </w:rPr>
        <w:t>[Filed without Notice 9/25/03—published 10/15/03, effective 11/19/03]</w:t>
      </w:r>
    </w:p>
    <w:p>
      <w:pPr>
        <w:spacing w:before="0" w:after="0"/>
        <w:ind w:left="120"/>
        <w:jc w:val="center"/>
      </w:pPr>
      <w:r>
        <w:rPr>
          <w:rFonts w:ascii="Times New Roman" w:hAnsi="Times New Roman"/>
          <w:b w:val="false"/>
          <w:i w:val="false"/>
          <w:color w:val="000000"/>
          <w:sz w:val="21"/>
        </w:rPr>
        <w:t>[Filed 4/23/04, Notice 9/17/03—published 5/12/04, effective 6/16/04]</w:t>
      </w:r>
    </w:p>
    <w:p>
      <w:pPr>
        <w:spacing w:before="0" w:after="0"/>
        <w:ind w:left="120"/>
        <w:jc w:val="center"/>
      </w:pPr>
      <w:r>
        <w:rPr>
          <w:rFonts w:ascii="Times New Roman" w:hAnsi="Times New Roman"/>
          <w:b w:val="false"/>
          <w:i w:val="false"/>
          <w:color w:val="000000"/>
          <w:sz w:val="21"/>
        </w:rPr>
        <w:t>[Filed without Notice 11/17/04—published 12/8/04, effective 1/12/05]</w:t>
      </w:r>
    </w:p>
    <w:p>
      <w:pPr>
        <w:spacing w:before="0" w:after="0"/>
        <w:ind w:left="120"/>
        <w:jc w:val="center"/>
      </w:pPr>
      <w:r>
        <w:rPr>
          <w:rFonts w:ascii="Times New Roman" w:hAnsi="Times New Roman"/>
          <w:b w:val="false"/>
          <w:i w:val="false"/>
          <w:color w:val="000000"/>
          <w:sz w:val="21"/>
        </w:rPr>
        <w:t>[Filed without Notice 10/21/05—published 11/9/05, effective 12/14/05]</w:t>
      </w:r>
    </w:p>
    <w:p>
      <w:pPr>
        <w:spacing w:before="0" w:after="0"/>
        <w:ind w:left="120"/>
        <w:jc w:val="center"/>
      </w:pPr>
      <w:r>
        <w:rPr>
          <w:rFonts w:ascii="Times New Roman" w:hAnsi="Times New Roman"/>
          <w:b w:val="false"/>
          <w:i w:val="false"/>
          <w:color w:val="000000"/>
          <w:sz w:val="21"/>
        </w:rPr>
        <w:t>[Filed without Notice 9/21/06—published 10/11/06, effective 11/15/06]</w:t>
      </w:r>
    </w:p>
    <w:p>
      <w:pPr>
        <w:spacing w:before="0" w:after="0"/>
        <w:ind w:left="120"/>
        <w:jc w:val="center"/>
      </w:pPr>
      <w:r>
        <w:rPr>
          <w:rFonts w:ascii="Times New Roman" w:hAnsi="Times New Roman"/>
          <w:b w:val="false"/>
          <w:i w:val="false"/>
          <w:color w:val="000000"/>
          <w:sz w:val="21"/>
        </w:rPr>
        <w:t>[Filed without Notice 11/14/07—published 12/5/07, effective 1/9/08]</w:t>
      </w:r>
    </w:p>
    <w:p>
      <w:pPr>
        <w:spacing w:before="0" w:after="0"/>
        <w:ind w:left="120"/>
        <w:jc w:val="center"/>
      </w:pPr>
      <w:r>
        <w:rPr>
          <w:rFonts w:ascii="Times New Roman" w:hAnsi="Times New Roman"/>
          <w:b w:val="false"/>
          <w:i w:val="false"/>
          <w:color w:val="000000"/>
          <w:sz w:val="21"/>
        </w:rPr>
        <w:t>[Filed ARC 7625B</w:t>
      </w:r>
      <w:r>
        <w:rPr>
          <w:rFonts w:ascii="Times New Roman" w:hAnsi="Times New Roman"/>
          <w:b w:val="false"/>
          <w:i w:val="false"/>
          <w:color w:val="000000"/>
          <w:sz w:val="21"/>
        </w:rPr>
        <w:t xml:space="preserve"> (Notice ARC 7152B, IAB 9/10/08)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8123B</w:t>
      </w:r>
      <w:r>
        <w:rPr>
          <w:rFonts w:ascii="Times New Roman" w:hAnsi="Times New Roman"/>
          <w:b w:val="false"/>
          <w:i w:val="false"/>
          <w:color w:val="000000"/>
          <w:sz w:val="21"/>
        </w:rPr>
        <w:t xml:space="preserve"> (Notice ARC 7813B, IAB 6/3/09)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8214B</w:t>
      </w:r>
      <w:r>
        <w:rPr>
          <w:rFonts w:ascii="Times New Roman" w:hAnsi="Times New Roman"/>
          <w:b w:val="false"/>
          <w:i w:val="false"/>
          <w:color w:val="000000"/>
          <w:sz w:val="21"/>
        </w:rPr>
        <w:t xml:space="preserve"> (Notice ARC 7853B,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3583C</w:t>
      </w:r>
      <w:r>
        <w:rPr>
          <w:rFonts w:ascii="Times New Roman" w:hAnsi="Times New Roman"/>
          <w:b w:val="false"/>
          <w:i w:val="false"/>
          <w:color w:val="000000"/>
          <w:sz w:val="21"/>
        </w:rPr>
        <w:t xml:space="preserve"> (Notice ARC 3202C, IAB 7/19/17)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9204C</w:t>
      </w:r>
      <w:r>
        <w:rPr>
          <w:rFonts w:ascii="Times New Roman" w:hAnsi="Times New Roman"/>
          <w:b w:val="false"/>
          <w:i w:val="false"/>
          <w:color w:val="000000"/>
          <w:sz w:val="21"/>
        </w:rPr>
        <w:t xml:space="preserve"> (Notice ARC 8626C,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61.2.pdf" Type="http://schemas.openxmlformats.org/officeDocument/2006/relationships/hyperlink" Id="rId5"/>
    <Relationship TargetMode="External" Target="https://www.legis.iowa.gov/docs/iac/rule/567.60.3.pdf" Type="http://schemas.openxmlformats.org/officeDocument/2006/relationships/hyperlink" Id="rId6"/>
    <Relationship TargetMode="External" Target="https://www.legis.iowa.gov/docs/iac/rule/567.62.2.pdf" Type="http://schemas.openxmlformats.org/officeDocument/2006/relationships/hyperlink" Id="rId7"/>
    <Relationship TargetMode="External" Target="https://www.legis.iowa.gov/docs/iac/rule/567.62.2.pdf" Type="http://schemas.openxmlformats.org/officeDocument/2006/relationships/hyperlink" Id="rId8"/>
    <Relationship TargetMode="External" Target="https://www.legis.iowa.gov/docs/iac/rule/567.62.2.pdf" Type="http://schemas.openxmlformats.org/officeDocument/2006/relationships/hyperlink" Id="rId9"/>
    <Relationship TargetMode="External" Target="https://www.legis.iowa.gov/docs/iac/rule/567.62.2.pdf" Type="http://schemas.openxmlformats.org/officeDocument/2006/relationships/hyperlink" Id="rId10"/>
    <Relationship TargetMode="External" Target="https://www.legis.iowa.gov/docs/iac/rule/567.62.2.pdf" Type="http://schemas.openxmlformats.org/officeDocument/2006/relationships/hyperlink" Id="rId11"/>
    <Relationship TargetMode="External" Target="https://www.legis.iowa.gov/docs/iac/rule/567.62.2.pdf" Type="http://schemas.openxmlformats.org/officeDocument/2006/relationships/hyperlink" Id="rId12"/>
    <Relationship TargetMode="External" Target="https://www.legis.iowa.gov/docs/iac/rule/567.62.3.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ac/chapter/567.61.pdf" Type="http://schemas.openxmlformats.org/officeDocument/2006/relationships/hyperlink" Id="rId15"/>
    <Relationship TargetMode="External" Target="https://www.legis.iowa.gov/docs/iac/chapter/567.61.pdf" Type="http://schemas.openxmlformats.org/officeDocument/2006/relationships/hyperlink" Id="rId16"/>
    <Relationship TargetMode="External" Target="https://www.legis.iowa.gov/docs/iac/rule/567.62.2.pdf" Type="http://schemas.openxmlformats.org/officeDocument/2006/relationships/hyperlink" Id="rId17"/>
    <Relationship TargetMode="External" Target="https://www.legis.iowa.gov/docs/iac/rule/567.62.3.pdf" Type="http://schemas.openxmlformats.org/officeDocument/2006/relationships/hyperlink" Id="rId18"/>
    <Relationship TargetMode="External" Target="https://www.legis.iowa.gov/docs/iac/rule/567.62.2.pdf" Type="http://schemas.openxmlformats.org/officeDocument/2006/relationships/hyperlink" Id="rId19"/>
    <Relationship TargetMode="External" Target="https://www.legis.iowa.gov/docs/iac/rule/567.62.5.pdf" Type="http://schemas.openxmlformats.org/officeDocument/2006/relationships/hyperlink" Id="rId20"/>
    <Relationship TargetMode="External" Target="https://www.legis.iowa.gov/docs/ico/chapter/455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