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WATER QUALITY STANDARDS</w:t>
      </w:r>
    </w:p>
    <w:p>
      <w:pPr>
        <w:spacing w:before="0" w:after="0"/>
        <w:ind w:left="120"/>
        <w:jc w:val="center"/>
      </w:pPr>
      <w:r>
        <w:rPr>
          <w:rFonts w:ascii="Times New Roman" w:hAnsi="Times New Roman"/>
          <w:b w:val="false"/>
          <w:i w:val="false"/>
          <w:color w:val="000000"/>
          <w:sz w:val="14"/>
        </w:rPr>
        <w:t>[Prior to 7/1/83, DEQ Ch 16]</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WATER QUALITY STANDARDS</w:t>
      </w:r>
    </w:p>
    <w:p>
      <w:pPr>
        <w:spacing w:before="210" w:after="0"/>
        <w:ind w:left="120"/>
        <w:jc w:val="both"/>
      </w:pPr>
      <w:r>
        <w:rPr>
          <w:rFonts w:ascii="Times New Roman" w:hAnsi="Times New Roman"/>
          <w:b/>
          <w:i w:val="false"/>
          <w:color w:val="000000"/>
          <w:sz w:val="22"/>
        </w:rPr>
        <w:t>567—61.1</w:t>
      </w:r>
      <w:r>
        <w:rPr>
          <w:rFonts w:ascii="Times New Roman" w:hAnsi="Times New Roman"/>
          <w:b w:val="false"/>
          <w:i w:val="false"/>
          <w:color w:val="000000"/>
          <w:sz w:val="22"/>
        </w:rPr>
        <w:t>Rescinded, effective August 31, 1977.</w:t>
      </w:r>
    </w:p>
    <w:p>
      <w:pPr>
        <w:spacing w:before="0" w:after="0"/>
        <w:ind w:left="120"/>
        <w:jc w:val="both"/>
      </w:pPr>
      <w:r>
        <w:rPr>
          <w:rFonts w:ascii="Times New Roman" w:hAnsi="Times New Roman"/>
          <w:b/>
          <w:i w:val="false"/>
          <w:color w:val="000000"/>
          <w:sz w:val="22"/>
        </w:rPr>
        <w:t>567—61.2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It shall be the policy of the commission to protect and enhance the quality of all the waters of the state. In the furtherance of this policy it will attempt to prevent and abate the pollution of all waters to the fullest extent possible consistent with statutory and technological limitations. This policy shall apply to all point and nonpoint sources of pollution.</w:t>
      </w:r>
    </w:p>
    <w:p>
      <w:pPr>
        <w:spacing w:before="0" w:after="0"/>
        <w:ind w:left="120"/>
        <w:jc w:val="both"/>
      </w:pPr>
      <w:r>
        <w:rPr>
          <w:rFonts w:ascii="Times New Roman" w:hAnsi="Times New Roman"/>
          <w:b w:val="false"/>
          <w:i w:val="false"/>
          <w:color w:val="000000"/>
          <w:sz w:val="22"/>
        </w:rPr>
        <w:t>These water quality standards establish selected criteria for certain present and future designated uses of the surface waters of the state. The standards establish the areas where these uses are to be protected and provide minimum criteria for waterways having nondesignated uses as well. Many surface waters are designated for more than one use. In these cases the more stringent criteria shall govern for each parameter.</w:t>
      </w:r>
    </w:p>
    <w:p>
      <w:pPr>
        <w:spacing w:before="0" w:after="0"/>
        <w:ind w:left="120"/>
        <w:jc w:val="both"/>
      </w:pPr>
      <w:r>
        <w:rPr>
          <w:rFonts w:ascii="Times New Roman" w:hAnsi="Times New Roman"/>
          <w:b w:val="false"/>
          <w:i w:val="false"/>
          <w:color w:val="000000"/>
          <w:sz w:val="22"/>
        </w:rPr>
        <w:t xml:space="preserve">Certain of the criteria are in narrative form without numeric limitations. In applying such narrative standards, decisions will be based on the U.S. Environmental Protection Agency’s methodology described in “Guidelines for Deriving Numerical National Water Quality Criteria for the Protection of Aquatic Organisms and Their Uses,” (1985) and on the rationale contained in “Quality Criteria for Water,” published by the U.S. Environmental Protection Agency (1977), as updated by supplemental Section 304 (of the Act) Ambient Water Quality Criteria documents. To provide human health criteria for parameters not having numerical values listed in </w:t>
      </w:r>
      <w:hyperlink r:id="rId5">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Table 1, the required criteria will be based on the rationale contained in these EPA criteria documents. The human health criterion considered will be the value associated with the consumption of fish flesh and a risk factor of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for carcinogenic parameters. For noncarcinogenic parameters, the recommended EPA criterion will be selected. For Class C water, the EPA criteria for fish and water consumption will be selected using the same considerations for carcinogenic and noncarcinogenic parameters as noted above.</w:t>
      </w:r>
    </w:p>
    <w:p>
      <w:pPr>
        <w:spacing w:before="0" w:after="0"/>
        <w:ind w:left="120"/>
        <w:jc w:val="both"/>
      </w:pPr>
      <w:r>
        <w:rPr>
          <w:rFonts w:ascii="Times New Roman" w:hAnsi="Times New Roman"/>
          <w:b w:val="false"/>
          <w:i w:val="false"/>
          <w:color w:val="000000"/>
          <w:sz w:val="22"/>
        </w:rPr>
        <w:t xml:space="preserve">All methods of sample collection, preservation, and analysis used in applying any of the rules in these standards shall be in accord with those prescribed in </w:t>
      </w:r>
      <w:hyperlink r:id="rId6">
        <w:r>
          <w:rPr>
            <w:rStyle w:val="Hyperlink"/>
            <w:rFonts w:ascii="Times New Roman" w:hAnsi="Times New Roman"/>
            <w:b w:val="false"/>
            <w:i w:val="false"/>
            <w:color w:val="000000"/>
            <w:sz w:val="22"/>
          </w:rPr>
          <w:t>567—Chapter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Antidegradation policy. </w:t>
      </w:r>
      <w:r>
        <w:rPr>
          <w:rFonts w:ascii="Times New Roman" w:hAnsi="Times New Roman"/>
          <w:b w:val="false"/>
          <w:i w:val="false"/>
          <w:color w:val="000000"/>
          <w:sz w:val="22"/>
        </w:rPr>
        <w:t>It is the policy of the state of Iowa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Tier 1 protection. Existing surface water uses and the level of water quality necessary to protect the existing uses will be maintained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Tier 2 protection. Where the quality of the waters exceeds levels necessary to support propagation of fish, shellfish, and wildlife and recreation in and on the water, that quality shall be maintained and protected unless the department finds, after full satisfaction of the intergovernmental coordination and public participation provisions, that allowing lower water quality is necessary to accommodate important economic or social development in the area in which the waters are located. In allowing such degradation or lower water quality, the department shall ensure water quality adequate to protect existing uses fully. Further, the department shall ensure the highest statutory and regulatory requirements for all new and existing point sources and all cost-effective and reasonable best management practices for nonpoint source control before allowing any lowering of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Tier 2½ protection—outstanding Iowa waters. Where high quality waters constitute an outstanding state resource, such as waters of exceptional recreational or ecological significance, that water quality shall be maintained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Tier 3 protection—outstanding national resource waters. Where high quality waters constitute an outstanding national resource, such as waters of national and state parks and wildlife refuges and waters of exceptional recreational or ecological significance, that water quality shall be maintained and protected. Any proposed activity that would result in a permanent new or expanded source of pollutants in an outstanding national resource water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8/31/16</w:t>
      </w:r>
      <w:r>
        <w:rPr>
          <w:rFonts w:ascii="Times New Roman" w:hAnsi="Times New Roman"/>
          <w:b w:val="false"/>
          <w:i w:val="false"/>
          <w:color w:val="000000"/>
          <w:sz w:val="22"/>
        </w:rPr>
        <w:t>, effective 8/12/16.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unapproved facility plans for new or expanded construction permits, except for construction permits issued for nondischarging facilities, shall undergo an antidegradation review if degradation is likely in the receiving water or downstream waters following February 17,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policy shall be applied in conjunction with water quality certification review pursuant to Section 401 of the Act. In the event that activities are specifically exempted from flood plain development permits or any other permits issued by this department in </w:t>
      </w:r>
      <w:hyperlink r:id="rId7">
        <w:r>
          <w:rPr>
            <w:rStyle w:val="Hyperlink"/>
            <w:rFonts w:ascii="Times New Roman" w:hAnsi="Times New Roman"/>
            <w:b w:val="false"/>
            <w:i w:val="false"/>
            <w:color w:val="000000"/>
            <w:sz w:val="22"/>
          </w:rPr>
          <w:t>567—Chapters 70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xml:space="preserve">, the activity will be considered consistent with this policy. Other activities not otherwise exempted will be subject to </w:t>
      </w:r>
      <w:hyperlink r:id="rId10">
        <w:r>
          <w:rPr>
            <w:rStyle w:val="Hyperlink"/>
            <w:rFonts w:ascii="Times New Roman" w:hAnsi="Times New Roman"/>
            <w:b w:val="false"/>
            <w:i w:val="false"/>
            <w:color w:val="000000"/>
            <w:sz w:val="22"/>
          </w:rPr>
          <w:t>567—Chapters 70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xml:space="preserve"> and this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Minimum treatment required. </w:t>
      </w:r>
      <w:r>
        <w:rPr>
          <w:rFonts w:ascii="Times New Roman" w:hAnsi="Times New Roman"/>
          <w:b w:val="false"/>
          <w:i w:val="false"/>
          <w:color w:val="000000"/>
          <w:sz w:val="22"/>
        </w:rPr>
        <w:t>All wastes discharged to the waters of the state must be of such quality that the discharge will not cause the narrative or numeric criteria limitations to be exceeded. Where the receiving waters provide sufficient assimilative capacity that the water quality standards are not the limiting factor, all point source wastes shall receive treatment in compliance with minimum effluent standards as adopted in rules by the department.</w:t>
      </w:r>
    </w:p>
    <w:p>
      <w:pPr>
        <w:spacing w:before="0" w:after="0"/>
        <w:ind w:left="120"/>
        <w:jc w:val="both"/>
      </w:pPr>
      <w:r>
        <w:rPr>
          <w:rFonts w:ascii="Times New Roman" w:hAnsi="Times New Roman"/>
          <w:b w:val="false"/>
          <w:i w:val="false"/>
          <w:color w:val="000000"/>
          <w:sz w:val="22"/>
        </w:rPr>
        <w:t xml:space="preserve">There are numerous parameters of water quality associated with nonpoint source runoff which are of significance to the designated water uses specified in the general and specific designations in </w:t>
      </w:r>
      <w:hyperlink r:id="rId13">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 but which are not delineated. It shall be the intent of these standards that the limits on such nonpoint source related parameters when adopted shall be those that can be achieved by best management practices as defined in the course of the continuing planning process from time to time. Existing water quality and nonpoint source runoff control technology will be evaluated in the course of the Iowa continuing planning process, and best management practices and limitations on specific water quality parameters will be reviewed and revised from time to time to ensure that the designated water uses and water quality enhancement goals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Regulatory mixing zones. </w:t>
      </w:r>
      <w:r>
        <w:rPr>
          <w:rFonts w:ascii="Times New Roman" w:hAnsi="Times New Roman"/>
          <w:b w:val="false"/>
          <w:i w:val="false"/>
          <w:color w:val="000000"/>
          <w:sz w:val="22"/>
        </w:rPr>
        <w:t xml:space="preserve">Mixing zones are recognized as being necessary for the initial assimilation of point source discharges which have received the required degree of treatment or control. Mixing zones shall not be used for, or considered as, a substitute for minimum treatment technology required by subrule </w:t>
      </w:r>
      <w:hyperlink r:id="rId14">
        <w:r>
          <w:rPr>
            <w:rStyle w:val="Hyperlink"/>
            <w:rFonts w:ascii="Times New Roman" w:hAnsi="Times New Roman"/>
            <w:b w:val="false"/>
            <w:i w:val="false"/>
            <w:color w:val="000000"/>
            <w:sz w:val="22"/>
          </w:rPr>
          <w:t>61.2(3)</w:t>
        </w:r>
      </w:hyperlink>
      <w:r>
        <w:rPr>
          <w:rFonts w:ascii="Times New Roman" w:hAnsi="Times New Roman"/>
          <w:b w:val="false"/>
          <w:i w:val="false"/>
          <w:color w:val="000000"/>
          <w:sz w:val="22"/>
        </w:rPr>
        <w:t xml:space="preserve">. The objective of establishing mixing zones is to provide a means of control over the placement and emission of point source discharges so as to minimize environmental impacts. Waters within a mixing zone shall meet the general water quality criteria of subrule </w:t>
      </w:r>
      <w:hyperlink r:id="rId15">
        <w:r>
          <w:rPr>
            <w:rStyle w:val="Hyperlink"/>
            <w:rFonts w:ascii="Times New Roman" w:hAnsi="Times New Roman"/>
            <w:b w:val="false"/>
            <w:i w:val="false"/>
            <w:color w:val="000000"/>
            <w:sz w:val="22"/>
          </w:rPr>
          <w:t>61.3(2)</w:t>
        </w:r>
      </w:hyperlink>
      <w:r>
        <w:rPr>
          <w:rFonts w:ascii="Times New Roman" w:hAnsi="Times New Roman"/>
          <w:b w:val="false"/>
          <w:i w:val="false"/>
          <w:color w:val="000000"/>
          <w:sz w:val="22"/>
        </w:rPr>
        <w:t xml:space="preserve">. Waters at and beyond mixing zone boundaries shall meet all applicable standards and the chronic and human health criteria of subrule </w:t>
      </w:r>
      <w:hyperlink r:id="rId16">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Tables 1 and 3, for that particular water body or segment. A zone of initial dilution may be established within the mixing zone beyond which the applicable standards and the acute criteria of subrule </w:t>
      </w:r>
      <w:hyperlink r:id="rId17">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will be met. For waters designated under subrule </w:t>
      </w:r>
      <w:hyperlink r:id="rId18">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any parameter not included in Tables 1, 2 and 3 of subrule </w:t>
      </w:r>
      <w:hyperlink r:id="rId19">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the chronic and human health criteria, and the acute criterion calculated following subrule </w:t>
      </w:r>
      <w:hyperlink r:id="rId20">
        <w:r>
          <w:rPr>
            <w:rStyle w:val="Hyperlink"/>
            <w:rFonts w:ascii="Times New Roman" w:hAnsi="Times New Roman"/>
            <w:b w:val="false"/>
            <w:i w:val="false"/>
            <w:color w:val="000000"/>
            <w:sz w:val="22"/>
          </w:rPr>
          <w:t>61.2(1)</w:t>
        </w:r>
      </w:hyperlink>
      <w:r>
        <w:rPr>
          <w:rFonts w:ascii="Times New Roman" w:hAnsi="Times New Roman"/>
          <w:b w:val="false"/>
          <w:i w:val="false"/>
          <w:color w:val="000000"/>
          <w:sz w:val="22"/>
        </w:rPr>
        <w:t>, will be met at the mixing zone and zone of initial dilution boundaries,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extreme variations in wastewater and receiving water characteristics, spatial dimensions of mixing zones shall be defined on a site-specific basis. These rules are not intended to define each individual mixing zone, but will set maximum limits which will satisfy most biological, chemical, physical and radiological considerations in defining a particular mixing zone. Additional details are noted in the “Iowa Wasteload Allocation (WLA) Procedure,” as revised on November 11, 2020, for considering unusual site-specific features such as side channels and sand bars which may influence a mixing zone. Applications for operation permits under </w:t>
      </w:r>
      <w:hyperlink r:id="rId21">
        <w:r>
          <w:rPr>
            <w:rStyle w:val="Hyperlink"/>
            <w:rFonts w:ascii="Times New Roman" w:hAnsi="Times New Roman"/>
            <w:b w:val="false"/>
            <w:i w:val="false"/>
            <w:color w:val="000000"/>
            <w:sz w:val="22"/>
          </w:rPr>
          <w:t>567—subrule 64.3(1)</w:t>
        </w:r>
      </w:hyperlink>
      <w:r>
        <w:rPr>
          <w:rFonts w:ascii="Times New Roman" w:hAnsi="Times New Roman"/>
          <w:b w:val="false"/>
          <w:i w:val="false"/>
          <w:color w:val="000000"/>
          <w:sz w:val="22"/>
        </w:rPr>
        <w:t xml:space="preserve"> may be required to provide specific information related to the mixing zone characteristics below their outfall so that mixing zone boundaries can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parameters included in Table 1 only (which does not include ammonia nitrogen), the dimensions of the mixing zone and the zone of initial dilution will be calculated using a mathematical model presented in the “Iowa Wasteload Allocation (WLA) Procedure,” as revised on November 11, 2020, or from instream studies of the mixing characteristics during low flow. In addition, the most restrictive of the following factors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stream flow in the mixing zone may not exceed the most restrictive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Twenty-five percent of the design low stream flows noted in subrule </w:t>
      </w:r>
      <w:hyperlink r:id="rId22">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for interior streams and rivers, and the Big Sioux and Des Moines Rivers.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Ten percent of the design low stream flows noted in subrule </w:t>
      </w:r>
      <w:hyperlink r:id="rId23">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for the Mississippi and Missouri Rivers.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stream flow contained in the mixing zone at the most restrictive of the applicable mixing zone length criteria,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the mixing zone below the point of discharge shall be set by the most restrictive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distance to the juncture of two perennial streams.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distance to a public water supply intake.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distance to the upstream limits of an established recreational area, such as public beaches, and state, county and local parks.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distance to the middle of a crossover point in a stream where the main current flows from one bank across to the opposite bank.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distance to another mixing zone.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to exceed a distance of 2000 feet.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location where the mixing zone contained the percentages of stream flow noted in </w:t>
      </w:r>
      <w:hyperlink r:id="rId24">
        <w:r>
          <w:rPr>
            <w:rStyle w:val="Hyperlink"/>
            <w:rFonts w:ascii="Times New Roman" w:hAnsi="Times New Roman"/>
            <w:b w:val="false"/>
            <w:i w:val="false"/>
            <w:color w:val="000000"/>
            <w:sz w:val="22"/>
          </w:rPr>
          <w:t>61.2(4)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width of the mixing zone is calculated as the portion of the stream containing the allowed mixing zone stream flow. The mixing zone width will be measured perpendicular to the basic direction of stream flow at the downstream boundary of the mixing zone. This measurement will only consider the distance of continuous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width and length of the zone of initial dilution may not exceed 10 percent of the width and length of the mixing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stream flow used in determining wasteload allocations to ensure compliance with the maximum contaminant level (MCL), chronic and human health criteria of Table 1 will be that value contained at the boundary of the allowed mixing zone. This stream flow may not exceed the following percentages of the design low stream flow as measured at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Twenty-five percent for interior streams and rivers, and the Big Sioux and Des Moines 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percent for the Mississippi and Missouri Rivers.</w:t>
      </w:r>
    </w:p>
    <w:p>
      <w:pPr>
        <w:spacing w:before="0" w:after="0"/>
        <w:ind w:left="120"/>
        <w:jc w:val="both"/>
      </w:pPr>
      <w:r>
        <w:rPr>
          <w:rFonts w:ascii="Times New Roman" w:hAnsi="Times New Roman"/>
          <w:b w:val="false"/>
          <w:i w:val="false"/>
          <w:color w:val="000000"/>
          <w:sz w:val="22"/>
        </w:rPr>
        <w:t>The stream flow in the zone of initial dilution used in determining effluent limits to ensure compliance with the acute criteria of Table 1 may not exceed 10 percent of the calculated flow associated with the mixing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toxic parameters noted in Table 1, the following exceptions apply to the mixing zone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mixing zone or zone of initial dilution will be allowed for waters designated as lakes or wetlands.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zone of initial dilution will be allowed in waters designated as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 diffuser device to promote rapid mixing of an effluent in a receiving stream will be considered on a case-by-case basis with its usage as a means for dischargers to comply with an acute numerical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discharger to interior streams and rivers, the Big Sioux and Des Moines Rivers, and the Mississippi or Missouri Rivers may provide to the department, for consideration, instream data which technically supports the allowance of an increased percentage of the stream flow contained in the mixing zone due to rapid and complete mixing. Any allowed increase in mixing zone flow would still be governed by the mixing zone length restrictions. The submission of data should follow the guidance provided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ammonia criteria noted in Table 3, the dimensions of the mixing zone and the zone of initial dilution will be calculated using a mathematical model presented in the “Iowa Wasteload Allocation (WLA) Procedure,” as revised on November 11, 2020, or from instream studies of the mixing characteristics during low flow. In addition, the most restrictive of the following factors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stream flow in the mixing zone may not exceed the most restrictive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One hundred percent of the design low stream flows noted in subrule </w:t>
      </w:r>
      <w:hyperlink r:id="rId25">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for locations where the dilution ratio is less than or equal to 2:1.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Fifty percent of the design low stream flows noted in subrule </w:t>
      </w:r>
      <w:hyperlink r:id="rId26">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for locations where the dilution ratio is greater than 2:1, but less than or equal to 5:1.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Twenty-five percent of the design low stream flows noted in subrule </w:t>
      </w:r>
      <w:hyperlink r:id="rId27">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for locations where the dilution ratio is greater than 5:1.</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stream flow contained in the mixing zone at the most restrictive of the applicable mixing zone length criteria, noted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the mixing zone below the point of discharge shall be set by the most restrictive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distance to the juncture of two perennial streams.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distance to a public water supply intake.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distance to the upstream limits of an established recreational area, such as public beaches, and state, county, and local parks.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distance to the middle of a crossover point in a stream where the main current flows from one bank across to the opposite bank.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distance to another mixing zone.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 to exceed a distance of 2000 feet.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location where the mixing zone contained the percentages of stream flow noted in </w:t>
      </w:r>
      <w:hyperlink r:id="rId28">
        <w:r>
          <w:rPr>
            <w:rStyle w:val="Hyperlink"/>
            <w:rFonts w:ascii="Times New Roman" w:hAnsi="Times New Roman"/>
            <w:b w:val="false"/>
            <w:i w:val="false"/>
            <w:color w:val="000000"/>
            <w:sz w:val="22"/>
          </w:rPr>
          <w:t>61.2(4)</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width of the mixing zone is calculated as the portion of the stream containing the allowed mixing zone stream flow. The mixing zone width will be measured perpendicular to the basic direction of stream flow at the downstream boundary of the mixing zone. This measurement will only consider the distance of continuous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width and length of the zone of initial dilution may not exceed 10 percent of the width and length of the mixing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ammonia criteria noted in Table 3, the stream flow used in determining wasteload allocations to ensure compliance with the chronic criteria of Table 3 will be that value contained at the boundary of the allowed mixing zone. This stream flow may not exceed the percentages of the design low stream flow noted in </w:t>
      </w:r>
      <w:hyperlink r:id="rId29">
        <w:r>
          <w:rPr>
            <w:rStyle w:val="Hyperlink"/>
            <w:rFonts w:ascii="Times New Roman" w:hAnsi="Times New Roman"/>
            <w:b w:val="false"/>
            <w:i w:val="false"/>
            <w:color w:val="000000"/>
            <w:sz w:val="22"/>
          </w:rPr>
          <w:t>61.2(4)</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as measured at the point of discharge.</w:t>
      </w:r>
    </w:p>
    <w:p>
      <w:pPr>
        <w:spacing w:before="0" w:after="0"/>
        <w:ind w:left="120"/>
        <w:jc w:val="both"/>
      </w:pPr>
      <w:r>
        <w:rPr>
          <w:rFonts w:ascii="Times New Roman" w:hAnsi="Times New Roman"/>
          <w:b w:val="false"/>
          <w:i w:val="false"/>
          <w:color w:val="000000"/>
          <w:sz w:val="22"/>
        </w:rPr>
        <w:t>The pH and temperature values at the boundary of the mixing zone used to select the chronic ammonia criteria of Table 3 will be from one of the following sources. The source of the pH and temperature data will follow the sequence listed below, if applicable data exists from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pH and temperature data provided by the applicant gathered at their mixing zone boundary. Procedures for obtaining this data are noted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Regional background pH and temperature data provided by the applicant gathered along the receiving stream and representative of the background conditions at the outfall. Procedures for obtaining this data are noted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statewide median background values as determined by the department.</w:t>
      </w:r>
    </w:p>
    <w:p>
      <w:pPr>
        <w:spacing w:before="0" w:after="0"/>
        <w:ind w:left="120"/>
        <w:jc w:val="both"/>
      </w:pPr>
      <w:r>
        <w:rPr>
          <w:rFonts w:ascii="Times New Roman" w:hAnsi="Times New Roman"/>
          <w:b w:val="false"/>
          <w:i w:val="false"/>
          <w:color w:val="000000"/>
          <w:sz w:val="22"/>
        </w:rPr>
        <w:t>The stream flow in the zone of initial dilution used in determining effluent limits to ensure compliance with the acute criteria of Table 3 may not exceed 5 percent of the calculated flow associated with the mixing zone for facilities with a dilution ratio of less than or equal to 2:1, and not exceed 10 percent of the calculated flow associated with the mixing zone for facilities with a dilution ratio of greater than 2:1. The pH and temperature values at the boundary of the zone of initial dilution used to select the acute ammonia criteria of Table 3 will be from one of the following sources and follow the sequence listed below, if applicable data exists from the source.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Specific effluent pH and temperature data if the dilution ratio is less than or equal to 2:1.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dilution ratio is greater than 2:1, the logarithmic average pH of the effluent and the regional or statewide pH provided in </w:t>
      </w:r>
      <w:hyperlink r:id="rId30">
        <w:r>
          <w:rPr>
            <w:rStyle w:val="Hyperlink"/>
            <w:rFonts w:ascii="Times New Roman" w:hAnsi="Times New Roman"/>
            <w:b w:val="false"/>
            <w:i w:val="false"/>
            <w:color w:val="000000"/>
            <w:sz w:val="22"/>
          </w:rPr>
          <w:t>61.2(4)</w:t>
        </w:r>
        <w:r>
          <w:rPr>
            <w:rFonts w:ascii="Times New Roman" w:hAnsi="Times New Roman"/>
            <w:b w:val="false"/>
            <w:i/>
            <w:color w:val="000000"/>
            <w:sz w:val="22"/>
          </w:rPr>
          <w:t>“f”</w:t>
        </w:r>
      </w:hyperlink>
      <w:r>
        <w:rPr>
          <w:rFonts w:ascii="Times New Roman" w:hAnsi="Times New Roman"/>
          <w:b w:val="false"/>
          <w:i w:val="false"/>
          <w:color w:val="000000"/>
          <w:sz w:val="22"/>
        </w:rPr>
        <w:t xml:space="preserve"> will be used. In addition, the flow proportioned average temperature of the effluent and the regional or statewide temperature provided in </w:t>
      </w:r>
      <w:hyperlink r:id="rId31">
        <w:r>
          <w:rPr>
            <w:rStyle w:val="Hyperlink"/>
            <w:rFonts w:ascii="Times New Roman" w:hAnsi="Times New Roman"/>
            <w:b w:val="false"/>
            <w:i w:val="false"/>
            <w:color w:val="000000"/>
            <w:sz w:val="22"/>
          </w:rPr>
          <w:t>61.2(4)</w:t>
        </w:r>
        <w:r>
          <w:rPr>
            <w:rFonts w:ascii="Times New Roman" w:hAnsi="Times New Roman"/>
            <w:b w:val="false"/>
            <w:i/>
            <w:color w:val="000000"/>
            <w:sz w:val="22"/>
          </w:rPr>
          <w:t>“f”</w:t>
        </w:r>
      </w:hyperlink>
      <w:r>
        <w:rPr>
          <w:rFonts w:ascii="Times New Roman" w:hAnsi="Times New Roman"/>
          <w:b w:val="false"/>
          <w:i w:val="false"/>
          <w:color w:val="000000"/>
          <w:sz w:val="22"/>
        </w:rPr>
        <w:t xml:space="preserve"> will be used. The procedures for calculating these data are noted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ammonia criteria noted in Table 3, the following exceptions apply to the mixing zone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mixing zone or zone of initial dilution will be allowed for waters designated as lakes or wetlands.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zone of initial dilution will be allowed in waters designated as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 diffuser device to promote rapid mixing of an effluent in a receiving stream will be considered on a case-by-case basis with its usage as a means for dischargers to comply with an acute numerical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discharger to interior streams and rivers, the Big Sioux and Des Moines Rivers, and the Mississippi and Missouri Rivers may provide to the department, for consideration, instream data which technically supports the allowance of an increased percentage of the stream flow contained in the mixing zone due to rapid and complete mixing. Any allowed increase in mixing zone flow would still be governed by the mixing zone length restrictions. The submission of data should follow the guidance provided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Temperature changes within mixing zones established for heat dissipation will not exceed the temperature criteria in </w:t>
      </w:r>
      <w:hyperlink r:id="rId32">
        <w:r>
          <w:rPr>
            <w:rStyle w:val="Hyperlink"/>
            <w:rFonts w:ascii="Times New Roman" w:hAnsi="Times New Roman"/>
            <w:b w:val="false"/>
            <w:i w:val="false"/>
            <w:color w:val="000000"/>
            <w:sz w:val="22"/>
          </w:rPr>
          <w:t>61.3(3)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appropriateness of establishing a mixing zone where a substance discharged is bioaccumulative, persistent, carcinogenic, mutagenic, or teratogenic will be carefully evaluated. In such cases, effects such as potential groundwater contamination, sediment deposition, fish attraction, bioaccumulation in aquatic life, bioconcentration in the food chain, and known or predicted safe exposure levels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Implementation strategy. </w:t>
      </w:r>
      <w:r>
        <w:rPr>
          <w:rFonts w:ascii="Times New Roman" w:hAnsi="Times New Roman"/>
          <w:b w:val="false"/>
          <w:i w:val="false"/>
          <w:color w:val="000000"/>
          <w:sz w:val="22"/>
        </w:rPr>
        <w:t>Numerical criteria specified in these water quality standards shall be met when the flow of the receiving stream equals or exceeds the design low flows noted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630"/>
        <w:gridCol w:w="5560"/>
      </w:tblGrid>
      <w:tr>
        <w:trPr>
          <w:trHeight w:val="240" w:hRule="atLeast"/>
        </w:trPr>
        <w:tc>
          <w:tcPr>
            <w:tcW w:w="563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Type of Numerical Criteria</w:t>
            </w:r>
          </w:p>
        </w:tc>
        <w:tc>
          <w:tcPr>
            <w:tcW w:w="556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Design Low Flow Regime</w:t>
            </w:r>
          </w:p>
        </w:tc>
      </w:tr>
      <w:tr>
        <w:trPr>
          <w:trHeight w:val="24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Aquatic Life Protection (TOXICS)</w:t>
            </w:r>
          </w:p>
        </w:tc>
      </w:tr>
      <w:tr>
        <w:trPr>
          <w:trHeight w:val="285" w:hRule="atLeast"/>
        </w:trPr>
        <w:tc>
          <w:tcPr>
            <w:tcW w:w="56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Acute</w:t>
            </w:r>
          </w:p>
        </w:tc>
        <w:tc>
          <w:tcPr>
            <w:tcW w:w="5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1Q</w:t>
            </w:r>
            <w:r>
              <w:rPr>
                <w:rFonts w:ascii="Times New Roman" w:hAnsi="Times New Roman"/>
                <w:b w:val="false"/>
                <w:i w:val="false"/>
                <w:color w:val="000000"/>
                <w:sz w:val="18"/>
                <w:vertAlign w:val="subscript"/>
              </w:rPr>
              <w:t>10</w:t>
            </w:r>
          </w:p>
        </w:tc>
      </w:tr>
      <w:tr>
        <w:trPr>
          <w:trHeight w:val="285" w:hRule="atLeast"/>
        </w:trPr>
        <w:tc>
          <w:tcPr>
            <w:tcW w:w="56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Chronic</w:t>
            </w:r>
          </w:p>
        </w:tc>
        <w:tc>
          <w:tcPr>
            <w:tcW w:w="5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7Q</w:t>
            </w:r>
            <w:r>
              <w:rPr>
                <w:rFonts w:ascii="Times New Roman" w:hAnsi="Times New Roman"/>
                <w:b w:val="false"/>
                <w:i w:val="false"/>
                <w:color w:val="000000"/>
                <w:sz w:val="18"/>
                <w:vertAlign w:val="subscript"/>
              </w:rPr>
              <w:t>10</w:t>
            </w:r>
          </w:p>
        </w:tc>
      </w:tr>
      <w:tr>
        <w:trPr>
          <w:trHeight w:val="2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Aquatic Life Protection (AMMONIA - N)</w:t>
            </w:r>
          </w:p>
        </w:tc>
      </w:tr>
      <w:tr>
        <w:trPr>
          <w:trHeight w:val="510" w:hRule="atLeast"/>
        </w:trPr>
        <w:tc>
          <w:tcPr>
            <w:tcW w:w="56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Acute</w:t>
            </w:r>
          </w:p>
        </w:tc>
        <w:tc>
          <w:tcPr>
            <w:tcW w:w="5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1Q</w:t>
            </w:r>
            <w:r>
              <w:rPr>
                <w:rFonts w:ascii="Times New Roman" w:hAnsi="Times New Roman"/>
                <w:b w:val="false"/>
                <w:i w:val="false"/>
                <w:color w:val="000000"/>
                <w:sz w:val="18"/>
                <w:vertAlign w:val="subscript"/>
              </w:rPr>
              <w:t>10</w:t>
            </w:r>
          </w:p>
        </w:tc>
      </w:tr>
      <w:tr>
        <w:trPr>
          <w:trHeight w:val="285" w:hRule="atLeast"/>
        </w:trPr>
        <w:tc>
          <w:tcPr>
            <w:tcW w:w="56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Chronic</w:t>
            </w:r>
          </w:p>
        </w:tc>
        <w:tc>
          <w:tcPr>
            <w:tcW w:w="5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30Q</w:t>
            </w:r>
            <w:r>
              <w:rPr>
                <w:rFonts w:ascii="Times New Roman" w:hAnsi="Times New Roman"/>
                <w:b w:val="false"/>
                <w:i w:val="false"/>
                <w:color w:val="000000"/>
                <w:sz w:val="18"/>
                <w:vertAlign w:val="subscript"/>
              </w:rPr>
              <w:t>10</w:t>
            </w:r>
          </w:p>
        </w:tc>
      </w:tr>
      <w:tr>
        <w:trPr>
          <w:trHeight w:val="2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Human Health Protection &amp; MCL</w:t>
            </w:r>
          </w:p>
        </w:tc>
      </w:tr>
      <w:tr>
        <w:trPr>
          <w:trHeight w:val="285" w:hRule="atLeast"/>
        </w:trPr>
        <w:tc>
          <w:tcPr>
            <w:tcW w:w="56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Noncarcinogenic</w:t>
            </w:r>
          </w:p>
        </w:tc>
        <w:tc>
          <w:tcPr>
            <w:tcW w:w="5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30Q</w:t>
            </w:r>
            <w:r>
              <w:rPr>
                <w:rFonts w:ascii="Times New Roman" w:hAnsi="Times New Roman"/>
                <w:b w:val="false"/>
                <w:i w:val="false"/>
                <w:color w:val="000000"/>
                <w:sz w:val="18"/>
                <w:vertAlign w:val="subscript"/>
              </w:rPr>
              <w:t>5</w:t>
            </w:r>
          </w:p>
        </w:tc>
      </w:tr>
      <w:tr>
        <w:trPr>
          <w:trHeight w:val="225" w:hRule="atLeast"/>
        </w:trPr>
        <w:tc>
          <w:tcPr>
            <w:tcW w:w="563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Carcinogenic</w:t>
            </w:r>
          </w:p>
        </w:tc>
        <w:tc>
          <w:tcPr>
            <w:tcW w:w="5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Harmonic mean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allowable 3°C temperature increase criterion for warm water interior streams, </w:t>
      </w:r>
      <w:hyperlink r:id="rId33">
        <w:r>
          <w:rPr>
            <w:rStyle w:val="Hyperlink"/>
            <w:rFonts w:ascii="Times New Roman" w:hAnsi="Times New Roman"/>
            <w:b w:val="false"/>
            <w:i w:val="false"/>
            <w:color w:val="000000"/>
            <w:sz w:val="22"/>
          </w:rPr>
          <w:t>61.3(3)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“1,” is based in part on the need to protect fish from cold shock due to rapid cessation of heat source and resultant return of the receiving stream temperature to natural background temperature. On low flow streams, in winter, during certain conditions of relatively cold background stream temperature and relatively warm ambient air and groundwater temperature, certain wastewater treatment plants with relatively constant flow and constant temperature discharges will cause temperature increases in the receiving stream greater than allowed in </w:t>
      </w:r>
      <w:hyperlink r:id="rId34">
        <w:r>
          <w:rPr>
            <w:rStyle w:val="Hyperlink"/>
            <w:rFonts w:ascii="Times New Roman" w:hAnsi="Times New Roman"/>
            <w:b w:val="false"/>
            <w:i w:val="false"/>
            <w:color w:val="000000"/>
            <w:sz w:val="22"/>
          </w:rPr>
          <w:t>61.3(3)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period November 1 to March 31, for the purpose of applying the 3°C temperature increase criterion, the minimum protected receiving stream flow rate below such discharges may be increased to not more than three times the rate of flow of the discharge, where there is reasonable assurance that the discharge is of such constant temperature and flow rate and continuous duration as to not constitute a threat of heat cessation and not cause the receiving stream temperature to vary more than 3°C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Site-specific water quality criteria may be allowed in lieu of the specific numerical criteria listed in Tables 1 and 3 of this chapter if adequate documentation is provided to show that the proposed criteria will protect all existing or potential uses of the surface water. Site-specific water quality criteria may be appropriate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of organisms differ significantly from those used in setting the statewide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chemical characteristics of the surface water such as pH, temperature, and hardness differ significantly from the characteristics used in setting the statewide criteria.</w:t>
      </w:r>
    </w:p>
    <w:p>
      <w:pPr>
        <w:spacing w:before="0" w:after="0"/>
        <w:ind w:left="120"/>
        <w:jc w:val="both"/>
      </w:pPr>
      <w:r>
        <w:rPr>
          <w:rFonts w:ascii="Times New Roman" w:hAnsi="Times New Roman"/>
          <w:b w:val="false"/>
          <w:i w:val="false"/>
          <w:color w:val="000000"/>
          <w:sz w:val="22"/>
        </w:rPr>
        <w:t>Development of site-specific criteria shall include an evaluation of the chemical and biological characteristics of the water resource and an evaluation of the impact of the discharge. All evaluations for site-specific criteria modification must be coordinated through the department, and be conducted using scientifically accepted procedures approved by the department. Any site-specific criterion developed under the provisions of this subrule is subject to the review and approval of the U.S. Environmental Protection Agency. All criteria approved under the provisions of this subrule will be published periodically by the department. Guidelines for establishing site-specific water quality criteria can be found in “Water Quality Standards Handbook,” published by the U.S. Environmental Protection Agency, December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wastewater treatment facility may submit to the department technically valid instream data which provides additional information to be used in the calculations of their wasteload allocations and effluent limitations. This information would be in association with the low flow characteristics, width, length and time of travel associated with the mixing zone or decay rates of various effluent parameters. The wasteload allocation will be calculated considering the applicable data and consistent with the provisions and restrictions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use assessment and related use attainability analyses on water bodies where uses may not be known or adequately documented. The preparation of use attainability analysis documents will consider available U.S. Environmental Protection Agency guidance or other applicable guidance. Credible data and documentation will be used to assist in the preparation of use assessments and use attainability analysis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color w:val="000000"/>
          <w:sz w:val="22"/>
        </w:rPr>
        <w:t xml:space="preserve">State water quality certification. </w:t>
      </w:r>
      <w:r>
        <w:rPr>
          <w:rFonts w:ascii="Times New Roman" w:hAnsi="Times New Roman"/>
          <w:b w:val="false"/>
          <w:i w:val="false"/>
          <w:color w:val="000000"/>
          <w:sz w:val="22"/>
        </w:rPr>
        <w:t>This subrule describes the procedures the department will follow when processing certification requests for state water quality certification (certification) of federally issued licenses and permits pursuant to Section 401 of the Act, including but not limited to permits issued by the United States Corps of Engineers (Corps) pursuant to Section 404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The department shall receive, consider, and process certification requests in accordance with Section 401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requests. Certification requests shall be made on the department’s Section 401 Water Quality Certification Request form. This form is available on the department’s website. Individual permits or licenses issued by federal agencies require submission of a prefiling meeting request and certification request to obtain certification. The prefiling meeting request must be submitted to the department at least 30 days prior to submitting the certification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notice. The department shall issue a public notice of a certification request. The public notice may be a joint public notice issued by a federal agency on behalf of the department. When there is no joint public notice issued by the federal agency, a public notice issued by the department will be provided on its website. The public notice shall solicit comments from the public regarding whether the proposed project complies with state water quality requirements in accordance with Section 401 of the Act. The public notice shall specify the procedure and time frame for submitting comments on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 notice for new or renewed nationwide or regional permits. The department shall provide additional notice to the public of certification of new or renewed nationwide or regional permits issued by the Corps pursuant to Section 404 of the Act. The department shall provide such notice on its website. The public notice shall solicit comments from the public regarding whether the proposed permit complies with state water quality requirements in accordance with Section 401 of the Act. The public notice shall specify the procedure and time frame for submitting comments on the proposed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Department action on certification request. After the close of the public comment period and consideration of comments received, the department may issue a certification letter which may include conditions necessary to ensure compliance with state water quality requirements, waive issuance of the certification, or deny certification in accordance with Section 401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Certification of federal permits or licenses may require conditions, which may include one or more of the following, to ensure water quality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construction and upon completion of the project, actions must be taken to prevent pollution affecting public health, fish, shellfish, wildlife, and recreation due to turbidity, pH, nutrients, suspended solids, floating debris, visible oil and grease, or other pollutants entering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used in waters of the state shall be cleaned of all hazardous materials, pesticides, fuels, lubricants, oils, hydraulic fluids, or other construction-related, potentially hazardous substances before arriving on site. Wash water shall not be discharged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cleared vegetative material shall be properly managed in such a manner that it cannot enter a water of the state and cause a violation of water quality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construction debris shall be properly managed in such a manner that it cannot enter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Erosion shall be managed so that sediment is not discharged to a water of the state in a manner that causes a violation of water quality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Riprap, treated lumber products, and temporary structures shall consist of clean material free of coatings of potentially hazardous substances. No asphalt or petroleum-based material shall be used as or included in material placed in any water of the state or within the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Stockpiled dredged materials on the shore shall be managed so that sediment is not discharged in a manner that causes a violation of water quality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Water quality monitoring will be required for Federal Energy Regulatory Commission hydropower projects at the baseline, construction and operational phases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Hydraulically dredged material shall be managed to ensure the return water meets water quality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Duration of certification. The department’s certification shall remain in effect until the expiration date of the applicable permit or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8214B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8466B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9330B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(See Delay note at the end of chapter); </w:t>
      </w:r>
      <w:r>
        <w:rPr>
          <w:rFonts w:ascii="Times New Roman" w:hAnsi="Times New Roman"/>
          <w:b/>
          <w:i w:val="false"/>
          <w:color w:val="000000"/>
          <w:sz w:val="16"/>
        </w:rPr>
        <w:t>ARC 0121C</w:t>
      </w:r>
      <w:r>
        <w:rPr>
          <w:rFonts w:ascii="Times New Roman" w:hAnsi="Times New Roman"/>
          <w:b w:val="false"/>
          <w:i w:val="false"/>
          <w:color w:val="000000"/>
          <w:sz w:val="16"/>
        </w:rPr>
        <w:t>, IAB 5/16/12, effective 6/20/12</w:t>
      </w:r>
      <w:r>
        <w:rPr>
          <w:rFonts w:ascii="Times New Roman" w:hAnsi="Times New Roman"/>
          <w:b w:val="false"/>
          <w:i w:val="false"/>
          <w:color w:val="000000"/>
          <w:sz w:val="16"/>
        </w:rPr>
        <w:t xml:space="preserve">; </w:t>
      </w:r>
      <w:r>
        <w:rPr>
          <w:rFonts w:ascii="Times New Roman" w:hAnsi="Times New Roman"/>
          <w:b/>
          <w:i w:val="false"/>
          <w:color w:val="000000"/>
          <w:sz w:val="16"/>
        </w:rPr>
        <w:t>ARC 1495C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2695C</w:t>
      </w:r>
      <w:r>
        <w:rPr>
          <w:rFonts w:ascii="Times New Roman" w:hAnsi="Times New Roman"/>
          <w:b w:val="false"/>
          <w:i w:val="false"/>
          <w:color w:val="000000"/>
          <w:sz w:val="16"/>
        </w:rPr>
        <w:t>, IAB 8/31/16, effective 8/12/16</w:t>
      </w:r>
      <w:r>
        <w:rPr>
          <w:rFonts w:ascii="Times New Roman" w:hAnsi="Times New Roman"/>
          <w:b w:val="false"/>
          <w:i w:val="false"/>
          <w:color w:val="000000"/>
          <w:sz w:val="16"/>
        </w:rPr>
        <w:t xml:space="preserve">; </w:t>
      </w:r>
      <w:r>
        <w:rPr>
          <w:rFonts w:ascii="Times New Roman" w:hAnsi="Times New Roman"/>
          <w:b/>
          <w:i w:val="false"/>
          <w:color w:val="000000"/>
          <w:sz w:val="16"/>
        </w:rPr>
        <w:t>ARC 3583C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5226C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5679C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567—61.3</w:t>
      </w:r>
      <w:r>
        <w:rPr>
          <w:rFonts w:ascii="Times New Roman" w:hAnsi="Times New Roman"/>
          <w:b/>
          <w:i w:val="false"/>
          <w:color w:val="000000"/>
          <w:sz w:val="22"/>
        </w:rPr>
        <w:t xml:space="preserve">(455B) </w:t>
      </w:r>
      <w:r>
        <w:rPr>
          <w:rFonts w:ascii="Times New Roman" w:hAnsi="Times New Roman"/>
          <w:b/>
          <w:i w:val="false"/>
          <w:color w:val="000000"/>
          <w:sz w:val="22"/>
        </w:rPr>
        <w:t xml:space="preserve">Surface water quality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Surface water classification. </w:t>
      </w:r>
      <w:r>
        <w:rPr>
          <w:rFonts w:ascii="Times New Roman" w:hAnsi="Times New Roman"/>
          <w:b w:val="false"/>
          <w:i w:val="false"/>
          <w:color w:val="000000"/>
          <w:sz w:val="22"/>
        </w:rPr>
        <w:t>All waters of the state are classified for protection of beneficial uses. These classified waters include general use segments and designated use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use segments. </w:t>
      </w:r>
      <w:r>
        <w:rPr>
          <w:rFonts w:ascii="Times New Roman" w:hAnsi="Times New Roman"/>
          <w:b w:val="false"/>
          <w:i w:val="false"/>
          <w:color w:val="000000"/>
          <w:sz w:val="22"/>
        </w:rPr>
        <w:t>These are intermittent watercourses and those watercourses which typically flow only for short periods of time following precipitation and whose channels are normally above the water table. These waters do not support a viable aquatic community during low flow and do not maintain pooled conditions during periods of no flow.</w:t>
      </w:r>
    </w:p>
    <w:p>
      <w:pPr>
        <w:spacing w:before="0" w:after="0"/>
        <w:ind w:left="120"/>
        <w:jc w:val="both"/>
      </w:pPr>
      <w:r>
        <w:rPr>
          <w:rFonts w:ascii="Times New Roman" w:hAnsi="Times New Roman"/>
          <w:b w:val="false"/>
          <w:i w:val="false"/>
          <w:color w:val="000000"/>
          <w:sz w:val="22"/>
        </w:rPr>
        <w:t>The general use segments are to be protected for livestock and wildlife watering, aquatic life, noncontact recreation, crop irrigation, and industrial, agricultural, domestic and other incidental water withdrawal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Designated use segments. </w:t>
      </w:r>
      <w:r>
        <w:rPr>
          <w:rFonts w:ascii="Times New Roman" w:hAnsi="Times New Roman"/>
          <w:b w:val="false"/>
          <w:i w:val="false"/>
          <w:color w:val="000000"/>
          <w:sz w:val="22"/>
        </w:rPr>
        <w:t>These are water bodies which maintain flow throughout the year or contain sufficient pooled areas during intermittent flow periods to maintain a viable aquatic community.</w:t>
      </w:r>
    </w:p>
    <w:p>
      <w:pPr>
        <w:spacing w:before="0" w:after="0"/>
        <w:ind w:left="120"/>
        <w:jc w:val="both"/>
      </w:pPr>
      <w:r>
        <w:rPr>
          <w:rFonts w:ascii="Times New Roman" w:hAnsi="Times New Roman"/>
          <w:b w:val="false"/>
          <w:i w:val="false"/>
          <w:color w:val="000000"/>
          <w:sz w:val="22"/>
        </w:rPr>
        <w:t xml:space="preserve">All perennial rivers and streams as identified by the U.S. Geological Survey 1:100,000 DLG Hydrography Data Map (published July 1993) or intermittent streams with perennial pools in Iowa not specifically listed in the surface water classification of </w:t>
      </w:r>
      <w:hyperlink r:id="rId35">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are designated as Class B(WW-1) waters.</w:t>
      </w:r>
    </w:p>
    <w:p>
      <w:pPr>
        <w:spacing w:before="0" w:after="0"/>
        <w:ind w:left="120"/>
        <w:jc w:val="both"/>
      </w:pPr>
      <w:r>
        <w:rPr>
          <w:rFonts w:ascii="Times New Roman" w:hAnsi="Times New Roman"/>
          <w:b w:val="false"/>
          <w:i w:val="false"/>
          <w:color w:val="000000"/>
          <w:sz w:val="22"/>
        </w:rPr>
        <w:t>All perennial rivers and streams as identified by the U.S. Geological Survey 1:100,000 DLG Hydrography Data Map (published July 1993) or intermittent streams with perennial pools in Iowa are designated as Class A1 waters.</w:t>
      </w:r>
    </w:p>
    <w:p>
      <w:pPr>
        <w:spacing w:before="0" w:after="0"/>
        <w:ind w:left="120"/>
        <w:jc w:val="both"/>
      </w:pPr>
      <w:r>
        <w:rPr>
          <w:rFonts w:ascii="Times New Roman" w:hAnsi="Times New Roman"/>
          <w:b w:val="false"/>
          <w:i w:val="false"/>
          <w:color w:val="000000"/>
          <w:sz w:val="22"/>
        </w:rPr>
        <w:t xml:space="preserve">Designated uses of segments may change based on a use attainability analysis consistent with </w:t>
      </w:r>
      <w:hyperlink r:id="rId36">
        <w:r>
          <w:rPr>
            <w:rStyle w:val="Hyperlink"/>
            <w:rFonts w:ascii="Times New Roman" w:hAnsi="Times New Roman"/>
            <w:b w:val="false"/>
            <w:i w:val="false"/>
            <w:color w:val="000000"/>
            <w:sz w:val="22"/>
          </w:rPr>
          <w:t>61.2(5)</w:t>
        </w:r>
        <w:r>
          <w:rPr>
            <w:rFonts w:ascii="Times New Roman" w:hAnsi="Times New Roman"/>
            <w:b w:val="false"/>
            <w:i/>
            <w:color w:val="000000"/>
            <w:sz w:val="22"/>
          </w:rPr>
          <w:t>“e.”</w:t>
        </w:r>
      </w:hyperlink>
      <w:r>
        <w:rPr>
          <w:rFonts w:ascii="Times New Roman" w:hAnsi="Times New Roman"/>
          <w:b w:val="false"/>
          <w:i w:val="false"/>
          <w:color w:val="000000"/>
          <w:sz w:val="22"/>
        </w:rPr>
        <w:t xml:space="preserve"> Designated use changes will be specifically listed in the surface water classification of </w:t>
      </w:r>
      <w:hyperlink r:id="rId37">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Designated use waters are to be protected for all uses of general use segments in addition to the specific uses assigned. Designated use segments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contact recreational use (Class “A1”). Waters in which recreational or other uses may result in prolonged and direct contact with the water, involving considerable risk of ingesting water in quantities sufficient to pose a health hazard. Such activities would include, but not be limited to, swimming, diving, water skiing, and water contact recreational canoeing.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Secondary contact recreational use (Class “A2”). Waters in which recreational or other uses may result in contact with the water that is either incidental or accidental. During the recreational use, the probability of ingesting appreciable quantities of water is minimal. Class A2 uses include fishing, commercial and recreational boating, any limited contact incidental to shoreline activities and activities in which users do not swim or float in the water body while on a boating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Children’s recreational use (Class “A3”). Waters in which recreational uses by children are common. Class A3 waters are water bodies having definite banks and bed with visible evidence of the flow or occurrence of water. This type of use would primarily occur in urban or residential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Cold water aquatic life—Type 1 (Class “B(CW1)”). Waters in which the temperature and flow are suitable for the maintenance of a variety of cold water species, including reproducing and nonreproducing populations of trout (</w:t>
      </w:r>
      <w:r>
        <w:rPr>
          <w:rFonts w:ascii="Times New Roman" w:hAnsi="Times New Roman"/>
          <w:b w:val="false"/>
          <w:i/>
          <w:color w:val="000000"/>
          <w:sz w:val="22"/>
        </w:rPr>
        <w:t>Salmonidae</w:t>
      </w:r>
      <w:r>
        <w:rPr>
          <w:rFonts w:ascii="Times New Roman" w:hAnsi="Times New Roman"/>
          <w:b w:val="false"/>
          <w:i w:val="false"/>
          <w:color w:val="000000"/>
          <w:sz w:val="22"/>
        </w:rPr>
        <w:t xml:space="preserve"> family) and associated aquatic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Cold water aquatic life—Type 2 (Class “B(CW2)”). Waters that include small, channeled streams, headwaters, and spring runs that possess natural cold water attributes of temperature and flow. These waters usually do not support consistent populations of trout (</w:t>
      </w:r>
      <w:r>
        <w:rPr>
          <w:rFonts w:ascii="Times New Roman" w:hAnsi="Times New Roman"/>
          <w:b w:val="false"/>
          <w:i/>
          <w:color w:val="000000"/>
          <w:sz w:val="22"/>
        </w:rPr>
        <w:t>Salmonidae</w:t>
      </w:r>
      <w:r>
        <w:rPr>
          <w:rFonts w:ascii="Times New Roman" w:hAnsi="Times New Roman"/>
          <w:b w:val="false"/>
          <w:i w:val="false"/>
          <w:color w:val="000000"/>
          <w:sz w:val="22"/>
        </w:rPr>
        <w:t xml:space="preserve"> family), but may support associated vertebrate and invertebrate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Warm water—Type 1 (Class “B(WW-1)”). Waters in which temperature, flow and other habitat characteristics are suitable to maintain warm water game fish populations along with a resident aquatic community that includes a variety of native nongame fish and invertebrate species. These waters generally include border rivers, large interior rivers, and the lower segments of medium-size tributary streams.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Warm water—Type 2 (Class “B(WW-2)”). Waters in which flow or other physical characteristics are capable of supporting a resident aquatic community that includes a variety of native nongame fish and invertebrate species. The flow and other physical characteristics limit the maintenance of warm water game fish populations. These waters generally consist of small perennially flowing streams.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Warm water—Type 3 (Class “B(WW-3)”). Waters in which flow persists during periods when antecedent soil moisture and groundwater discharge levels are adequate; however, aquatic habitat typically consists of nonflowing pools during dry periods of the year. These waters generally include small streams of marginally perennial aquatic habitat status. Such waters support a limited variety of native fish and invertebrate species that are adapted to survive in relatively harsh aquatic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Lakes and wetlands (Class “B(LW)”). These are artificial and natural impoundments with hydraulic retention times and other physical and chemical characteristics suitable to maintain a balanced community normally associated with lake-like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Human health (Class “HH”). Waters in which fish are routinely harvested for human consumption or waters both designated as a drinking water supply and in which fish are routinely harvested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Drinking water supply (Class “C”). Waters which are used as a raw water source of potable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General water quality criteria. </w:t>
      </w:r>
      <w:r>
        <w:rPr>
          <w:rFonts w:ascii="Times New Roman" w:hAnsi="Times New Roman"/>
          <w:b w:val="false"/>
          <w:i w:val="false"/>
          <w:color w:val="000000"/>
          <w:sz w:val="22"/>
        </w:rPr>
        <w:t xml:space="preserve">The following criteria are applicable to all surface waters including general use and designated use waters, at all places and at all times for the uses described in </w:t>
      </w:r>
      <w:hyperlink r:id="rId38">
        <w:r>
          <w:rPr>
            <w:rStyle w:val="Hyperlink"/>
            <w:rFonts w:ascii="Times New Roman" w:hAnsi="Times New Roman"/>
            <w:b w:val="false"/>
            <w:i w:val="false"/>
            <w:color w:val="000000"/>
            <w:sz w:val="22"/>
          </w:rPr>
          <w:t>61.3(1)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waters shall be free from substances attributable to point source wastewater discharges that will settle to form sludge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waters shall be free from floating debris, oil, grease, scum and other floating materials attributable to wastewater discharges or agricultural practices in amounts sufficient to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waters shall be free from materials attributable to wastewater discharges or agricultural practices producing objectionable color, odor or other aesthetically objectionable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waters shall be free from substances attributable to wastewater discharges or agricultural practices in concentrations or combinations which are acutely toxic to human, animal, or plant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waters shall be free from substances, attributable to wastewater discharges or agricultural practices, in quantities which would produce undesirable or nuisance aquatic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turbidity of the receiving water shall not be increased by more than 25 Nephelometric turbidity units by any point source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Cations and anions guideline values to protect livestock watering may be found in the “Iowa Wasteload Allocation (WLA) Procedure,” as revised on November 11,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color w:val="000000"/>
          <w:sz w:val="22"/>
        </w:rPr>
        <w:t>Escherichia coli (E. coli)</w:t>
      </w:r>
      <w:r>
        <w:rPr>
          <w:rFonts w:ascii="Times New Roman" w:hAnsi="Times New Roman"/>
          <w:b w:val="false"/>
          <w:i w:val="false"/>
          <w:color w:val="000000"/>
          <w:sz w:val="22"/>
        </w:rPr>
        <w:t xml:space="preserve"> content of water which enters a sinkhole or losing stream segment, regardless of the water body’s designated use, shall not exceed a Geometric Mean value of 126 organisms/100 ml or a sample maximum value of 235 organisms/100 ml. No new wastewater discharges will be allowed on watercourses which directly or indirectly enter sinkholes or losing stream segments.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Specific water quality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waters. </w:t>
      </w:r>
      <w:r>
        <w:rPr>
          <w:rFonts w:ascii="Times New Roman" w:hAnsi="Times New Roman"/>
          <w:b w:val="false"/>
          <w:i w:val="false"/>
          <w:color w:val="000000"/>
          <w:sz w:val="22"/>
        </w:rPr>
        <w:t xml:space="preserve">Waters which are designated as Class “A1,” “A2,” or “A3” in subrule </w:t>
      </w:r>
      <w:hyperlink r:id="rId39">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are to be protected for primary contact, secondary contact, and children’s recreational uses. The general criteria of subrule </w:t>
      </w:r>
      <w:hyperlink r:id="rId40">
        <w:r>
          <w:rPr>
            <w:rStyle w:val="Hyperlink"/>
            <w:rFonts w:ascii="Times New Roman" w:hAnsi="Times New Roman"/>
            <w:b w:val="false"/>
            <w:i w:val="false"/>
            <w:color w:val="000000"/>
            <w:sz w:val="22"/>
          </w:rPr>
          <w:t>61.3(2)</w:t>
        </w:r>
      </w:hyperlink>
      <w:r>
        <w:rPr>
          <w:rFonts w:ascii="Times New Roman" w:hAnsi="Times New Roman"/>
          <w:b w:val="false"/>
          <w:i w:val="false"/>
          <w:color w:val="000000"/>
          <w:sz w:val="22"/>
        </w:rPr>
        <w:t xml:space="preserve"> and the following specific criteria apply to all Class “A”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color w:val="000000"/>
          <w:sz w:val="22"/>
        </w:rPr>
        <w:t>Escherichia coli (E. coli)</w:t>
      </w:r>
      <w:r>
        <w:rPr>
          <w:rFonts w:ascii="Times New Roman" w:hAnsi="Times New Roman"/>
          <w:b w:val="false"/>
          <w:i w:val="false"/>
          <w:color w:val="000000"/>
          <w:sz w:val="22"/>
        </w:rPr>
        <w:t xml:space="preserve"> content shall not exceed the levels noted in the Bacteria Criteria Table when the Class “A1,” “A2,” or “A3” uses can reasonably be expected to occur.</w:t>
      </w:r>
    </w:p>
    <w:p>
      <w:pPr>
        <w:spacing w:before="60" w:after="0"/>
        <w:ind w:left="120"/>
        <w:jc w:val="center"/>
      </w:pPr>
      <w:r>
        <w:rPr>
          <w:rFonts w:ascii="Times New Roman" w:hAnsi="Times New Roman"/>
          <w:b w:val="false"/>
          <w:i w:val="false"/>
          <w:color w:val="000000"/>
          <w:sz w:val="22"/>
        </w:rPr>
        <w:t>Bacteria Criteria Table (organisms/100 ml of 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93"/>
        <w:gridCol w:w="3648"/>
        <w:gridCol w:w="3749"/>
      </w:tblGrid>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Use or Category</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Geometric Mean</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Sample Maximum</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A1</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3/15 – 11/15</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11/16 – 3/14</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A2 (Only)</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3/15 – 11/15</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2880</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11/16 – 3/14</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A2 and B(CW)] or OIW or ONRW</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Year-Round</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630</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2880</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A3</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3/15 – 11/15</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r>
      <w:tr>
        <w:trPr>
          <w:trHeight w:val="225" w:hRule="atLeast"/>
        </w:trPr>
        <w:tc>
          <w:tcPr>
            <w:tcW w:w="3793" w:type="dxa"/>
            <w:tcBorders>
              <w:bottom w:val="single" w:color="000000" w:sz="8"/>
              <w:right w:val="single" w:color="000000" w:sz="8"/>
            </w:tcBorders>
            <w:tcMar>
              <w:top w:w="30" w:type="dxa"/>
              <w:left w:w="30" w:type="dxa"/>
              <w:bottom w:w="15" w:type="dxa"/>
              <w:right w:w="30" w:type="dxa"/>
            </w:tcMar>
            <w:vAlign w:val="top"/>
          </w:tcPr>
          <w:p>
            <w:pPr>
              <w:spacing w:before="0" w:after="0"/>
              <w:ind w:left="736"/>
              <w:jc w:val="left"/>
            </w:pPr>
            <w:r>
              <w:rPr>
                <w:rFonts w:ascii="Times New Roman" w:hAnsi="Times New Roman"/>
                <w:b w:val="false"/>
                <w:i w:val="false"/>
                <w:color w:val="000000"/>
                <w:sz w:val="16"/>
              </w:rPr>
              <w:t>11/16 – 3/14</w:t>
            </w:r>
          </w:p>
        </w:tc>
        <w:tc>
          <w:tcPr>
            <w:tcW w:w="36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c>
          <w:tcPr>
            <w:tcW w:w="37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Does not apply</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A1 - Primary Contact Recreational Use</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A2 - Secondary Contact Recreational Use</w:t>
            </w:r>
          </w:p>
        </w:tc>
      </w:tr>
      <w:tr>
        <w:trPr>
          <w:trHeight w:val="22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Class A3 - Children’s Recreational Use</w:t>
            </w:r>
          </w:p>
        </w:tc>
      </w:tr>
    </w:tbl>
    <w:p>
      <w:pPr>
        <w:spacing w:before="0" w:after="0"/>
        <w:ind w:left="120"/>
        <w:jc w:val="both"/>
      </w:pPr>
      <w:r>
        <w:rPr>
          <w:rFonts w:ascii="Times New Roman" w:hAnsi="Times New Roman"/>
          <w:b w:val="false"/>
          <w:i w:val="false"/>
          <w:color w:val="000000"/>
          <w:sz w:val="22"/>
        </w:rPr>
        <w:t>When a water body is designated for more than one of the recreational uses, the most stringent criteria for the appropriate season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shall not be less than 6.5 nor greater than 9.0. The maximum change permitted as a result of a waste discharge shall not exceed 0.5 pH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waters. </w:t>
      </w:r>
      <w:r>
        <w:rPr>
          <w:rFonts w:ascii="Times New Roman" w:hAnsi="Times New Roman"/>
          <w:b w:val="false"/>
          <w:i w:val="false"/>
          <w:color w:val="000000"/>
          <w:sz w:val="22"/>
        </w:rPr>
        <w:t xml:space="preserve">All waters which are designated as Class B(CW1), B(CW2), B(WW-1), B(WW-2), B(WW-3) or B(LW) are to be protected for wildlife, fish, aquatic, and semiaquatic life. The following criteria shall apply to all Class “B” waters designated in subrule </w:t>
      </w:r>
      <w:hyperlink r:id="rId41">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Dissolved oxygen. Dissolved oxygen shall not be less than the values shown in Table 2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 The pH shall not be less than 6.5 nor greater than 9.0. The maximum change permitted as a result of a waste discharge shall not exceed 0.5 pH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chemical constituents. The specific numerical criteria shown in Tables 1, 2, and 3 of this subrule apply to all waters designated in subrule </w:t>
      </w:r>
      <w:hyperlink r:id="rId42">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The sole determinant of compliance with these criteria will be established by the department on a case-by-case basis. Effluent monitoring or instream monitoring, or both, will be the required approach to determine compliance.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acute criteria represent the level of protection necessary to prevent acute toxicity to aquatic life. Instream concentrations above the acute criteria will be allowed only within the boundaries of the zone of initial dilution.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chronic criteria represent the level of protection necessary to prevent chronic toxicity to aquatic life. Excursions above the chronic criteria will be allowed only inside of mixing zones or only for short-term periods outside of mixing zones; however, these excursions cannot exceed the acute criteria shown in Tables 1 and 3. The chronic criteria will be met as short-term average conditions at all times the flow equals or exceeds either the design flows noted in subrule </w:t>
      </w:r>
      <w:hyperlink r:id="rId43">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 xml:space="preserve"> or any site-specific low flow established under the provisions of subrule </w:t>
      </w:r>
      <w:hyperlink r:id="rId44">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2/15/06</w:t>
      </w:r>
      <w:r>
        <w:rPr>
          <w:rFonts w:ascii="Times New Roman" w:hAnsi="Times New Roman"/>
          <w:b w:val="false"/>
          <w:i w:val="false"/>
          <w:color w:val="000000"/>
          <w:sz w:val="22"/>
        </w:rPr>
        <w:t>, effective 3/22/06.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2/15/06</w:t>
      </w:r>
      <w:r>
        <w:rPr>
          <w:rFonts w:ascii="Times New Roman" w:hAnsi="Times New Roman"/>
          <w:b w:val="false"/>
          <w:i w:val="false"/>
          <w:color w:val="000000"/>
          <w:sz w:val="22"/>
        </w:rPr>
        <w:t>, effective 3/22/06.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heat shall be added to interior streams or the Big Sioux River that would cause an increase of more than 3°C. The rate of temperature change shall not exceed 1°C per hour. In no case shall heat be added in excess of that amount that would raise the stream temperature above 32°C.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heat shall be added to streams designated as cold water fisheries that would cause an increase of more than 2°C. The rate of temperature change shall not exceed 1°C per hour. In no case shall heat be added in excess of that amount that would raise the stream temperature above 20°C.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heat shall be added to lakes and reservoirs that would cause an increase of more than 2°C. The rate of temperature change shall not exceed 1°C per hour. In no case shall heat be added in excess of that amount that would raise the temperature of the lake or reservoirs above 32°C.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 heat shall be added to the Missouri River that would cause an increase of more than 3°C. The rate of temperature change shall not exceed 1°C per hour. In no case shall heat be added that would raise the stream temperature above 32°C.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heat shall be added to the Mississippi River that would cause an increase of more than 3°C. The rate of temperature change shall not exceed 1°C per hour. In addition, the water temperature at representative locations in the Mississippi River shall not exceed the maximum limits in the table below during more than 1 percent of the hours in the 12-month period ending with any month. Moreover, at no time shall the water temperature at such locations exceed the maximum limits in the table below by more than 2°C.</w:t>
      </w:r>
    </w:p>
    <w:p>
      <w:pPr>
        <w:spacing w:before="0" w:after="0"/>
        <w:ind w:left="120"/>
        <w:jc w:val="both"/>
      </w:pPr>
      <w:r>
        <w:rPr>
          <w:rFonts w:ascii="Times New Roman" w:hAnsi="Times New Roman"/>
          <w:b w:val="false"/>
          <w:i w:val="false"/>
          <w:color w:val="000000"/>
          <w:sz w:val="22"/>
        </w:rPr>
        <w:t>Zone II—Iowa-Minnesota state line to the northern Illinois border (Mile Point 1534.6).</w:t>
      </w:r>
    </w:p>
    <w:p>
      <w:pPr>
        <w:spacing w:before="0" w:after="0"/>
        <w:ind w:left="120"/>
        <w:jc w:val="both"/>
      </w:pPr>
      <w:r>
        <w:rPr>
          <w:rFonts w:ascii="Times New Roman" w:hAnsi="Times New Roman"/>
          <w:b w:val="false"/>
          <w:i w:val="false"/>
          <w:color w:val="000000"/>
          <w:sz w:val="22"/>
        </w:rPr>
        <w:t>Zone III—Northern Illinois border (Mile Point 1534.6) to Iowa-Missouri state line.</w:t>
      </w:r>
    </w:p>
    <w:tbl>
      <w:tblPr>
        <w:tblW w:w="5000" w:type="pct"/>
        <w:tblCellSpacing w:w="0" w:type="auto"/>
        <w:tblBorders>
          <w:top w:val="none"/>
          <w:left w:val="none"/>
          <w:bottom w:val="none"/>
          <w:right w:val="none"/>
          <w:insideH w:val="none"/>
          <w:insideV w:val="none"/>
        </w:tblBorders>
        <w:tblLayout w:type="fixed"/>
      </w:tblPr>
      <w:tblGrid>
        <w:gridCol w:w="2238"/>
        <w:gridCol w:w="2238"/>
        <w:gridCol w:w="2238"/>
        <w:gridCol w:w="2238"/>
        <w:gridCol w:w="2238"/>
      </w:tblGrid>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Zone II</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Zone III</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March</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April</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June</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23°C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November</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December</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9°C</w:t>
            </w:r>
          </w:p>
        </w:tc>
        <w:tc>
          <w:tcPr>
            <w:tcW w:w="22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Early life stage for each use designation. The following seasons will be used in applying the early life stage present chronic criteria noted in Table 3b, “Chronic Criterion for Ammonia in Iowa Streams - Early Life Stages Present.”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all Class B(CW1) waters, the early life stage will be year-round.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all Class B(CW2) waters, the early life stage will begin on April 1 and last through September 30.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all Class B(WW-1) waters, the early life stage will begin in March and last through September, except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the following, the early life stage will begin in February and last through September:</w:t>
      </w:r>
    </w:p>
    <w:p>
      <w:pPr>
        <w:spacing w:before="0" w:after="0"/>
        <w:ind w:left="120"/>
        <w:jc w:val="both"/>
      </w:pPr>
      <w:r>
        <w:rPr>
          <w:rFonts w:ascii="Times New Roman" w:hAnsi="Times New Roman"/>
          <w:b w:val="false"/>
          <w:i w:val="false"/>
          <w:color w:val="000000"/>
          <w:sz w:val="22"/>
        </w:rPr>
        <w:t>—The entire length of the Mississippi and Missouri Rivers,</w:t>
      </w:r>
    </w:p>
    <w:p>
      <w:pPr>
        <w:spacing w:before="0" w:after="0"/>
        <w:ind w:left="120"/>
        <w:jc w:val="both"/>
      </w:pPr>
      <w:r>
        <w:rPr>
          <w:rFonts w:ascii="Times New Roman" w:hAnsi="Times New Roman"/>
          <w:b w:val="false"/>
          <w:i w:val="false"/>
          <w:color w:val="000000"/>
          <w:sz w:val="22"/>
        </w:rPr>
        <w:t>—The lower reach of the Des Moines River south of the Ottumwa dam, and</w:t>
      </w:r>
    </w:p>
    <w:p>
      <w:pPr>
        <w:spacing w:before="0" w:after="0"/>
        <w:ind w:left="120"/>
        <w:jc w:val="both"/>
      </w:pPr>
      <w:r>
        <w:rPr>
          <w:rFonts w:ascii="Times New Roman" w:hAnsi="Times New Roman"/>
          <w:b w:val="false"/>
          <w:i w:val="false"/>
          <w:color w:val="000000"/>
          <w:sz w:val="22"/>
        </w:rPr>
        <w:t>—The lower reach of the Iowa River below the Cedar River.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the following, the early life stage will begin in April and last through September:</w:t>
      </w:r>
    </w:p>
    <w:p>
      <w:pPr>
        <w:spacing w:before="0" w:after="0"/>
        <w:ind w:left="120"/>
        <w:jc w:val="both"/>
      </w:pPr>
      <w:r>
        <w:rPr>
          <w:rFonts w:ascii="Times New Roman" w:hAnsi="Times New Roman"/>
          <w:b w:val="false"/>
          <w:i w:val="false"/>
          <w:color w:val="000000"/>
          <w:sz w:val="22"/>
        </w:rPr>
        <w:t>—All Class B(WW-1) waters in the Southern Iowa River Basin,</w:t>
      </w:r>
    </w:p>
    <w:p>
      <w:pPr>
        <w:spacing w:before="0" w:after="0"/>
        <w:ind w:left="120"/>
        <w:jc w:val="both"/>
      </w:pPr>
      <w:r>
        <w:rPr>
          <w:rFonts w:ascii="Times New Roman" w:hAnsi="Times New Roman"/>
          <w:b w:val="false"/>
          <w:i w:val="false"/>
          <w:color w:val="000000"/>
          <w:sz w:val="22"/>
        </w:rPr>
        <w:t>—All of the Class B(WW-1) reach of the Skunk River, the North Skunk River and the South Skunk River south of Indian Creek (Jasper County), and the Class B(WW-1) tributaries to these reaches, and the entire Class B(WW-1) reach of the English River.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all Class B(WW-2) and Class B(WW-3) waters, the early life stage will begin in April and last through September.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all Class B(LW) lake and wetland waters, the early life stage will begin in March and last through September except for the Class B(LW) waters in the southern two tiers of Iowa counties which will have the early life stage of April through September.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waters. </w:t>
      </w:r>
      <w:r>
        <w:rPr>
          <w:rFonts w:ascii="Times New Roman" w:hAnsi="Times New Roman"/>
          <w:b w:val="false"/>
          <w:i w:val="false"/>
          <w:color w:val="000000"/>
          <w:sz w:val="22"/>
        </w:rPr>
        <w:t xml:space="preserve">Waters which are designated as Class “C” are to be protected as a raw water source of potable water supply. The following criteria shall apply to all Class “C” waters designated in subrule </w:t>
      </w:r>
      <w:hyperlink r:id="rId45">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Radioactive substances.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combined radium-226 and radium-228 shall not exceed 5 picocuries per liter at the point of withdrawal.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Gross alpha particle activity (including radium-226 but excluding radon and uranium) shall not exceed 15 picocuries per liter at the point of withdrawal.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average annual concentration at the point of withdrawal of beta particle and photon radioactivity from man-made radionuclides other than tritium and strontium-90 shall not produce an annual dose equivalent to the total body or any internal organ greater than 4 millirem/year.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annual concentration of tritium shall not exceed 20,000 picocuries per liter at the point of withdrawal; the average annual concentration of strontium-90 shall not exceed 8 picocuries per liter at the point of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substances toxic or detrimental to humans or detrimental to treatment process shall be limited to nontoxic or nondetrimental concentrations in the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 shall not be less than 6.5 nor greater than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 “HH” waters. </w:t>
      </w:r>
      <w:r>
        <w:rPr>
          <w:rFonts w:ascii="Times New Roman" w:hAnsi="Times New Roman"/>
          <w:b w:val="false"/>
          <w:i w:val="false"/>
          <w:color w:val="000000"/>
          <w:sz w:val="22"/>
        </w:rPr>
        <w:t>Waters which are designated as Class HH shall contain no substances in concentrations which will make fish or shellfish inedible due to undesirable tastes or cause a hazard to humans after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human health criteria represent the level of protection necessary, in the case of noncarcinogens, to prevent adverse health effects in humans and, in the case of carcinogens, to prevent a level of incremental cancer risk not exceeding 1 in 100,000. Instream concentrations in excess of the human health criteria will be allowed only within the boundaries of the mixing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TABLE 1. Criteria for Chemical Constituents</w:t>
      </w:r>
    </w:p>
    <w:p>
      <w:pPr>
        <w:spacing w:before="0" w:after="0"/>
        <w:ind w:left="120"/>
        <w:jc w:val="both"/>
      </w:pPr>
      <w:r>
        <w:rPr>
          <w:rFonts w:ascii="Times New Roman" w:hAnsi="Times New Roman"/>
          <w:b w:val="false"/>
          <w:i/>
          <w:color w:val="000000"/>
          <w:sz w:val="22"/>
        </w:rPr>
        <w:t>(all values as micrograms per liter as total recoverable unless noted otherwise)</w:t>
      </w:r>
    </w:p>
    <w:p>
      <w:pPr>
        <w:spacing w:before="0" w:after="0"/>
        <w:ind w:left="120"/>
        <w:jc w:val="both"/>
      </w:pPr>
      <w:r>
        <w:rPr>
          <w:rFonts w:ascii="Times New Roman" w:hAnsi="Times New Roman"/>
          <w:b w:val="false"/>
          <w:i w:val="false"/>
          <w:color w:val="000000"/>
          <w:sz w:val="22"/>
        </w:rPr>
        <w:t>Human health criteria for carcinogenic parameters noted below were based on the prevention of an incremental cancer risk of 1 in 100,000. For parameters not having a noted human health criterion, the U.S. Environmental Protection Agency has not developed final national human health guideline values. For noncarcinogenic parameters, the recommended EPA criterion was selected. For Class C waters, the EPA criteria for fish and water consumption were selected using the same considerations for carcinogenic and noncarcinogenic parameters as noted above. For Class C waters for which no EPA human health criteria were available, the EPA MCL value was selected.</w:t>
      </w:r>
    </w:p>
    <w:tbl>
      <w:tblPr>
        <w:tblW w:w="5000" w:type="pct"/>
        <w:tblCellSpacing w:w="0" w:type="auto"/>
        <w:tblBorders>
          <w:top w:val="none"/>
          <w:left w:val="none"/>
          <w:bottom w:val="none"/>
          <w:right w:val="none"/>
          <w:insideH w:val="none"/>
          <w:insideV w:val="none"/>
        </w:tblBorders>
        <w:tblLayout w:type="fixed"/>
      </w:tblPr>
      <w:tblGrid>
        <w:gridCol w:w="2410"/>
        <w:gridCol w:w="2357"/>
        <w:gridCol w:w="810"/>
        <w:gridCol w:w="809"/>
        <w:gridCol w:w="889"/>
        <w:gridCol w:w="889"/>
        <w:gridCol w:w="889"/>
        <w:gridCol w:w="889"/>
        <w:gridCol w:w="451"/>
        <w:gridCol w:w="796"/>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8"/>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Use Designations</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B(CW1)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B(CW2)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B(LW)</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HH</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Alachlor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Aldrin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.00050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.00049</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Aluminum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(r)</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890</w:t>
            </w:r>
            <w:r>
              <w:rPr>
                <w:rFonts w:ascii="Times New Roman" w:hAnsi="Times New Roman"/>
                <w:b w:val="false"/>
                <w:i w:val="false"/>
                <w:color w:val="000000"/>
                <w:sz w:val="18"/>
                <w:vertAlign w:val="superscript"/>
              </w:rPr>
              <w:t>(o)</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890</w:t>
            </w:r>
            <w:r>
              <w:rPr>
                <w:rFonts w:ascii="Times New Roman" w:hAnsi="Times New Roman"/>
                <w:b w:val="false"/>
                <w:i w:val="false"/>
                <w:color w:val="000000"/>
                <w:sz w:val="18"/>
                <w:vertAlign w:val="superscript"/>
              </w:rPr>
              <w:t>(o)</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(r)</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r>
              <w:rPr>
                <w:rFonts w:ascii="Times New Roman" w:hAnsi="Times New Roman"/>
                <w:b w:val="false"/>
                <w:i w:val="false"/>
                <w:color w:val="000000"/>
                <w:sz w:val="18"/>
                <w:vertAlign w:val="superscript"/>
              </w:rPr>
              <w:t>(o)</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r>
              <w:rPr>
                <w:rFonts w:ascii="Times New Roman" w:hAnsi="Times New Roman"/>
                <w:b w:val="false"/>
                <w:i w:val="false"/>
                <w:color w:val="000000"/>
                <w:sz w:val="18"/>
                <w:vertAlign w:val="superscript"/>
              </w:rPr>
              <w:t>(o)</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r>
              <w:rPr>
                <w:rFonts w:ascii="Times New Roman" w:hAnsi="Times New Roman"/>
                <w:b w:val="false"/>
                <w:i w:val="false"/>
                <w:color w:val="000000"/>
                <w:sz w:val="18"/>
                <w:vertAlign w:val="superscript"/>
              </w:rPr>
              <w:t>(o)</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Antimony</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640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5.6</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Arsenic (III)</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r>
              <w:rPr>
                <w:rFonts w:ascii="Times New Roman" w:hAnsi="Times New Roman"/>
                <w:b w:val="false"/>
                <w:i w:val="false"/>
                <w:color w:val="000000"/>
                <w:sz w:val="18"/>
                <w:vertAlign w:val="superscript"/>
              </w:rPr>
              <w:t>(e)(g)</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.18</w:t>
            </w:r>
            <w:r>
              <w:rPr>
                <w:rFonts w:ascii="Times New Roman" w:hAnsi="Times New Roman"/>
                <w:b w:val="false"/>
                <w:i w:val="false"/>
                <w:color w:val="000000"/>
                <w:sz w:val="18"/>
                <w:vertAlign w:val="superscript"/>
              </w:rPr>
              <w:t>(f)(g)</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Asbestos</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w:t>
            </w:r>
            <w:r>
              <w:rPr>
                <w:rFonts w:ascii="Times New Roman" w:hAnsi="Times New Roman"/>
                <w:b w:val="false"/>
                <w:i w:val="false"/>
                <w:color w:val="000000"/>
                <w:sz w:val="18"/>
                <w:vertAlign w:val="superscript"/>
              </w:rPr>
              <w:t>(a)(f)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Atrazine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Barium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.038</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.18</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Beryllium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Bromoform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43</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1400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Cadmium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(h)</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(h)</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w:t>
            </w:r>
            <w:r>
              <w:rPr>
                <w:rFonts w:ascii="Times New Roman" w:hAnsi="Times New Roman"/>
                <w:b w:val="false"/>
                <w:i w:val="false"/>
                <w:color w:val="000000"/>
                <w:sz w:val="18"/>
                <w:vertAlign w:val="superscript"/>
              </w:rPr>
              <w:t>(h)</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5.35</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r>
              <w:rPr>
                <w:rFonts w:ascii="Times New Roman" w:hAnsi="Times New Roman"/>
                <w:b w:val="false"/>
                <w:i w:val="false"/>
                <w:color w:val="000000"/>
                <w:sz w:val="18"/>
                <w:vertAlign w:val="superscript"/>
              </w:rPr>
              <w:t>(h)</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5.35</w:t>
            </w:r>
            <w:r>
              <w:rPr>
                <w:rFonts w:ascii="Times New Roman" w:hAnsi="Times New Roman"/>
                <w:b w:val="false"/>
                <w:i w:val="false"/>
                <w:color w:val="000000"/>
                <w:sz w:val="18"/>
                <w:vertAlign w:val="superscript"/>
              </w:rPr>
              <w:t>(h)</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168</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Carbofuran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90"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Carbon Tetrachloride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2.3</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Chlordane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.004</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.0043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.0043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.0043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.004</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.0081</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.008</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629</w:t>
            </w:r>
            <w:r>
              <w:rPr>
                <w:rFonts w:ascii="Times New Roman" w:hAnsi="Times New Roman"/>
                <w:b w:val="false"/>
                <w:i w:val="false"/>
                <w:color w:val="000000"/>
                <w:sz w:val="18"/>
                <w:vertAlign w:val="superscript"/>
              </w:rPr>
              <w:t>(m)</w:t>
            </w: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Chlorobenzene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Chlorodibromomethane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Chloroform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57</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4700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Chloropyrifos</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.041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.041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.041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.041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.041</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.083</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.083</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Chromium (VI)</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3365</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Copper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(n)</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(n)</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26.9</w:t>
            </w:r>
            <w:r>
              <w:rPr>
                <w:rFonts w:ascii="Times New Roman" w:hAnsi="Times New Roman"/>
                <w:b w:val="false"/>
                <w:i w:val="false"/>
                <w:color w:val="000000"/>
                <w:sz w:val="18"/>
                <w:vertAlign w:val="superscript"/>
              </w:rPr>
              <w:t>(i)</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Cyanide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Dalapon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Dibromochloropropane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4,4-DDT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.0022</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.0022</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o-Dichlorobenzene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para-Dichlorobenzene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63</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3,3-Dichlorobenzidine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.28</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Dichlorobromomethane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5.5</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5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1,2-Dichloroethane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1,1-Dichloroethylene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330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7.1*</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cis-1,2-Dichloroethylene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1,2-trans-Dichlorethylene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Dichloromethane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1,2-Dichloropropane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Dieldrin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.00054</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.00052</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Dinoseb</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2,3,7,8-TCDD (Dioxin)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r>
              <w:rPr>
                <w:rFonts w:ascii="Times New Roman" w:hAnsi="Times New Roman"/>
                <w:b w:val="false"/>
                <w:i w:val="false"/>
                <w:color w:val="000000"/>
                <w:sz w:val="18"/>
                <w:vertAlign w:val="superscript"/>
              </w:rPr>
              <w:t>-8(f)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w:t>
            </w:r>
            <w:r>
              <w:rPr>
                <w:rFonts w:ascii="Times New Roman" w:hAnsi="Times New Roman"/>
                <w:b w:val="false"/>
                <w:i w:val="false"/>
                <w:color w:val="000000"/>
                <w:sz w:val="18"/>
                <w:vertAlign w:val="superscript"/>
              </w:rPr>
              <w:t>-8(e)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Diquat</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2,4-D</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Endosulfan</w:t>
            </w:r>
            <w:r>
              <w:rPr>
                <w:rFonts w:ascii="Times New Roman" w:hAnsi="Times New Roman"/>
                <w:b w:val="false"/>
                <w:i w:val="false"/>
                <w:color w:val="000000"/>
                <w:sz w:val="18"/>
                <w:vertAlign w:val="superscript"/>
              </w:rPr>
              <w:t>(b)</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89</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Endothall</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Endrin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.036</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.086</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.086</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.059</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Ethylene dibromide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Di(2-ethylhexyl)adipate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bis(2-ethylhexyl)phthalate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Fluoride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Glyphosate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Heptachlor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.00079</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.00079</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Heptachlor epoxide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.0038</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.00039</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.00039</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Hexachlorobenzene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.0028</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.0029</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Hexachlorocyclopentadiene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1100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Lead</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w:t>
            </w:r>
            <w:r>
              <w:rPr>
                <w:rFonts w:ascii="Times New Roman" w:hAnsi="Times New Roman"/>
                <w:b w:val="false"/>
                <w:i w:val="false"/>
                <w:color w:val="000000"/>
                <w:sz w:val="18"/>
                <w:vertAlign w:val="superscript"/>
              </w:rPr>
              <w:t>(j)</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w:t>
            </w:r>
            <w:r>
              <w:rPr>
                <w:rFonts w:ascii="Times New Roman" w:hAnsi="Times New Roman"/>
                <w:b w:val="false"/>
                <w:i w:val="false"/>
                <w:color w:val="000000"/>
                <w:sz w:val="18"/>
                <w:vertAlign w:val="superscript"/>
              </w:rPr>
              <w:t>(j)</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136</w:t>
            </w:r>
            <w:r>
              <w:rPr>
                <w:rFonts w:ascii="Times New Roman" w:hAnsi="Times New Roman"/>
                <w:b w:val="false"/>
                <w:i w:val="false"/>
                <w:color w:val="000000"/>
                <w:sz w:val="18"/>
                <w:vertAlign w:val="superscript"/>
              </w:rPr>
              <w:t>(j)</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136</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136</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136</w:t>
            </w:r>
            <w:r>
              <w:rPr>
                <w:rFonts w:ascii="Times New Roman" w:hAnsi="Times New Roman"/>
                <w:b w:val="false"/>
                <w:i w:val="false"/>
                <w:color w:val="000000"/>
                <w:sz w:val="18"/>
                <w:vertAlign w:val="superscript"/>
              </w:rPr>
              <w:t>(j)</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136</w:t>
            </w:r>
            <w:r>
              <w:rPr>
                <w:rFonts w:ascii="Times New Roman" w:hAnsi="Times New Roman"/>
                <w:b w:val="false"/>
                <w:i w:val="false"/>
                <w:color w:val="000000"/>
                <w:sz w:val="18"/>
                <w:vertAlign w:val="superscript"/>
              </w:rPr>
              <w:t>(j)</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gamma-BHC (Lindane)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1.8</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.98</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Mercury (II)</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0.77</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0.77</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0.77</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0.77</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0.77</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1.4</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Methoxychlor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Nickel</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93</w:t>
            </w:r>
            <w:r>
              <w:rPr>
                <w:rFonts w:ascii="Times New Roman" w:hAnsi="Times New Roman"/>
                <w:b w:val="false"/>
                <w:i w:val="false"/>
                <w:color w:val="000000"/>
                <w:sz w:val="18"/>
                <w:vertAlign w:val="superscript"/>
              </w:rPr>
              <w:t>(k)</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93</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93</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93</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93</w:t>
            </w:r>
            <w:r>
              <w:rPr>
                <w:rFonts w:ascii="Times New Roman" w:hAnsi="Times New Roman"/>
                <w:b w:val="false"/>
                <w:i w:val="false"/>
                <w:color w:val="000000"/>
                <w:sz w:val="18"/>
                <w:vertAlign w:val="superscript"/>
              </w:rPr>
              <w:t>(k)</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840</w:t>
            </w:r>
            <w:r>
              <w:rPr>
                <w:rFonts w:ascii="Times New Roman" w:hAnsi="Times New Roman"/>
                <w:b w:val="false"/>
                <w:i w:val="false"/>
                <w:color w:val="000000"/>
                <w:sz w:val="18"/>
                <w:vertAlign w:val="superscript"/>
              </w:rPr>
              <w:t>(k)</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840</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840</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840</w:t>
            </w:r>
            <w:r>
              <w:rPr>
                <w:rFonts w:ascii="Times New Roman" w:hAnsi="Times New Roman"/>
                <w:b w:val="false"/>
                <w:i w:val="false"/>
                <w:color w:val="000000"/>
                <w:sz w:val="18"/>
                <w:vertAlign w:val="superscript"/>
              </w:rPr>
              <w:t>(k)</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840</w:t>
            </w:r>
            <w:r>
              <w:rPr>
                <w:rFonts w:ascii="Times New Roman" w:hAnsi="Times New Roman"/>
                <w:b w:val="false"/>
                <w:i w:val="false"/>
                <w:color w:val="000000"/>
                <w:sz w:val="18"/>
                <w:vertAlign w:val="superscript"/>
              </w:rPr>
              <w:t>(k)</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4600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610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Nitrate as 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Nitrate + Nitrite as 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Nitrite as 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Oxamyl (Vydate)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Parathion</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.013</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.013</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.065</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Pentachlorophenol (PCP)</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2.7</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Phenols</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1700*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Picloram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Polychlorinated</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.014</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.014</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.014</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Biphenyls (PCBs)</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.00064</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.00064</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Polynuclear Aromatic</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Hydrocarbons (PAHs)**</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.18</w:t>
            </w:r>
            <w:r>
              <w:rPr>
                <w:rFonts w:ascii="Times New Roman" w:hAnsi="Times New Roman"/>
                <w:b w:val="false"/>
                <w:i w:val="false"/>
                <w:color w:val="000000"/>
                <w:sz w:val="18"/>
                <w:vertAlign w:val="superscript"/>
              </w:rPr>
              <w:t>(e)</w:t>
            </w:r>
          </w:p>
        </w:tc>
      </w:tr>
      <w:tr>
        <w:trPr>
          <w:trHeight w:val="330"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.038</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Selenium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170</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4200</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Silver</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2,4,5-TP (Silvex)</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Simazine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Styrene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Tetracholorethylene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6.9</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33</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Thallium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1300</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Residual</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Chlorine (TRC)</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35</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Toxaphene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.037</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.037</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.0028</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.0028</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1,2,4-Trichlorobenzene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1,1,1-Trichlorethane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173*</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1,1,2-Trichloroethane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Trichloroethylene (TCE)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300</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r>
              <w:rPr>
                <w:rFonts w:ascii="Times New Roman" w:hAnsi="Times New Roman"/>
                <w:b w:val="false"/>
                <w:i w:val="false"/>
                <w:color w:val="000000"/>
                <w:sz w:val="18"/>
                <w:vertAlign w:val="superscript"/>
              </w:rPr>
              <w:t>(f)</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Trihalomethanes (total)</w:t>
            </w:r>
            <w:r>
              <w:rPr>
                <w:rFonts w:ascii="Times New Roman" w:hAnsi="Times New Roman"/>
                <w:b w:val="false"/>
                <w:i w:val="false"/>
                <w:color w:val="000000"/>
                <w:sz w:val="18"/>
                <w:vertAlign w:val="superscript"/>
              </w:rPr>
              <w:t>(c)</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Vinyl Chloride</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r>
              <w:rPr>
                <w:rFonts w:ascii="Times New Roman" w:hAnsi="Times New Roman"/>
                <w:b w:val="false"/>
                <w:i w:val="false"/>
                <w:color w:val="000000"/>
                <w:sz w:val="18"/>
                <w:vertAlign w:val="superscript"/>
              </w:rPr>
              <w:t>(f)</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w:t>
            </w:r>
            <w:r>
              <w:rPr>
                <w:rFonts w:ascii="Times New Roman" w:hAnsi="Times New Roman"/>
                <w:b w:val="false"/>
                <w:i w:val="false"/>
                <w:color w:val="000000"/>
                <w:sz w:val="18"/>
                <w:vertAlign w:val="superscript"/>
              </w:rPr>
              <w:t>(e)</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 (Total)</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MCL</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19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Zinc</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r>
              <w:rPr>
                <w:rFonts w:ascii="Times New Roman" w:hAnsi="Times New Roman"/>
                <w:b w:val="false"/>
                <w:i w:val="false"/>
                <w:color w:val="000000"/>
                <w:sz w:val="18"/>
                <w:vertAlign w:val="superscript"/>
              </w:rPr>
              <w:t>(p)</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210</w:t>
            </w:r>
            <w:r>
              <w:rPr>
                <w:rFonts w:ascii="Times New Roman" w:hAnsi="Times New Roman"/>
                <w:b w:val="false"/>
                <w:i w:val="false"/>
                <w:color w:val="000000"/>
                <w:sz w:val="18"/>
                <w:vertAlign w:val="superscript"/>
              </w:rPr>
              <w:t>(l)</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Fish</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26*</w:t>
            </w:r>
            <w:r>
              <w:rPr>
                <w:rFonts w:ascii="Times New Roman" w:hAnsi="Times New Roman"/>
                <w:b w:val="false"/>
                <w:i w:val="false"/>
                <w:color w:val="000000"/>
                <w:sz w:val="18"/>
                <w:vertAlign w:val="superscript"/>
              </w:rPr>
              <w:t>(e)</w:t>
            </w:r>
          </w:p>
        </w:tc>
      </w:tr>
      <w:tr>
        <w:trPr>
          <w:trHeight w:val="225" w:hRule="atLeast"/>
        </w:trPr>
        <w:tc>
          <w:tcPr>
            <w:tcW w:w="2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Human Health + — F &amp; W</w:t>
            </w:r>
          </w:p>
        </w:tc>
        <w:tc>
          <w:tcPr>
            <w:tcW w:w="8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8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4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7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7.4*</w:t>
            </w:r>
            <w:r>
              <w:rPr>
                <w:rFonts w:ascii="Times New Roman" w:hAnsi="Times New Roman"/>
                <w:b w:val="false"/>
                <w:i w:val="false"/>
                <w:color w:val="000000"/>
                <w:sz w:val="18"/>
                <w:vertAlign w:val="superscript"/>
              </w:rPr>
              <w:t>(f)</w:t>
            </w:r>
          </w:p>
        </w:tc>
      </w:tr>
    </w:tbl>
    <w:p>
      <w:pPr>
        <w:spacing w:before="0" w:after="0"/>
        <w:ind w:left="120"/>
        <w:jc w:val="both"/>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units expressed as milligrams/liter</w:t>
            </w:r>
          </w:p>
        </w:tc>
      </w:tr>
      <w:tr>
        <w:trPr>
          <w:trHeight w:val="34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 include the sum of known and suspected carcinogenic PAHs (includes benzo(a)anthracene, benzo(b)fluoranthene, benzo(k)fluoranthene, chrysene, dibenzo(a,h)anthracene, and indeno(1,2,3-cd)pyrene)</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expressed as nanograms/liter</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represents the noncarcinogenic human health parameters</w:t>
            </w:r>
          </w:p>
        </w:tc>
      </w:tr>
      <w:tr>
        <w:trPr>
          <w:trHeight w:val="34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concentrations of 4,4-DDT or its metabolites; 4,4-DDE and 4,4-DDD, individually shall not exceed the human health criteria.</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(a)</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units expressed as million fibers/liter (longer than 10 micrometers)</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(b)</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includes alpha-endosulfan, beta-endosulfan, and endosulfan sulfate in combination or as individually measured</w:t>
            </w:r>
          </w:p>
        </w:tc>
      </w:tr>
      <w:tr>
        <w:trPr>
          <w:trHeight w:val="34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(c)</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sum of the four trihalomethanes (bromoform [tribromomethane], chlorodibromomethane, chloroform [trichloromethane], and dichlorobromomethane) may not exceed the MCL.</w:t>
            </w:r>
          </w:p>
        </w:tc>
      </w:tr>
      <w:tr>
        <w:trPr>
          <w:trHeight w:val="37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(d)</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Class B numerical criteria for pentachlorophenol are a function of pH using the equation: Criterion (µg/l) = e</w:t>
            </w:r>
            <w:r>
              <w:rPr>
                <w:rFonts w:ascii="Times New Roman" w:hAnsi="Times New Roman"/>
                <w:b w:val="false"/>
                <w:i w:val="false"/>
                <w:color w:val="000000"/>
                <w:sz w:val="18"/>
                <w:vertAlign w:val="superscript"/>
              </w:rPr>
              <w:t>[1.005(pH) - x]</w:t>
            </w:r>
            <w:r>
              <w:rPr>
                <w:rFonts w:ascii="Times New Roman" w:hAnsi="Times New Roman"/>
                <w:b w:val="false"/>
                <w:i w:val="false"/>
                <w:color w:val="000000"/>
                <w:sz w:val="14"/>
              </w:rPr>
              <w:t>, where e = 2.71828 and x varies according to the following table:</w:t>
            </w:r>
          </w:p>
        </w:tc>
      </w:tr>
    </w:tbl>
    <w:tbl>
      <w:tblPr>
        <w:tblW w:w="5000" w:type="pct"/>
        <w:tblCellSpacing w:w="0" w:type="auto"/>
        <w:tblBorders>
          <w:top w:val="none"/>
          <w:left w:val="none"/>
          <w:bottom w:val="none"/>
          <w:right w:val="none"/>
          <w:insideH w:val="none"/>
          <w:insideV w:val="none"/>
        </w:tblBorders>
        <w:tblLayout w:type="fixed"/>
      </w:tblPr>
      <w:tblGrid>
        <w:gridCol w:w="1130"/>
        <w:gridCol w:w="2416"/>
        <w:gridCol w:w="1274"/>
        <w:gridCol w:w="1274"/>
        <w:gridCol w:w="1274"/>
        <w:gridCol w:w="1274"/>
        <w:gridCol w:w="1274"/>
        <w:gridCol w:w="1273"/>
      </w:tblGrid>
      <w:tr>
        <w:trPr>
          <w:trHeight w:val="195" w:hRule="atLeast"/>
        </w:trPr>
        <w:tc>
          <w:tcPr>
            <w:tcW w:w="1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B(CW1)</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B(CW2)</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B(WW-1)</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B(WW-2)</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B(WW-3)</w:t>
            </w:r>
          </w:p>
        </w:tc>
        <w:tc>
          <w:tcPr>
            <w:tcW w:w="1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B(LW)</w:t>
            </w:r>
          </w:p>
        </w:tc>
      </w:tr>
      <w:tr>
        <w:trPr>
          <w:trHeight w:val="195" w:hRule="atLeast"/>
        </w:trPr>
        <w:tc>
          <w:tcPr>
            <w:tcW w:w="1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3.869</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4.869</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4.869</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4.869</w:t>
            </w:r>
          </w:p>
        </w:tc>
        <w:tc>
          <w:tcPr>
            <w:tcW w:w="1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4.869</w:t>
            </w:r>
          </w:p>
        </w:tc>
      </w:tr>
      <w:tr>
        <w:trPr>
          <w:trHeight w:val="195" w:hRule="atLeast"/>
        </w:trPr>
        <w:tc>
          <w:tcPr>
            <w:tcW w:w="1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Chronic</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4.134</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5.134</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5.134</w:t>
            </w:r>
          </w:p>
        </w:tc>
        <w:tc>
          <w:tcPr>
            <w:tcW w:w="12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5.134</w:t>
            </w:r>
          </w:p>
        </w:tc>
        <w:tc>
          <w:tcPr>
            <w:tcW w:w="1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5.134</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34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(e)</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This Class HH criterion would be applicable to any Class B(LW), B(CW1), B(WW-1), B(WW-2), or B(WW-3) water body that is also designated Class HH.</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(f)</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This Class HH criterion would be applicable to any Class C water body that is also designated Class HH.</w:t>
            </w:r>
          </w:p>
        </w:tc>
      </w:tr>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(g)</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inorganic form only</w:t>
            </w:r>
          </w:p>
        </w:tc>
      </w:tr>
      <w:tr>
        <w:trPr>
          <w:trHeight w:val="43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(h)</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acute and chronic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(µg/l) for cadmium are a function of hardness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following equations:</w:t>
            </w:r>
          </w:p>
        </w:tc>
      </w:tr>
    </w:tbl>
    <w:tbl>
      <w:tblPr>
        <w:tblW w:w="5000" w:type="pct"/>
        <w:tblCellSpacing w:w="0" w:type="auto"/>
        <w:tblBorders>
          <w:top w:val="none"/>
          <w:left w:val="none"/>
          <w:bottom w:val="none"/>
          <w:right w:val="none"/>
          <w:insideH w:val="none"/>
          <w:insideV w:val="none"/>
        </w:tblBorders>
        <w:tblLayout w:type="fixed"/>
      </w:tblPr>
      <w:tblGrid>
        <w:gridCol w:w="569"/>
        <w:gridCol w:w="1660"/>
        <w:gridCol w:w="2940"/>
        <w:gridCol w:w="3010"/>
        <w:gridCol w:w="3010"/>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B(CW1)</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B(WW-1)&amp;B(LW)</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B(WW-2)&amp;B(WW-3)</w:t>
            </w:r>
          </w:p>
        </w:tc>
      </w:tr>
      <w:tr>
        <w:trPr>
          <w:trHeight w:val="40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29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(1.136672 -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(0.9789 × ln(hardness) – 3.866)</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(1.136672 -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(0.9789 × ln(hardness) – 3.4210)</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(1.136672 -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(0.9789 × ln(hardness) – 2.5750)</w:t>
            </w:r>
          </w:p>
        </w:tc>
      </w:tr>
      <w:tr>
        <w:trPr>
          <w:trHeight w:val="40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29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(1.101672 -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0.7977 × ln(hardness) – 3.909)</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(1.101672 -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0.7977 × ln(hardness) – 3.909)</w:t>
            </w:r>
          </w:p>
        </w:tc>
        <w:tc>
          <w:tcPr>
            <w:tcW w:w="30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(1.101672 - [(ln hardness) × (0.041838)])*</w:t>
            </w:r>
            <w:r>
              <w:br/>
            </w: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0.7977 × ln(hardness) – 3.909)</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600"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(i)</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Class B(WW-1), B(WW-2), and B(WW-3)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(µg/l) for copper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equation for each use according to the following table:</w:t>
            </w:r>
          </w:p>
        </w:tc>
      </w:tr>
    </w:tbl>
    <w:tbl>
      <w:tblPr>
        <w:tblW w:w="5000" w:type="pct"/>
        <w:tblCellSpacing w:w="0" w:type="auto"/>
        <w:tblBorders>
          <w:top w:val="none"/>
          <w:left w:val="none"/>
          <w:bottom w:val="none"/>
          <w:right w:val="none"/>
          <w:insideH w:val="none"/>
          <w:insideV w:val="none"/>
        </w:tblBorders>
        <w:tblLayout w:type="fixed"/>
      </w:tblPr>
      <w:tblGrid>
        <w:gridCol w:w="471"/>
        <w:gridCol w:w="1757"/>
        <w:gridCol w:w="2944"/>
        <w:gridCol w:w="3009"/>
        <w:gridCol w:w="3008"/>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B(WW-1)</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B(WW-2)</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B(WW-3)</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[0.9422Ln(Hardness) - 1.700]</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[0.9422Ln(Hardness) - 1.700]</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[0.9422Ln(Hardness) - 1.700]</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[0.8545Ln(Hardness) - 1.702]</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[0.8545Ln(Hardness) - 1.702]</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r>
              <w:rPr>
                <w:rFonts w:ascii="Times New Roman" w:hAnsi="Times New Roman"/>
                <w:b w:val="false"/>
                <w:i w:val="false"/>
                <w:color w:val="000000"/>
                <w:sz w:val="18"/>
                <w:vertAlign w:val="superscript"/>
              </w:rPr>
              <w:t>[0.8545Ln(Hardness) - 1.702]</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43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(j)</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acute and chronic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(µg/l) for lead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following equations:</w:t>
            </w:r>
          </w:p>
        </w:tc>
      </w:tr>
    </w:tbl>
    <w:tbl>
      <w:tblPr>
        <w:tblW w:w="5000" w:type="pct"/>
        <w:tblCellSpacing w:w="0" w:type="auto"/>
        <w:tblBorders>
          <w:top w:val="none"/>
          <w:left w:val="none"/>
          <w:bottom w:val="none"/>
          <w:right w:val="none"/>
          <w:insideH w:val="none"/>
          <w:insideV w:val="none"/>
        </w:tblBorders>
        <w:tblLayout w:type="fixed"/>
      </w:tblPr>
      <w:tblGrid>
        <w:gridCol w:w="447"/>
        <w:gridCol w:w="1780"/>
        <w:gridCol w:w="2944"/>
        <w:gridCol w:w="3009"/>
        <w:gridCol w:w="3009"/>
      </w:tblGrid>
      <w:tr>
        <w:trPr>
          <w:trHeight w:val="37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(1.46203-[(ln hardness)(0.145712)])</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[1.2731Ln(Hardness) - 1.46]</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37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(1.46203-[(ln hardness)(0.145712)])</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[1.2731Ln(Hardness) - 4.705]</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43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(k)</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acute and chronic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(µg/l) for nickel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following equations:</w:t>
            </w:r>
          </w:p>
        </w:tc>
      </w:tr>
    </w:tbl>
    <w:tbl>
      <w:tblPr>
        <w:tblW w:w="5000" w:type="pct"/>
        <w:tblCellSpacing w:w="0" w:type="auto"/>
        <w:tblBorders>
          <w:top w:val="none"/>
          <w:left w:val="none"/>
          <w:bottom w:val="none"/>
          <w:right w:val="none"/>
          <w:insideH w:val="none"/>
          <w:insideV w:val="none"/>
        </w:tblBorders>
        <w:tblLayout w:type="fixed"/>
      </w:tblPr>
      <w:tblGrid>
        <w:gridCol w:w="1114"/>
        <w:gridCol w:w="1114"/>
        <w:gridCol w:w="2944"/>
        <w:gridCol w:w="3009"/>
        <w:gridCol w:w="3008"/>
      </w:tblGrid>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0.998</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[0.846Ln(Hardness) + 2.255]</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0.997</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[0.846Ln(Hardness) + 0.0584]</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43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(l)</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acute and chronic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(µg/l) for zinc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following equations:</w:t>
            </w:r>
          </w:p>
        </w:tc>
      </w:tr>
    </w:tbl>
    <w:tbl>
      <w:tblPr>
        <w:tblW w:w="5000" w:type="pct"/>
        <w:tblCellSpacing w:w="0" w:type="auto"/>
        <w:tblBorders>
          <w:top w:val="none"/>
          <w:left w:val="none"/>
          <w:bottom w:val="none"/>
          <w:right w:val="none"/>
          <w:insideH w:val="none"/>
          <w:insideV w:val="none"/>
        </w:tblBorders>
        <w:tblLayout w:type="fixed"/>
      </w:tblPr>
      <w:tblGrid>
        <w:gridCol w:w="1114"/>
        <w:gridCol w:w="1114"/>
        <w:gridCol w:w="2944"/>
        <w:gridCol w:w="3009"/>
        <w:gridCol w:w="3008"/>
      </w:tblGrid>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0.978</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[0.8473Ln(Hardness) + 0.884]</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29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vertAlign w:val="superscript"/>
              </w:rPr>
              <w:t>0.986</w:t>
            </w:r>
            <w:r>
              <w:rPr>
                <w:rFonts w:ascii="Times New Roman" w:hAnsi="Times New Roman"/>
                <w:b w:val="false"/>
                <w:i w:val="false"/>
                <w:color w:val="000000"/>
                <w:sz w:val="14"/>
              </w:rPr>
              <w:t xml:space="preserve"> × e</w:t>
            </w:r>
            <w:r>
              <w:rPr>
                <w:rFonts w:ascii="Times New Roman" w:hAnsi="Times New Roman"/>
                <w:b w:val="false"/>
                <w:i w:val="false"/>
                <w:color w:val="000000"/>
                <w:sz w:val="18"/>
                <w:vertAlign w:val="superscript"/>
              </w:rPr>
              <w:t>[0.8473Ln(Hardness) + 0.884]</w:t>
            </w:r>
          </w:p>
        </w:tc>
        <w:tc>
          <w:tcPr>
            <w:tcW w:w="30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30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600"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(m)</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Acute and chronic criteria listed in main table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and a sulfate concentration of 63 mg/l. Numerical criteria (µg/l) for chloride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and sulfate (mg/l) using the equation for each use according to the following table:</w:t>
            </w:r>
          </w:p>
        </w:tc>
      </w:tr>
    </w:tbl>
    <w:tbl>
      <w:tblPr>
        <w:tblW w:w="5000" w:type="pct"/>
        <w:tblCellSpacing w:w="0" w:type="auto"/>
        <w:tblBorders>
          <w:top w:val="none"/>
          <w:left w:val="none"/>
          <w:bottom w:val="none"/>
          <w:right w:val="none"/>
          <w:insideH w:val="none"/>
          <w:insideV w:val="none"/>
        </w:tblBorders>
        <w:tblLayout w:type="fixed"/>
      </w:tblPr>
      <w:tblGrid>
        <w:gridCol w:w="1114"/>
        <w:gridCol w:w="1114"/>
        <w:gridCol w:w="2944"/>
        <w:gridCol w:w="3009"/>
        <w:gridCol w:w="3008"/>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B(CW1), B(CW2), B(WW-1), B(WW-2). B(WW-3), B(LW)</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Acute</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287.8(Hardness)</w:t>
            </w:r>
            <w:r>
              <w:rPr>
                <w:rFonts w:ascii="Times New Roman" w:hAnsi="Times New Roman"/>
                <w:b w:val="false"/>
                <w:i w:val="false"/>
                <w:color w:val="000000"/>
                <w:sz w:val="18"/>
                <w:vertAlign w:val="superscript"/>
              </w:rPr>
              <w:t>0.205797</w:t>
            </w:r>
            <w:r>
              <w:rPr>
                <w:rFonts w:ascii="Times New Roman" w:hAnsi="Times New Roman"/>
                <w:b w:val="false"/>
                <w:i w:val="false"/>
                <w:color w:val="000000"/>
                <w:sz w:val="14"/>
              </w:rPr>
              <w:t>(Sulfate)</w:t>
            </w:r>
            <w:r>
              <w:rPr>
                <w:rFonts w:ascii="Times New Roman" w:hAnsi="Times New Roman"/>
                <w:b w:val="false"/>
                <w:i w:val="false"/>
                <w:color w:val="000000"/>
                <w:sz w:val="18"/>
                <w:vertAlign w:val="superscript"/>
              </w:rPr>
              <w:t>-0.07452</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Chronic</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177.87(Hardness)</w:t>
            </w:r>
            <w:r>
              <w:rPr>
                <w:rFonts w:ascii="Times New Roman" w:hAnsi="Times New Roman"/>
                <w:b w:val="false"/>
                <w:i w:val="false"/>
                <w:color w:val="000000"/>
                <w:sz w:val="18"/>
                <w:vertAlign w:val="superscript"/>
              </w:rPr>
              <w:t>0.205797</w:t>
            </w:r>
            <w:r>
              <w:rPr>
                <w:rFonts w:ascii="Times New Roman" w:hAnsi="Times New Roman"/>
                <w:b w:val="false"/>
                <w:i w:val="false"/>
                <w:color w:val="000000"/>
                <w:sz w:val="14"/>
              </w:rPr>
              <w:t>(Sulfate)</w:t>
            </w:r>
            <w:r>
              <w:rPr>
                <w:rFonts w:ascii="Times New Roman" w:hAnsi="Times New Roman"/>
                <w:b w:val="false"/>
                <w:i w:val="false"/>
                <w:color w:val="000000"/>
                <w:sz w:val="18"/>
                <w:vertAlign w:val="superscript"/>
              </w:rPr>
              <w:t>-0.07452</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1290"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(n)</w:t>
            </w:r>
          </w:p>
        </w:tc>
        <w:tc>
          <w:tcPr>
            <w:tcW w:w="94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The copper criteria in Table 1 can be adjusted by a Water-Effect Ratio (WER). The WER factor is equal to 1.0 unless an approved WER study has been conducted by a permittee for a specific point source. The WER study shall be conducted in accordance with the “Interim Guidance on Determination and Use of Water-Effect Ratios for Metals (EPA-823-B-94-001), February 22, 1994,” or upon approval by the department, the “Streamlined Water-Effect Ratio Procedure for Discharges of Copper (EPA-822-R-01-005), March 2001,” which are hereby adopted by reference.</w:t>
            </w:r>
            <w:r>
              <w:br/>
            </w:r>
          </w:p>
          <w:p>
            <w:pPr>
              <w:spacing w:before="0" w:after="0"/>
              <w:ind w:left="160"/>
              <w:jc w:val="left"/>
            </w:pPr>
          </w:p>
          <w:p>
            <w:pPr>
              <w:spacing w:before="0" w:after="0"/>
              <w:ind w:left="160"/>
              <w:jc w:val="left"/>
            </w:pPr>
            <w:r>
              <w:rPr>
                <w:rFonts w:ascii="Times New Roman" w:hAnsi="Times New Roman"/>
                <w:b w:val="false"/>
                <w:i w:val="false"/>
                <w:color w:val="000000"/>
                <w:sz w:val="14"/>
              </w:rPr>
              <w:t>The copper Biotic Ligand Model (BLM) may be used as an alternative to the copper criteria in Table 1. The copper BLM is found in the document “Aquatic Life Ambient Freshwater Quality Criteria - Copper 2007 Revision (EPA-822-R-07-001), February 2007,” which is hereby adopted by reference.</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810"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(o)</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acute and chronic criteria listed in Table 1 are calculated using Aluminum Criteria Calculator V2.0 (Excel) as described in “Final Aquatic Life Ambient Water Quality Criteria for Aluminum 2018 (EPA-822-R-18-001), December 2018.” The criteria were calculated using the lowest tenth percentile of individual model outputs using spatially and temporally representative model inputs from across the state. Site-specific criteria shall also be developed using this approach and the most recent version of the calculator.</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(p)</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criteria are expressed as dissolved concentration.</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630"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(q)</w:t>
            </w:r>
          </w:p>
        </w:tc>
        <w:tc>
          <w:tcPr>
            <w:tcW w:w="94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The silver criteria listed in Table 1 are based on a hardness of 200 mg/l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Numerical criteria (μg/l) for silver are a function of hardness (CaCO</w:t>
            </w:r>
            <w:r>
              <w:rPr>
                <w:rFonts w:ascii="Times New Roman" w:hAnsi="Times New Roman"/>
                <w:b w:val="false"/>
                <w:i w:val="false"/>
                <w:color w:val="000000"/>
                <w:sz w:val="18"/>
                <w:vertAlign w:val="subscript"/>
              </w:rPr>
              <w:t>3</w:t>
            </w:r>
            <w:r>
              <w:rPr>
                <w:rFonts w:ascii="Times New Roman" w:hAnsi="Times New Roman"/>
                <w:b w:val="false"/>
                <w:i w:val="false"/>
                <w:color w:val="000000"/>
                <w:sz w:val="14"/>
              </w:rPr>
              <w:t xml:space="preserve"> (mg/l)) using the following equation:</w:t>
            </w:r>
            <w:r>
              <w:br/>
            </w:r>
            <w:r>
              <w:rPr>
                <w:rFonts w:ascii="Times New Roman" w:hAnsi="Times New Roman"/>
                <w:b w:val="false"/>
                <w:i w:val="false"/>
                <w:color w:val="000000"/>
                <w:sz w:val="14"/>
              </w:rPr>
              <w:t>Acute</w:t>
            </w:r>
            <w:r>
              <w:rPr>
                <w:rFonts w:ascii="Times New Roman" w:hAnsi="Times New Roman"/>
                <w:b w:val="false"/>
                <w:i w:val="false"/>
                <w:color w:val="000000"/>
                <w:sz w:val="14"/>
              </w:rPr>
              <w:t> </w:t>
            </w:r>
          </w:p>
          <w:p>
            <w:pPr>
              <w:spacing w:before="0" w:after="0"/>
              <w:ind w:left="0"/>
              <w:jc w:val="left"/>
            </w:pPr>
            <w:r>
              <w:rPr>
                <w:rFonts w:ascii="Times New Roman" w:hAnsi="Times New Roman"/>
                <w:b w:val="false"/>
                <w:i w:val="false"/>
                <w:color w:val="000000"/>
                <w:sz w:val="14"/>
              </w:rPr>
              <w:t>0.85× e</w:t>
            </w:r>
            <w:r>
              <w:rPr>
                <w:rFonts w:ascii="Times New Roman" w:hAnsi="Times New Roman"/>
                <w:b w:val="false"/>
                <w:i w:val="false"/>
                <w:color w:val="000000"/>
                <w:sz w:val="18"/>
                <w:vertAlign w:val="superscript"/>
              </w:rPr>
              <w:t>[1.72Ln(Hardness)-6.59]</w:t>
            </w:r>
          </w:p>
        </w:tc>
      </w:tr>
    </w:tbl>
    <w:tbl>
      <w:tblPr>
        <w:tblW w:w="5000" w:type="pct"/>
        <w:tblCellSpacing w:w="0" w:type="auto"/>
        <w:tblBorders>
          <w:top w:val="none"/>
          <w:left w:val="none"/>
          <w:bottom w:val="none"/>
          <w:right w:val="none"/>
          <w:insideH w:val="none"/>
          <w:insideV w:val="none"/>
        </w:tblBorders>
        <w:tblLayout w:type="fixed"/>
      </w:tblPr>
      <w:tblGrid>
        <w:gridCol w:w="1726"/>
        <w:gridCol w:w="9463"/>
      </w:tblGrid>
      <w:tr>
        <w:trPr>
          <w:trHeight w:val="195" w:hRule="atLeast"/>
        </w:trPr>
        <w:tc>
          <w:tcPr>
            <w:tcW w:w="172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(r)</w:t>
            </w:r>
          </w:p>
        </w:tc>
        <w:tc>
          <w:tcPr>
            <w:tcW w:w="94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The criteria are expressed as the bioavailable portion of aluminum.</w:t>
            </w:r>
          </w:p>
        </w:tc>
      </w:tr>
    </w:tbl>
    <w:p>
      <w:pPr>
        <w:spacing w:before="60" w:after="0"/>
        <w:ind w:left="120"/>
        <w:jc w:val="left"/>
      </w:pPr>
      <w:r>
        <w:rPr>
          <w:rFonts w:ascii="Times New Roman" w:hAnsi="Times New Roman"/>
          <w:b/>
          <w:i w:val="false"/>
          <w:color w:val="000000"/>
          <w:sz w:val="22"/>
        </w:rPr>
        <w:t>TABLE 2. Criteria for Dissolved Oxygen</w:t>
      </w:r>
    </w:p>
    <w:p>
      <w:pPr>
        <w:spacing w:before="60" w:after="0"/>
        <w:ind w:left="120"/>
        <w:jc w:val="left"/>
      </w:pPr>
      <w:r>
        <w:rPr>
          <w:rFonts w:ascii="Times New Roman" w:hAnsi="Times New Roman"/>
          <w:b w:val="false"/>
          <w:i/>
          <w:color w:val="000000"/>
          <w:sz w:val="22"/>
        </w:rPr>
        <w:t>(all values expressed in milligrams per liter)</w:t>
      </w:r>
    </w:p>
    <w:tbl>
      <w:tblPr>
        <w:tblW w:w="5000" w:type="pct"/>
        <w:tblCellSpacing w:w="0" w:type="auto"/>
        <w:tblBorders>
          <w:top w:val="none"/>
          <w:left w:val="none"/>
          <w:bottom w:val="none"/>
          <w:right w:val="none"/>
          <w:insideH w:val="none"/>
          <w:insideV w:val="none"/>
        </w:tblBorders>
        <w:tblLayout w:type="fixed"/>
      </w:tblPr>
      <w:tblGrid>
        <w:gridCol w:w="2454"/>
        <w:gridCol w:w="1456"/>
        <w:gridCol w:w="1456"/>
        <w:gridCol w:w="1456"/>
        <w:gridCol w:w="1456"/>
        <w:gridCol w:w="1456"/>
        <w:gridCol w:w="1456"/>
      </w:tblGrid>
      <w:tr>
        <w:trPr>
          <w:trHeight w:val="225" w:hRule="atLeast"/>
        </w:trPr>
        <w:tc>
          <w:tcPr>
            <w:tcW w:w="24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B(CW1)</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B(CW2)</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B(WW-1)</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B(WW-2)</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B(WW-3)</w:t>
            </w:r>
          </w:p>
        </w:tc>
        <w:tc>
          <w:tcPr>
            <w:tcW w:w="14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B(LW)</w:t>
            </w:r>
          </w:p>
        </w:tc>
      </w:tr>
      <w:tr>
        <w:trPr>
          <w:trHeight w:val="225" w:hRule="atLeast"/>
        </w:trPr>
        <w:tc>
          <w:tcPr>
            <w:tcW w:w="24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24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value for at least 16 hours of every 24-hour period</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24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24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value at any time during every 24-hour period</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4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bl>
    <w:p>
      <w:pPr>
        <w:spacing w:before="0" w:after="0"/>
        <w:ind w:left="120"/>
        <w:jc w:val="both"/>
      </w:pPr>
      <w:r>
        <w:rPr>
          <w:rFonts w:ascii="Times New Roman" w:hAnsi="Times New Roman"/>
          <w:b w:val="false"/>
          <w:i/>
          <w:color w:val="000000"/>
          <w:sz w:val="22"/>
        </w:rPr>
        <w:t>*applies only to the upper layer of stratification in lakes</w:t>
      </w:r>
    </w:p>
    <w:p>
      <w:pPr>
        <w:spacing w:before="60" w:after="0"/>
        <w:ind w:left="120"/>
        <w:jc w:val="left"/>
      </w:pPr>
      <w:r>
        <w:rPr>
          <w:rFonts w:ascii="Times New Roman" w:hAnsi="Times New Roman"/>
          <w:b/>
          <w:i w:val="false"/>
          <w:color w:val="000000"/>
          <w:sz w:val="22"/>
        </w:rPr>
        <w:t>TABLE 3a. Acute Criterion for Ammonia in Iowa Streams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24"/>
        <w:gridCol w:w="4962"/>
        <w:gridCol w:w="4204"/>
      </w:tblGrid>
      <w:tr>
        <w:trPr>
          <w:trHeight w:val="40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Acute Criterion, mg/l as N</w:t>
            </w:r>
          </w:p>
          <w:p>
            <w:pPr>
              <w:spacing w:before="0" w:after="0"/>
              <w:ind w:left="160"/>
              <w:jc w:val="center"/>
            </w:pPr>
            <w:r>
              <w:rPr>
                <w:rFonts w:ascii="Times New Roman" w:hAnsi="Times New Roman"/>
                <w:b w:val="false"/>
                <w:i w:val="false"/>
                <w:color w:val="000000"/>
                <w:sz w:val="16"/>
              </w:rPr>
              <w:t>(or Criterion Maximum Concentration, CMC)</w:t>
            </w:r>
          </w:p>
        </w:tc>
      </w:tr>
      <w:tr>
        <w:trPr>
          <w:trHeight w:val="405" w:hRule="atLeast"/>
        </w:trPr>
        <w:tc>
          <w:tcPr>
            <w:tcW w:w="202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pH</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Class B(WW-1), B(WW-2),</w:t>
            </w:r>
          </w:p>
          <w:p>
            <w:pPr>
              <w:spacing w:before="0" w:after="0"/>
              <w:ind w:left="160"/>
              <w:jc w:val="center"/>
            </w:pPr>
            <w:r>
              <w:rPr>
                <w:rFonts w:ascii="Times New Roman" w:hAnsi="Times New Roman"/>
                <w:b w:val="false"/>
                <w:i w:val="false"/>
                <w:color w:val="000000"/>
                <w:sz w:val="16"/>
              </w:rPr>
              <w:t>B(WW-3) &amp; B(LW)</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Class B(CW1) &amp; B(CW2)</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48.8</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32.6</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46.8</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44.6</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29.8</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39.1</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26.1</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36.1</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32.8</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21.9</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29.5</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26.2</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15.3</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14.4</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9.64</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12.1</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8.11</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6.77</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4.64</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3.83</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4.71</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3.15</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3.88</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2.59</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2.65</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1.77</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1.47</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w:t>
            </w:r>
          </w:p>
        </w:tc>
      </w:tr>
      <w:tr>
        <w:trPr>
          <w:trHeight w:val="225"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1.56</w:t>
            </w:r>
          </w:p>
        </w:tc>
        <w:tc>
          <w:tcPr>
            <w:tcW w:w="42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r>
      <w:tr>
        <w:trPr>
          <w:trHeight w:val="225" w:hRule="atLeast"/>
        </w:trPr>
        <w:tc>
          <w:tcPr>
            <w:tcW w:w="20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496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1.32</w:t>
            </w:r>
          </w:p>
        </w:tc>
        <w:tc>
          <w:tcPr>
            <w:tcW w:w="42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0.885</w:t>
            </w:r>
          </w:p>
        </w:tc>
      </w:tr>
    </w:tbl>
    <w:p>
      <w:pPr>
        <w:spacing w:before="60" w:after="0"/>
        <w:ind w:left="120"/>
        <w:jc w:val="left"/>
      </w:pPr>
      <w:r>
        <w:rPr>
          <w:rFonts w:ascii="Times New Roman" w:hAnsi="Times New Roman"/>
          <w:b/>
          <w:i w:val="false"/>
          <w:color w:val="000000"/>
          <w:sz w:val="22"/>
        </w:rPr>
        <w:t>TABLE 3b. Chronic Criterion for Ammonia in Iowa Streams - Early Life Stages Present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21"/>
        <w:gridCol w:w="1121"/>
        <w:gridCol w:w="1039"/>
        <w:gridCol w:w="1044"/>
        <w:gridCol w:w="1048"/>
        <w:gridCol w:w="1054"/>
        <w:gridCol w:w="972"/>
        <w:gridCol w:w="976"/>
        <w:gridCol w:w="1012"/>
        <w:gridCol w:w="1012"/>
        <w:gridCol w:w="991"/>
      </w:tblGrid>
      <w:tr>
        <w:trPr>
          <w:trHeight w:val="405"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Chronic Criterion - Early Life Stages Present, mg/l as N</w:t>
            </w:r>
          </w:p>
          <w:p>
            <w:pPr>
              <w:spacing w:before="0" w:after="0"/>
              <w:ind w:left="160"/>
              <w:jc w:val="center"/>
            </w:pPr>
            <w:r>
              <w:rPr>
                <w:rFonts w:ascii="Times New Roman" w:hAnsi="Times New Roman"/>
                <w:b w:val="false"/>
                <w:i w:val="false"/>
                <w:color w:val="000000"/>
                <w:sz w:val="16"/>
              </w:rPr>
              <w:t>(or Criterion Continuous Concentration, CCC)</w:t>
            </w:r>
          </w:p>
        </w:tc>
      </w:tr>
      <w:tr>
        <w:trPr>
          <w:trHeight w:val="225" w:hRule="atLeast"/>
        </w:trPr>
        <w:tc>
          <w:tcPr>
            <w:tcW w:w="92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pH</w:t>
            </w:r>
          </w:p>
        </w:tc>
        <w:tc>
          <w:tcPr>
            <w:tcW w:w="0" w:type="auto"/>
            <w:gridSpan w:val="10"/>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Temperature, °C</w:t>
            </w:r>
          </w:p>
        </w:tc>
      </w:tr>
      <w:tr>
        <w:trPr>
          <w:trHeight w:val="225" w:hRule="atLeast"/>
        </w:trPr>
        <w:tc>
          <w:tcPr>
            <w:tcW w:w="0" w:type="auto"/>
            <w:vMerge/>
            <w:tcBorders>
              <w:top w:val="nil"/>
              <w:bottom w:val="single" w:color="000000" w:sz="8"/>
              <w:right w:val="single" w:color="000000" w:sz="8"/>
            </w:tcBorders>
          </w:tcP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6.67</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6.67</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5.33</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4.68</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4.12</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6.57</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6.57</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5.25</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2.42</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6.44</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6.44</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5.15</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4.52</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5.03</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4.42</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2.64</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2.32</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6.12</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6.12</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4.89</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5.91</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5.91</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5.37</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4.72</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4.15</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3.21</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2.48</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2.18</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5.67</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5.67</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5.15</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4.53</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3.98</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3.08</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2.38</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5.39</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5.39</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4.31</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3.78</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2.26</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1.99</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4.06</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3.57</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2.13</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4.73</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4.73</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3.78</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3.32</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2.92</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1.74</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4.36</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4.36</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3.97</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3.49</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1.83</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2.79</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3.25</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1.32</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2.89</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2.54</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2.23</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1.96</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1.73</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2.54</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2.24</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1.96</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1.73</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2.43</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1.71</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1.68</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1.47</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0.879</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0.773</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1.63</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0.973</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0.855</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0.752</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0.661</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1.39</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1.22</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0.941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0.727</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0.639</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0.562</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1.29</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1.03</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0.906</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0.796</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0.615</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0.541</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0.475</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0.870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0.765</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0.672</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0.591</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0.520</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0.401</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0.920</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0.920</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0.735</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0.646</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0.499</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0.439</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0.386</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0.339</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0.778</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0.778</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0.707</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0.622</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0.547</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0.480</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0.422</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0.371</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0.326</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0.287</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0.661</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0.661</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0.528</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0.464</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0.408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0.359</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0.315</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0.277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0.244</w:t>
            </w:r>
          </w:p>
        </w:tc>
      </w:tr>
      <w:tr>
        <w:trPr>
          <w:trHeight w:val="225" w:hRule="atLeast"/>
        </w:trPr>
        <w:tc>
          <w:tcPr>
            <w:tcW w:w="9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12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0.565</w:t>
            </w:r>
          </w:p>
        </w:tc>
        <w:tc>
          <w:tcPr>
            <w:tcW w:w="103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0.565</w:t>
            </w:r>
          </w:p>
        </w:tc>
        <w:tc>
          <w:tcPr>
            <w:tcW w:w="10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0.513</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0.451</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0.397</w:t>
            </w:r>
          </w:p>
        </w:tc>
        <w:tc>
          <w:tcPr>
            <w:tcW w:w="9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0.306</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0.269</w:t>
            </w:r>
          </w:p>
        </w:tc>
        <w:tc>
          <w:tcPr>
            <w:tcW w:w="10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0.237</w:t>
            </w:r>
          </w:p>
        </w:tc>
        <w:tc>
          <w:tcPr>
            <w:tcW w:w="9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0.208</w:t>
            </w:r>
          </w:p>
        </w:tc>
      </w:tr>
      <w:tr>
        <w:trPr>
          <w:trHeight w:val="225" w:hRule="atLeast"/>
        </w:trPr>
        <w:tc>
          <w:tcPr>
            <w:tcW w:w="92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12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0.486</w:t>
            </w:r>
          </w:p>
        </w:tc>
        <w:tc>
          <w:tcPr>
            <w:tcW w:w="103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0.486</w:t>
            </w:r>
          </w:p>
        </w:tc>
        <w:tc>
          <w:tcPr>
            <w:tcW w:w="10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0.442</w:t>
            </w:r>
          </w:p>
        </w:tc>
        <w:tc>
          <w:tcPr>
            <w:tcW w:w="104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0.389</w:t>
            </w:r>
          </w:p>
        </w:tc>
        <w:tc>
          <w:tcPr>
            <w:tcW w:w="10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0.342</w:t>
            </w:r>
          </w:p>
        </w:tc>
        <w:tc>
          <w:tcPr>
            <w:tcW w:w="97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0.300</w:t>
            </w:r>
          </w:p>
        </w:tc>
        <w:tc>
          <w:tcPr>
            <w:tcW w:w="97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0.264</w:t>
            </w:r>
          </w:p>
        </w:tc>
        <w:tc>
          <w:tcPr>
            <w:tcW w:w="101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0.232</w:t>
            </w:r>
          </w:p>
        </w:tc>
        <w:tc>
          <w:tcPr>
            <w:tcW w:w="101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0.204</w:t>
            </w:r>
          </w:p>
        </w:tc>
        <w:tc>
          <w:tcPr>
            <w:tcW w:w="9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0.179</w:t>
            </w:r>
          </w:p>
        </w:tc>
      </w:tr>
    </w:tbl>
    <w:p>
      <w:pPr>
        <w:spacing w:before="60" w:after="0"/>
        <w:ind w:left="120"/>
        <w:jc w:val="left"/>
      </w:pPr>
      <w:r>
        <w:rPr>
          <w:rFonts w:ascii="Times New Roman" w:hAnsi="Times New Roman"/>
          <w:b/>
          <w:i w:val="false"/>
          <w:color w:val="000000"/>
          <w:sz w:val="22"/>
        </w:rPr>
        <w:t>TABLE 3c. Chronic Criterion for Ammonia in Iowa Streams - Early Life Stages Absent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24"/>
        <w:gridCol w:w="1125"/>
        <w:gridCol w:w="1043"/>
        <w:gridCol w:w="1048"/>
        <w:gridCol w:w="1052"/>
        <w:gridCol w:w="1058"/>
        <w:gridCol w:w="976"/>
        <w:gridCol w:w="979"/>
        <w:gridCol w:w="1015"/>
        <w:gridCol w:w="1015"/>
        <w:gridCol w:w="954"/>
      </w:tblGrid>
      <w:tr>
        <w:trPr>
          <w:trHeight w:val="405" w:hRule="atLeast"/>
        </w:trPr>
        <w:tc>
          <w:tcPr>
            <w:tcW w:w="0" w:type="auto"/>
            <w:gridSpan w:val="11"/>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Chronic Criterion - Early Life Stages Absent, mg/l as N</w:t>
            </w:r>
          </w:p>
          <w:p>
            <w:pPr>
              <w:spacing w:before="0" w:after="0"/>
              <w:ind w:left="160"/>
              <w:jc w:val="center"/>
            </w:pPr>
            <w:r>
              <w:rPr>
                <w:rFonts w:ascii="Times New Roman" w:hAnsi="Times New Roman"/>
                <w:b w:val="false"/>
                <w:i w:val="false"/>
                <w:color w:val="000000"/>
                <w:sz w:val="16"/>
              </w:rPr>
              <w:t>(or Criterion Continuous Concentration, CCC)</w:t>
            </w:r>
          </w:p>
        </w:tc>
      </w:tr>
      <w:tr>
        <w:trPr>
          <w:trHeight w:val="225" w:hRule="atLeast"/>
        </w:trPr>
        <w:tc>
          <w:tcPr>
            <w:tcW w:w="92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pH</w:t>
            </w:r>
          </w:p>
        </w:tc>
        <w:tc>
          <w:tcPr>
            <w:tcW w:w="0" w:type="auto"/>
            <w:gridSpan w:val="10"/>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Temperature, °C</w:t>
            </w:r>
          </w:p>
        </w:tc>
      </w:tr>
      <w:tr>
        <w:trPr>
          <w:trHeight w:val="225" w:hRule="atLeast"/>
        </w:trPr>
        <w:tc>
          <w:tcPr>
            <w:tcW w:w="0" w:type="auto"/>
            <w:vMerge/>
            <w:tcBorders>
              <w:top w:val="nil"/>
              <w:bottom w:val="single" w:color="000000" w:sz="8"/>
              <w:right w:val="single" w:color="000000" w:sz="8"/>
            </w:tcBorders>
          </w:tcP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9.51</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8.92</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8.36</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7.84</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6.06</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9.99</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9.37</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8.79</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8.24</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7.72</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9.81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8.62</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7.58</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5.86</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9.58</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8.98</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8.42</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7.90</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7.40</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6.10</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5.72</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9.93</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8.73</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8.19</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7.20</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6.33</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5.93</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5.56</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9.60</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8.43</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7.91</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6.52</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5.73</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5.37</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9.20</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8.63</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8.09</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7.58</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6.67</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5.86</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5.49</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5.15</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8.75</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7.69</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7.21</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6.76</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6.34</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5.57</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5.22</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4.90</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8.24</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7.73</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7.25</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6.79</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6.37</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5.97</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5.60</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4.92</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4.61</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7.69</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6.76</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6.33</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5.94</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5.57</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5.22</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4.59</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r>
      <w:tr>
        <w:trPr>
          <w:trHeight w:val="25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7.09</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6.64</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6.23</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5.84</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5.13</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4.23</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3.97</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6.46</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5.67</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5.32</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4.68</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3.85</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3.61</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5.81</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5.11</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4.79</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4.21</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3.70</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3.47</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3.25</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4.84</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4.54</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4.26</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3.74</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3.09</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2.89</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4.54</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3.99</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3.74</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3.29</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2.71</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2.54</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3.95</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3.47</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3.26</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2.52</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2.36</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2.21</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3.41</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3.19</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2.99</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2.63</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2.47</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2.17</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2.03</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1.91</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2.91</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2.56</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2.11</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1.74</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1.63</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2.32</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2.18</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1.91</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1.79</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1.48</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1.39</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2.09</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1.84</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1.73</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1.62</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1.42</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1.46</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1.37</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1.13</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0.99</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1.49</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1.31</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1.15</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0.951</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0.892</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0.836</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1.26</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1.18</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0.976</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0.915</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0.858</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0.805</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0.754</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0.707</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0.944</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0.885</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0.829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0.778</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0.729</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0.684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0.641</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0.601</w:t>
            </w:r>
          </w:p>
        </w:tc>
      </w:tr>
      <w:tr>
        <w:trPr>
          <w:trHeight w:val="225" w:hRule="atLeast"/>
        </w:trPr>
        <w:tc>
          <w:tcPr>
            <w:tcW w:w="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11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0.917</w:t>
            </w:r>
          </w:p>
        </w:tc>
        <w:tc>
          <w:tcPr>
            <w:tcW w:w="10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0.860</w:t>
            </w:r>
          </w:p>
        </w:tc>
        <w:tc>
          <w:tcPr>
            <w:tcW w:w="104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0.806</w:t>
            </w:r>
          </w:p>
        </w:tc>
        <w:tc>
          <w:tcPr>
            <w:tcW w:w="1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0.756</w:t>
            </w:r>
          </w:p>
        </w:tc>
        <w:tc>
          <w:tcPr>
            <w:tcW w:w="1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0.709</w:t>
            </w:r>
          </w:p>
        </w:tc>
        <w:tc>
          <w:tcPr>
            <w:tcW w:w="97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0.664</w:t>
            </w:r>
          </w:p>
        </w:tc>
        <w:tc>
          <w:tcPr>
            <w:tcW w:w="9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0.623</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0.584</w:t>
            </w:r>
          </w:p>
        </w:tc>
        <w:tc>
          <w:tcPr>
            <w:tcW w:w="10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0.548</w:t>
            </w:r>
          </w:p>
        </w:tc>
        <w:tc>
          <w:tcPr>
            <w:tcW w:w="9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0.513</w:t>
            </w:r>
          </w:p>
        </w:tc>
      </w:tr>
      <w:tr>
        <w:trPr>
          <w:trHeight w:val="225" w:hRule="atLeast"/>
        </w:trPr>
        <w:tc>
          <w:tcPr>
            <w:tcW w:w="9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c>
          <w:tcPr>
            <w:tcW w:w="112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0.790</w:t>
            </w:r>
          </w:p>
        </w:tc>
        <w:tc>
          <w:tcPr>
            <w:tcW w:w="10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0.740</w:t>
            </w:r>
          </w:p>
        </w:tc>
        <w:tc>
          <w:tcPr>
            <w:tcW w:w="104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0.694</w:t>
            </w:r>
          </w:p>
        </w:tc>
        <w:tc>
          <w:tcPr>
            <w:tcW w:w="105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0.651</w:t>
            </w:r>
          </w:p>
        </w:tc>
        <w:tc>
          <w:tcPr>
            <w:tcW w:w="105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0.610</w:t>
            </w:r>
          </w:p>
        </w:tc>
        <w:tc>
          <w:tcPr>
            <w:tcW w:w="97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0.572</w:t>
            </w:r>
          </w:p>
        </w:tc>
        <w:tc>
          <w:tcPr>
            <w:tcW w:w="97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0.536</w:t>
            </w:r>
          </w:p>
        </w:tc>
        <w:tc>
          <w:tcPr>
            <w:tcW w:w="101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0.503</w:t>
            </w:r>
          </w:p>
        </w:tc>
        <w:tc>
          <w:tcPr>
            <w:tcW w:w="101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0.471</w:t>
            </w:r>
          </w:p>
        </w:tc>
        <w:tc>
          <w:tcPr>
            <w:tcW w:w="9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0.442</w:t>
            </w:r>
          </w:p>
        </w:tc>
      </w:tr>
    </w:tbl>
    <w:p>
      <w:pPr>
        <w:spacing w:before="0" w:after="0"/>
        <w:ind w:left="120"/>
        <w:jc w:val="both"/>
      </w:pPr>
      <w:r>
        <w:rPr>
          <w:rFonts w:ascii="Times New Roman" w:hAnsi="Times New Roman"/>
          <w:b w:val="false"/>
          <w:i w:val="false"/>
          <w:color w:val="000000"/>
          <w:sz w:val="20"/>
        </w:rPr>
        <w:t>*At 15°C and above, the criterion for fish early life stage (ELS) absent is the same as the criterion for fish ELS present.</w:t>
      </w:r>
    </w:p>
    <w:p>
      <w:pPr>
        <w:spacing w:before="60" w:after="0"/>
        <w:ind w:left="120"/>
        <w:jc w:val="left"/>
      </w:pPr>
      <w:r>
        <w:rPr>
          <w:rFonts w:ascii="Times New Roman" w:hAnsi="Times New Roman"/>
          <w:b/>
          <w:i w:val="false"/>
          <w:color w:val="000000"/>
          <w:sz w:val="22"/>
        </w:rPr>
        <w:t>TABLE 4. Aquatic Life Criteria for Sulfate for Class B Waters</w:t>
      </w:r>
    </w:p>
    <w:p>
      <w:pPr>
        <w:spacing w:before="60" w:after="0"/>
        <w:ind w:left="120"/>
        <w:jc w:val="left"/>
      </w:pPr>
      <w:r>
        <w:rPr>
          <w:rFonts w:ascii="Times New Roman" w:hAnsi="Times New Roman"/>
          <w:b w:val="false"/>
          <w:i/>
          <w:color w:val="000000"/>
          <w:sz w:val="22"/>
        </w:rPr>
        <w:t>(all values expressed in milligrams per liter)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54"/>
        <w:gridCol w:w="2822"/>
        <w:gridCol w:w="2822"/>
        <w:gridCol w:w="2822"/>
      </w:tblGrid>
      <w:tr>
        <w:trPr>
          <w:trHeight w:val="225" w:hRule="atLeast"/>
        </w:trPr>
        <w:tc>
          <w:tcPr>
            <w:tcW w:w="3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Chloride</w:t>
            </w:r>
          </w:p>
        </w:tc>
      </w:tr>
      <w:tr>
        <w:trPr>
          <w:trHeight w:val="285" w:hRule="atLeast"/>
        </w:trPr>
        <w:tc>
          <w:tcPr>
            <w:tcW w:w="3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Hardness mg/l as CaCO</w:t>
            </w:r>
            <w:r>
              <w:rPr>
                <w:rFonts w:ascii="Times New Roman" w:hAnsi="Times New Roman"/>
                <w:b w:val="false"/>
                <w:i w:val="false"/>
                <w:color w:val="000000"/>
                <w:sz w:val="18"/>
                <w:vertAlign w:val="subscript"/>
              </w:rPr>
              <w:t>3</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&lt; 5 mg/l</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&lt; = Cl</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&lt; 25</w:t>
            </w:r>
          </w:p>
        </w:tc>
        <w:tc>
          <w:tcPr>
            <w:tcW w:w="28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&lt; = C1</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&lt; = 500</w:t>
            </w:r>
          </w:p>
        </w:tc>
      </w:tr>
      <w:tr>
        <w:trPr>
          <w:trHeight w:val="225" w:hRule="atLeast"/>
        </w:trPr>
        <w:tc>
          <w:tcPr>
            <w:tcW w:w="3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 &lt; 100 mg/l</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8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585" w:hRule="atLeast"/>
        </w:trPr>
        <w:tc>
          <w:tcPr>
            <w:tcW w:w="3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 &lt; = H &lt; = 500</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82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[–57.478 + 5.79 </w:t>
            </w:r>
            <w:r>
              <w:br/>
            </w:r>
            <w:r>
              <w:rPr>
                <w:rFonts w:ascii="Times New Roman" w:hAnsi="Times New Roman"/>
                <w:b w:val="false"/>
                <w:i w:val="false"/>
                <w:color w:val="000000"/>
                <w:sz w:val="16"/>
              </w:rPr>
              <w:t xml:space="preserve">(hardness) + 54.163 </w:t>
            </w:r>
            <w:r>
              <w:br/>
            </w:r>
            <w:r>
              <w:rPr>
                <w:rFonts w:ascii="Times New Roman" w:hAnsi="Times New Roman"/>
                <w:b w:val="false"/>
                <w:i w:val="false"/>
                <w:color w:val="000000"/>
                <w:sz w:val="16"/>
              </w:rPr>
              <w:t>(chloride)] × 0.65</w:t>
            </w:r>
          </w:p>
        </w:tc>
        <w:tc>
          <w:tcPr>
            <w:tcW w:w="28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[1276.7 + 5.508 </w:t>
            </w:r>
            <w:r>
              <w:br/>
            </w:r>
            <w:r>
              <w:rPr>
                <w:rFonts w:ascii="Times New Roman" w:hAnsi="Times New Roman"/>
                <w:b w:val="false"/>
                <w:i w:val="false"/>
                <w:color w:val="000000"/>
                <w:sz w:val="16"/>
              </w:rPr>
              <w:t xml:space="preserve">(hardness) –1.457 </w:t>
            </w:r>
            <w:r>
              <w:br/>
            </w:r>
            <w:r>
              <w:rPr>
                <w:rFonts w:ascii="Times New Roman" w:hAnsi="Times New Roman"/>
                <w:b w:val="false"/>
                <w:i w:val="false"/>
                <w:color w:val="000000"/>
                <w:sz w:val="16"/>
              </w:rPr>
              <w:t>(chloride)] × 0.65</w:t>
            </w:r>
          </w:p>
        </w:tc>
      </w:tr>
      <w:tr>
        <w:trPr>
          <w:trHeight w:val="225" w:hRule="atLeast"/>
        </w:trPr>
        <w:tc>
          <w:tcPr>
            <w:tcW w:w="30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 &gt; 500</w:t>
            </w:r>
          </w:p>
        </w:tc>
        <w:tc>
          <w:tcPr>
            <w:tcW w:w="28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82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28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Class “C” waters.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4/18/90</w:t>
      </w:r>
      <w:r>
        <w:rPr>
          <w:rFonts w:ascii="Times New Roman" w:hAnsi="Times New Roman"/>
          <w:b w:val="false"/>
          <w:i w:val="false"/>
          <w:color w:val="000000"/>
          <w:sz w:val="22"/>
        </w:rPr>
        <w:t>, effective 5/23/90.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Surface water classification. </w:t>
      </w:r>
      <w:r>
        <w:rPr>
          <w:rFonts w:ascii="Times New Roman" w:hAnsi="Times New Roman"/>
          <w:b w:val="false"/>
          <w:i w:val="false"/>
          <w:color w:val="000000"/>
          <w:sz w:val="22"/>
        </w:rPr>
        <w:t xml:space="preserve">The department hereby incorporates by reference “Surface Water Classification,” effective July 24, 2019. This document may be obtained on the department’s website at </w:t>
      </w:r>
      <w:hyperlink r:id="rId4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color w:val="000000"/>
          <w:sz w:val="22"/>
        </w:rPr>
        <w:t xml:space="preserve">Cold water use designation assessment protocol. </w:t>
      </w:r>
      <w:r>
        <w:rPr>
          <w:rFonts w:ascii="Times New Roman" w:hAnsi="Times New Roman"/>
          <w:b w:val="false"/>
          <w:i w:val="false"/>
          <w:color w:val="000000"/>
          <w:sz w:val="22"/>
        </w:rPr>
        <w:t xml:space="preserve">The department hereby incorporates by reference “Cold Water Use Designation Assessment Protocol,” effective December 15, 2004. This document may be obtained on the department’s website at </w:t>
      </w:r>
      <w:hyperlink r:id="rId4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61.3(7)</w:t>
      </w:r>
      <w:r>
        <w:rPr>
          <w:rFonts w:ascii="Times New Roman" w:hAnsi="Times New Roman"/>
          <w:b w:val="false"/>
          <w:i w:val="false"/>
          <w:color w:val="000000"/>
          <w:sz w:val="22"/>
        </w:rPr>
        <w:t> </w:t>
      </w:r>
      <w:r>
        <w:rPr>
          <w:rFonts w:ascii="Times New Roman" w:hAnsi="Times New Roman"/>
          <w:b w:val="false"/>
          <w:i/>
          <w:color w:val="000000"/>
          <w:sz w:val="22"/>
        </w:rPr>
        <w:t xml:space="preserve">Warm water stream use assessment and attainability analysis protocol. </w:t>
      </w:r>
      <w:r>
        <w:rPr>
          <w:rFonts w:ascii="Times New Roman" w:hAnsi="Times New Roman"/>
          <w:b w:val="false"/>
          <w:i w:val="false"/>
          <w:color w:val="000000"/>
          <w:sz w:val="22"/>
        </w:rPr>
        <w:t xml:space="preserve">The department hereby incorporates by reference “Warm Water Stream Use Assessment and Attainability Analysis Protocol,” effective March 22, 2006. This document may be obtained on the department’s website at </w:t>
      </w:r>
      <w:hyperlink r:id="rId48">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61.3(8)</w:t>
      </w:r>
      <w:r>
        <w:rPr>
          <w:rFonts w:ascii="Times New Roman" w:hAnsi="Times New Roman"/>
          <w:b w:val="false"/>
          <w:i w:val="false"/>
          <w:color w:val="000000"/>
          <w:sz w:val="22"/>
        </w:rPr>
        <w:t> </w:t>
      </w:r>
      <w:r>
        <w:rPr>
          <w:rFonts w:ascii="Times New Roman" w:hAnsi="Times New Roman"/>
          <w:b w:val="false"/>
          <w:i/>
          <w:color w:val="000000"/>
          <w:sz w:val="22"/>
        </w:rPr>
        <w:t xml:space="preserve">Recreational use assessment and attainability analysis protocol. </w:t>
      </w:r>
      <w:r>
        <w:rPr>
          <w:rFonts w:ascii="Times New Roman" w:hAnsi="Times New Roman"/>
          <w:b w:val="false"/>
          <w:i w:val="false"/>
          <w:color w:val="000000"/>
          <w:sz w:val="22"/>
        </w:rPr>
        <w:t>The department hereby incorporates by reference “Recreational Use Assessment and Attainability Analysis Protocol,” effective March 19, 2008. This document may be obtained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61.3(9)</w:t>
      </w:r>
      <w:r>
        <w:rPr>
          <w:rFonts w:ascii="Times New Roman" w:hAnsi="Times New Roman"/>
          <w:b w:val="false"/>
          <w:i w:val="false"/>
          <w:color w:val="000000"/>
          <w:sz w:val="22"/>
        </w:rPr>
        <w:t> </w:t>
      </w:r>
      <w:r>
        <w:rPr>
          <w:rFonts w:ascii="Times New Roman" w:hAnsi="Times New Roman"/>
          <w:b w:val="false"/>
          <w:i/>
          <w:color w:val="000000"/>
          <w:sz w:val="22"/>
        </w:rPr>
        <w:t xml:space="preserve">Iowa wasteload allocation (WLA) procedure. </w:t>
      </w:r>
      <w:r>
        <w:rPr>
          <w:rFonts w:ascii="Times New Roman" w:hAnsi="Times New Roman"/>
          <w:b w:val="false"/>
          <w:i w:val="false"/>
          <w:color w:val="000000"/>
          <w:sz w:val="22"/>
        </w:rPr>
        <w:t xml:space="preserve">The department hereby incorporates by reference “Iowa Wasteload Allocation (WLA) Procedure,” as revised on November 11, 2020. This document may be obtained on the department’s website at </w:t>
      </w:r>
      <w:hyperlink r:id="rId49">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61.3(10)</w:t>
      </w:r>
      <w:r>
        <w:rPr>
          <w:rFonts w:ascii="Times New Roman" w:hAnsi="Times New Roman"/>
          <w:b w:val="false"/>
          <w:i w:val="false"/>
          <w:color w:val="000000"/>
          <w:sz w:val="22"/>
        </w:rPr>
        <w:t> </w:t>
      </w:r>
      <w:r>
        <w:rPr>
          <w:rFonts w:ascii="Times New Roman" w:hAnsi="Times New Roman"/>
          <w:b w:val="false"/>
          <w:i/>
          <w:color w:val="000000"/>
          <w:sz w:val="22"/>
        </w:rPr>
        <w:t xml:space="preserve">Implementation procedure for biotic ligand model-based copper criteria. </w:t>
      </w:r>
      <w:r>
        <w:rPr>
          <w:rFonts w:ascii="Times New Roman" w:hAnsi="Times New Roman"/>
          <w:b w:val="false"/>
          <w:i w:val="false"/>
          <w:color w:val="000000"/>
          <w:sz w:val="22"/>
        </w:rPr>
        <w:t>The department hereby incorporates by reference “Implementation Procedure for Biotic Ligand Model-Based Copper Criteria,” February 22, 2017. This document may be obtained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 and division III, part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8214B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8226B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8466B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9223B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1988C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2911C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3583C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 xml:space="preserve">; </w:t>
      </w:r>
      <w:r>
        <w:rPr>
          <w:rFonts w:ascii="Times New Roman" w:hAnsi="Times New Roman"/>
          <w:b/>
          <w:i w:val="false"/>
          <w:color w:val="000000"/>
          <w:sz w:val="16"/>
        </w:rPr>
        <w:t>ARC 4514C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5226C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567—61.4</w:t>
      </w:r>
      <w:r>
        <w:rPr>
          <w:rFonts w:ascii="Times New Roman" w:hAnsi="Times New Roman"/>
          <w:b w:val="false"/>
          <w:i w:val="false"/>
          <w:color w:val="000000"/>
          <w:sz w:val="22"/>
        </w:rPr>
        <w:t xml:space="preserve"> to </w:t>
      </w:r>
      <w:r>
        <w:rPr>
          <w:rFonts w:ascii="Times New Roman" w:hAnsi="Times New Roman"/>
          <w:b/>
          <w:i w:val="false"/>
          <w:color w:val="000000"/>
          <w:sz w:val="22"/>
        </w:rPr>
        <w:t>61.9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VOLUNTEER MONITORING DATA REQUIREMENTS</w:t>
      </w:r>
    </w:p>
    <w:p>
      <w:pPr>
        <w:spacing w:before="0" w:after="0"/>
        <w:ind w:left="120"/>
        <w:jc w:val="both"/>
      </w:pPr>
      <w:r>
        <w:rPr>
          <w:rFonts w:ascii="Times New Roman" w:hAnsi="Times New Roman"/>
          <w:b/>
          <w:i w:val="false"/>
          <w:color w:val="000000"/>
          <w:sz w:val="22"/>
        </w:rPr>
        <w:t>567—61.10</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department uses water quality monitoring data for a number of purposes, including determining compliance with effluent limits for operation permits issued under </w:t>
      </w:r>
      <w:hyperlink r:id="rId51">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The department also uses water quality monitoring data to determine the relative health of a water body by comparing monitoring data to the appropriate water quality standards established in </w:t>
      </w:r>
      <w:hyperlink r:id="rId52">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a process known as water body assessments. Water body assessments are performed to prepare the biennial water quality report required under Section 305(b) of the Act and the list of impaired waters under Section 303(d) of the Act.</w:t>
      </w:r>
    </w:p>
    <w:p>
      <w:pPr>
        <w:spacing w:before="0" w:after="0"/>
        <w:ind w:left="120"/>
        <w:jc w:val="both"/>
      </w:pPr>
      <w:r>
        <w:rPr>
          <w:rFonts w:ascii="Times New Roman" w:hAnsi="Times New Roman"/>
          <w:b w:val="false"/>
          <w:i w:val="false"/>
          <w:color w:val="000000"/>
          <w:sz w:val="22"/>
        </w:rPr>
        <w:t xml:space="preserve">Iowa Code sections </w:t>
      </w:r>
      <w:hyperlink r:id="rId53">
        <w:r>
          <w:rPr>
            <w:rStyle w:val="Hyperlink"/>
            <w:rFonts w:ascii="Times New Roman" w:hAnsi="Times New Roman"/>
            <w:b w:val="false"/>
            <w:i w:val="false"/>
            <w:color w:val="000000"/>
            <w:sz w:val="22"/>
          </w:rPr>
          <w:t>455B.193 to 455B.195</w:t>
        </w:r>
      </w:hyperlink>
      <w:r>
        <w:rPr>
          <w:rFonts w:ascii="Times New Roman" w:hAnsi="Times New Roman"/>
          <w:b w:val="false"/>
          <w:i w:val="false"/>
          <w:color w:val="000000"/>
          <w:sz w:val="22"/>
        </w:rPr>
        <w:t xml:space="preserve"> require that credible data, as defined in Iowa Code section </w:t>
      </w:r>
      <w:hyperlink r:id="rId5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be used for the purpose of preparing Section 303(d) lists and other water quality program functions. Data provided by a volunteer are not considered credible data unless provided by a qualified volunteer. The purpose of this chapter is to establish minimum requirements for data produced by volunteers to meet the credible data and qualified volunteer requirements.</w:t>
      </w:r>
    </w:p>
    <w:p>
      <w:pPr>
        <w:spacing w:before="0" w:after="0"/>
        <w:ind w:left="120"/>
        <w:jc w:val="both"/>
      </w:pPr>
      <w:r>
        <w:rPr>
          <w:rFonts w:ascii="Times New Roman" w:hAnsi="Times New Roman"/>
          <w:b/>
          <w:i w:val="false"/>
          <w:color w:val="000000"/>
          <w:sz w:val="22"/>
        </w:rPr>
        <w:t>567—61.11</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plan required. </w:t>
      </w:r>
      <w:r>
        <w:rPr>
          <w:rFonts w:ascii="Times New Roman" w:hAnsi="Times New Roman"/>
          <w:b w:val="false"/>
          <w:i w:val="false"/>
          <w:color w:val="000000"/>
          <w:sz w:val="22"/>
        </w:rPr>
        <w:t xml:space="preserve">Volunteer water quality monitoring data submitted to the department must have been produced in accordance with a department-approved volunteer water quality monitoring plan before the data may be used for any of the purposes listed in Iowa Code section </w:t>
      </w:r>
      <w:hyperlink r:id="rId55">
        <w:r>
          <w:rPr>
            <w:rStyle w:val="Hyperlink"/>
            <w:rFonts w:ascii="Times New Roman" w:hAnsi="Times New Roman"/>
            <w:b w:val="false"/>
            <w:i w:val="false"/>
            <w:color w:val="000000"/>
            <w:sz w:val="22"/>
          </w:rPr>
          <w:t>455B.194</w:t>
        </w:r>
      </w:hyperlink>
      <w:r>
        <w:rPr>
          <w:rFonts w:ascii="Times New Roman" w:hAnsi="Times New Roman"/>
          <w:b w:val="false"/>
          <w:i w:val="false"/>
          <w:color w:val="000000"/>
          <w:sz w:val="22"/>
        </w:rPr>
        <w:t>. Approval of a plan will establish qualified volunteer status for the personnel identified in the plan for those monitoring activities covered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61.11(1)</w:t>
      </w:r>
      <w:r>
        <w:rPr>
          <w:rFonts w:ascii="Times New Roman" w:hAnsi="Times New Roman"/>
          <w:b w:val="false"/>
          <w:i w:val="false"/>
          <w:color w:val="000000"/>
          <w:sz w:val="22"/>
        </w:rPr>
        <w:t> </w:t>
      </w:r>
      <w:r>
        <w:rPr>
          <w:rFonts w:ascii="Times New Roman" w:hAnsi="Times New Roman"/>
          <w:b w:val="false"/>
          <w:i/>
          <w:color w:val="000000"/>
          <w:sz w:val="22"/>
        </w:rPr>
        <w:t xml:space="preserve">Submittal of the plan. </w:t>
      </w:r>
      <w:r>
        <w:rPr>
          <w:rFonts w:ascii="Times New Roman" w:hAnsi="Times New Roman"/>
          <w:b w:val="false"/>
          <w:i w:val="false"/>
          <w:color w:val="000000"/>
          <w:sz w:val="22"/>
        </w:rPr>
        <w:t>Prior to initiation of volunteer water quality monitoring activities intended to produce credible data, a water quality monitoring plan must be submitted to the department for review and approval. The plan must be submitted to the Volunteer Monitoring Coordinator, Department of Natural Resources, Wallace State Office Building, Des Moines, Iowa 50319, a minimum of 90 days before planned initiation of volunteer monitoring activities. A letter transmitting the plan must specifically request formal review and approval of the plan and identify a contact person. Volunteer monitors are encouraged to communicate with the department and to attend volunteer monitoring training sessions prior to formal submittal of 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61.11(2)</w:t>
      </w:r>
      <w:r>
        <w:rPr>
          <w:rFonts w:ascii="Times New Roman" w:hAnsi="Times New Roman"/>
          <w:b w:val="false"/>
          <w:i w:val="false"/>
          <w:color w:val="000000"/>
          <w:sz w:val="22"/>
        </w:rPr>
        <w:t> </w:t>
      </w:r>
      <w:r>
        <w:rPr>
          <w:rFonts w:ascii="Times New Roman" w:hAnsi="Times New Roman"/>
          <w:b w:val="false"/>
          <w:i/>
          <w:color w:val="000000"/>
          <w:sz w:val="22"/>
        </w:rPr>
        <w:t xml:space="preserve">Content of the plan. </w:t>
      </w:r>
      <w:r>
        <w:rPr>
          <w:rFonts w:ascii="Times New Roman" w:hAnsi="Times New Roman"/>
          <w:b w:val="false"/>
          <w:i w:val="false"/>
          <w:color w:val="000000"/>
          <w:sz w:val="22"/>
        </w:rPr>
        <w:t>A volunteer monitoring plan must contain, at a minimum, the following to be considered an acceptable volunteer monitoring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intent of the monitoring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of the person or persons that will be involved in data collection or analysis, the specific responsibilities of each person or group of people, and the general qualifications of the volunteers to carry out those responsibilities. For groups, such as educational institutions, it will be acceptable to identify the persons involved by general description (e.g., tenth grade biology class) with the exception of persons in responsible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the person or persons that will oversee the monitoring plan, ensure that quality assurance and control objectives are being met, and certify the data. The person or persons in responsible charge must have training commensurate with the level of expertise to ensure that credible data is being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duration of the volunteer monitoring effort. In general, the department will not approve plans of greater than three years’ duration unless a longer duration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Location and frequency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of data collection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 and data reporting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the plan. </w:t>
      </w:r>
      <w:r>
        <w:rPr>
          <w:rFonts w:ascii="Times New Roman" w:hAnsi="Times New Roman"/>
          <w:b w:val="false"/>
          <w:i w:val="false"/>
          <w:color w:val="000000"/>
          <w:sz w:val="22"/>
        </w:rPr>
        <w:t>The department will review monitoring plans and normally approve or disapprove the plan within 90 days of receipt. The department will work with the contact person identified in the plan to make any necessary changes prior to taking formal action. The department will use guidelines contained in the publications EPA Requirements for Quality Assurance Project Plans (EPA QA/R-5, 2001) and Volunteer Monitor’s Guide to Quality Assurance Project Plans (1966, EPA 841-B-96-003) or equivalent updates to determine if the plans provide adequate quality assurance and quality control measures. Approval or disapproval of the plan will be in the form of a letter and approval may include conditions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61.11(4)</w:t>
      </w:r>
      <w:r>
        <w:rPr>
          <w:rFonts w:ascii="Times New Roman" w:hAnsi="Times New Roman"/>
          <w:b w:val="false"/>
          <w:i w:val="false"/>
          <w:color w:val="000000"/>
          <w:sz w:val="22"/>
        </w:rPr>
        <w:t> </w:t>
      </w:r>
      <w:r>
        <w:rPr>
          <w:rFonts w:ascii="Times New Roman" w:hAnsi="Times New Roman"/>
          <w:b w:val="false"/>
          <w:i/>
          <w:color w:val="000000"/>
          <w:sz w:val="22"/>
        </w:rPr>
        <w:t xml:space="preserve">Changes in monitoring plans. </w:t>
      </w:r>
      <w:r>
        <w:rPr>
          <w:rFonts w:ascii="Times New Roman" w:hAnsi="Times New Roman"/>
          <w:b w:val="false"/>
          <w:i w:val="false"/>
          <w:color w:val="000000"/>
          <w:sz w:val="22"/>
        </w:rPr>
        <w:t>The department must approve any changes to an approved monitoring plan. Data collected under a modified plan will not be considered credible data until such time as the department has approved the modifications. Modifications to an approved plan should be submitted at the earliest possible time to avoid interruptions in data collection and to ensure continuity of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61.11(5)</w:t>
      </w:r>
      <w:r>
        <w:rPr>
          <w:rFonts w:ascii="Times New Roman" w:hAnsi="Times New Roman"/>
          <w:b w:val="false"/>
          <w:i w:val="false"/>
          <w:color w:val="000000"/>
          <w:sz w:val="22"/>
        </w:rPr>
        <w:t> </w:t>
      </w:r>
      <w:r>
        <w:rPr>
          <w:rFonts w:ascii="Times New Roman" w:hAnsi="Times New Roman"/>
          <w:b w:val="false"/>
          <w:i/>
          <w:color w:val="000000"/>
          <w:sz w:val="22"/>
        </w:rPr>
        <w:t xml:space="preserve">Appeal of disapproval. </w:t>
      </w:r>
      <w:r>
        <w:rPr>
          <w:rFonts w:ascii="Times New Roman" w:hAnsi="Times New Roman"/>
          <w:b w:val="false"/>
          <w:i w:val="false"/>
          <w:color w:val="000000"/>
          <w:sz w:val="22"/>
        </w:rPr>
        <w:t xml:space="preserve">If a monitoring plan submitted for approval is disapproved, the decision may be appealed by filing an appeal with the director within 30 days of disapproval. The form of the notice of appeal and appeal procedures are governed by </w:t>
      </w:r>
      <w:hyperlink r:id="rId5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567—61.12</w:t>
      </w:r>
      <w:r>
        <w:rPr>
          <w:rFonts w:ascii="Times New Roman" w:hAnsi="Times New Roman"/>
          <w:b/>
          <w:i w:val="false"/>
          <w:color w:val="000000"/>
          <w:sz w:val="22"/>
        </w:rPr>
        <w:t xml:space="preserve">(455B) </w:t>
      </w:r>
      <w:r>
        <w:rPr>
          <w:rFonts w:ascii="Times New Roman" w:hAnsi="Times New Roman"/>
          <w:b/>
          <w:i w:val="false"/>
          <w:color w:val="000000"/>
          <w:sz w:val="22"/>
        </w:rPr>
        <w:t xml:space="preserve">Use of volunteer monitoring data. </w:t>
      </w:r>
      <w:r>
        <w:rPr>
          <w:rFonts w:ascii="Times New Roman" w:hAnsi="Times New Roman"/>
          <w:b w:val="false"/>
          <w:i w:val="false"/>
          <w:color w:val="000000"/>
          <w:sz w:val="22"/>
        </w:rPr>
        <w:t xml:space="preserve">Data produced under an approved water quality monitoring plan will be considered credible data for the purposes listed in Iowa Code section </w:t>
      </w:r>
      <w:hyperlink r:id="rId57">
        <w:r>
          <w:rPr>
            <w:rStyle w:val="Hyperlink"/>
            <w:rFonts w:ascii="Times New Roman" w:hAnsi="Times New Roman"/>
            <w:b w:val="false"/>
            <w:i w:val="false"/>
            <w:color w:val="000000"/>
            <w:sz w:val="22"/>
          </w:rPr>
          <w:t>455B.194</w:t>
        </w:r>
      </w:hyperlink>
      <w:r>
        <w:rPr>
          <w:rFonts w:ascii="Times New Roman" w:hAnsi="Times New Roman"/>
          <w:b w:val="false"/>
          <w:i w:val="false"/>
          <w:color w:val="000000"/>
          <w:sz w:val="22"/>
        </w:rPr>
        <w:t xml:space="preserv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color w:val="000000"/>
          <w:sz w:val="22"/>
        </w:rPr>
        <w:t xml:space="preserve">Data submittal. </w:t>
      </w:r>
      <w:r>
        <w:rPr>
          <w:rFonts w:ascii="Times New Roman" w:hAnsi="Times New Roman"/>
          <w:b w:val="false"/>
          <w:i w:val="false"/>
          <w:color w:val="000000"/>
          <w:sz w:val="22"/>
        </w:rPr>
        <w:t>A qualified volunteer monitor or qualified volunteer monitoring group must specifically request that data produced under an approved volunteer monitoring plan be considered credible data. A letter identifying the specific data must be submitted along with a certification from the volunteer or the person in responsible charge for volunteer groups that the data, to the best of the volunteer’s or responsible person’s knowledge, was produced in accordance with the approved volunteer monitoring plan. The department shall provide a standard format on the IOWATER website for submittal of qualified volunteer data and related information. The department encourages volunteers to enter monitoring data on the IOWATER volunteer monitoring database maintained by the department, but doing so does not constitute submittal to or acceptance of the data by the department for uses requiring credible data. Volunteer data shall be labeled as such in any departmental reports, websites, or databases.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submitted data. </w:t>
      </w:r>
      <w:r>
        <w:rPr>
          <w:rFonts w:ascii="Times New Roman" w:hAnsi="Times New Roman"/>
          <w:b w:val="false"/>
          <w:i w:val="false"/>
          <w:color w:val="000000"/>
          <w:sz w:val="22"/>
        </w:rPr>
        <w:t>The department must review and approve the submitted data. The person submitting the data will be informed of the department’s decision either to accept or reject the data. The department will attempt to resolve any apparent inconsistencies or questionable values in the submitted data prior to making a final decision.</w:t>
      </w:r>
    </w:p>
    <w:p>
      <w:pPr>
        <w:spacing w:before="210" w:after="0"/>
        <w:ind w:left="120"/>
        <w:jc w:val="both"/>
      </w:pPr>
      <w:r>
        <w:rPr>
          <w:rFonts w:ascii="Times New Roman" w:hAnsi="Times New Roman"/>
          <w:b/>
          <w:i w:val="false"/>
          <w:color w:val="000000"/>
          <w:sz w:val="22"/>
        </w:rPr>
        <w:t>567—61.13</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audits of volunteer monitoring activities. </w:t>
      </w:r>
      <w:r>
        <w:rPr>
          <w:rFonts w:ascii="Times New Roman" w:hAnsi="Times New Roman"/>
          <w:b w:val="false"/>
          <w:i w:val="false"/>
          <w:color w:val="000000"/>
          <w:sz w:val="22"/>
        </w:rPr>
        <w:t>The department shall conduct field audits of a statistically valid and representative sample of volunteer data collection and analysis procedures to ensure compliance with an approved plan and may conduct confirmatory monitoring tests. Volunteers shall be informed of any audit results and be provided with an opportunity to address any concerns to the extent possible. The department reserves the right to rescind approval of an approved plan if it finds substantial problems that cannot be addressed in a timely manner to ensure the quality of the data being produced.</w:t>
      </w:r>
    </w:p>
    <w:p>
      <w:pPr>
        <w:spacing w:before="0" w:after="0"/>
        <w:ind w:left="120"/>
        <w:jc w:val="left"/>
      </w:pPr>
      <w:r>
        <w:rPr>
          <w:rFonts w:ascii="Times New Roman" w:hAnsi="Times New Roman"/>
          <w:b w:val="false"/>
          <w:i w:val="false"/>
          <w:color w:val="000000"/>
          <w:sz w:val="22"/>
        </w:rPr>
        <w:t xml:space="preserve">These rules are intended to implement Iowa Code </w:t>
      </w:r>
      <w:hyperlink r:id="rId58">
        <w:r>
          <w:rPr>
            <w:rStyle w:val="Hyperlink"/>
            <w:rFonts w:ascii="Times New Roman" w:hAnsi="Times New Roman"/>
            <w:b w:val="false"/>
            <w:i w:val="false"/>
            <w:color w:val="000000"/>
            <w:sz w:val="22"/>
          </w:rPr>
          <w:t>chapter 455B, division III, part 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15, 1966; amended March 20, 1967, October 14, 1969, June 8, 1971,</w:t>
      </w:r>
    </w:p>
    <w:p>
      <w:pPr>
        <w:spacing w:before="0" w:after="0"/>
        <w:ind w:left="120"/>
        <w:jc w:val="center"/>
      </w:pPr>
      <w:r>
        <w:rPr>
          <w:rFonts w:ascii="Times New Roman" w:hAnsi="Times New Roman"/>
          <w:b w:val="false"/>
          <w:i w:val="false"/>
          <w:color w:val="000000"/>
          <w:sz w:val="21"/>
        </w:rPr>
        <w:t>June 26, 1972, July 12, 1972, February 13, 1974]</w:t>
      </w:r>
    </w:p>
    <w:p>
      <w:pPr>
        <w:spacing w:before="0" w:after="0"/>
        <w:ind w:left="120"/>
        <w:jc w:val="center"/>
      </w:pPr>
      <w:r>
        <w:rPr>
          <w:rFonts w:ascii="Times New Roman" w:hAnsi="Times New Roman"/>
          <w:b w:val="false"/>
          <w:i w:val="false"/>
          <w:color w:val="000000"/>
          <w:sz w:val="21"/>
        </w:rPr>
        <w:t>[Filed 6/28/76, Notice 5/3/76—published 7/12/76, effective 8/16/76]</w:t>
      </w:r>
    </w:p>
    <w:p>
      <w:pPr>
        <w:spacing w:before="0" w:after="0"/>
        <w:ind w:left="120"/>
        <w:jc w:val="center"/>
      </w:pPr>
      <w:r>
        <w:rPr>
          <w:rFonts w:ascii="Times New Roman" w:hAnsi="Times New Roman"/>
          <w:b w:val="false"/>
          <w:i w:val="false"/>
          <w:color w:val="000000"/>
          <w:sz w:val="21"/>
        </w:rPr>
        <w:t>[Filed 7/1/77, Notice 2/23/77—published 7/27/77, effective 8/31/77]</w:t>
      </w:r>
    </w:p>
    <w:p>
      <w:pPr>
        <w:spacing w:before="0" w:after="0"/>
        <w:ind w:left="120"/>
        <w:jc w:val="center"/>
      </w:pPr>
      <w:r>
        <w:rPr>
          <w:rFonts w:ascii="Times New Roman" w:hAnsi="Times New Roman"/>
          <w:b w:val="false"/>
          <w:i w:val="false"/>
          <w:color w:val="000000"/>
          <w:sz w:val="21"/>
        </w:rPr>
        <w:t>[Filed without Notice 7/28/77—published 8/24/77, effective 9/28/77]</w:t>
      </w:r>
    </w:p>
    <w:p>
      <w:pPr>
        <w:spacing w:before="0" w:after="0"/>
        <w:ind w:left="120"/>
        <w:jc w:val="center"/>
      </w:pPr>
      <w:r>
        <w:rPr>
          <w:rFonts w:ascii="Times New Roman" w:hAnsi="Times New Roman"/>
          <w:b w:val="false"/>
          <w:i w:val="false"/>
          <w:color w:val="000000"/>
          <w:sz w:val="21"/>
        </w:rPr>
        <w:t>[Filed 7/27/78, Notice 5/3/78—published 8/23/78, effective 9/27/78]</w:t>
      </w:r>
    </w:p>
    <w:p>
      <w:pPr>
        <w:spacing w:before="0" w:after="0"/>
        <w:ind w:left="120"/>
        <w:jc w:val="center"/>
      </w:pPr>
      <w:r>
        <w:rPr>
          <w:rFonts w:ascii="Times New Roman" w:hAnsi="Times New Roman"/>
          <w:b w:val="false"/>
          <w:i w:val="false"/>
          <w:color w:val="000000"/>
          <w:sz w:val="21"/>
        </w:rPr>
        <w:t>[Filed 2/2/79, Notice 11/1/78—published 2/21/79, effective 3/28/79]</w:t>
      </w:r>
    </w:p>
    <w:p>
      <w:pPr>
        <w:spacing w:before="0" w:after="0"/>
        <w:ind w:left="120"/>
        <w:jc w:val="center"/>
      </w:pPr>
      <w:r>
        <w:rPr>
          <w:rFonts w:ascii="Times New Roman" w:hAnsi="Times New Roman"/>
          <w:b w:val="false"/>
          <w:i w:val="false"/>
          <w:color w:val="000000"/>
          <w:sz w:val="21"/>
        </w:rPr>
        <w:t>[Filed 10/26/79, Notice 6/27/79—published 11/14/79, effective 12/19/79]</w:t>
      </w:r>
    </w:p>
    <w:p>
      <w:pPr>
        <w:spacing w:before="0" w:after="0"/>
        <w:ind w:left="120"/>
        <w:jc w:val="center"/>
      </w:pPr>
      <w:r>
        <w:rPr>
          <w:rFonts w:ascii="Times New Roman" w:hAnsi="Times New Roman"/>
          <w:b w:val="false"/>
          <w:i w:val="false"/>
          <w:color w:val="000000"/>
          <w:sz w:val="21"/>
        </w:rPr>
        <w:t>[Filed 8/29/80, Notice 6/25/80—published 9/17/80, effective 10/22/80]</w:t>
      </w:r>
    </w:p>
    <w:p>
      <w:pPr>
        <w:spacing w:before="0" w:after="0"/>
        <w:ind w:left="120"/>
        <w:jc w:val="center"/>
      </w:pPr>
      <w:r>
        <w:rPr>
          <w:rFonts w:ascii="Times New Roman" w:hAnsi="Times New Roman"/>
          <w:b w:val="false"/>
          <w:i w:val="false"/>
          <w:color w:val="000000"/>
          <w:sz w:val="21"/>
        </w:rPr>
        <w:t>[3/25/83, Notice 1/5/83—published 4/13/83, effective 5/18/83]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10/19/84, Notice 7/18/84—published 11/7/84, effective 12/12/84]</w:t>
      </w:r>
    </w:p>
    <w:p>
      <w:pPr>
        <w:spacing w:before="0" w:after="0"/>
        <w:ind w:left="120"/>
        <w:jc w:val="center"/>
      </w:pPr>
      <w:r>
        <w:rPr>
          <w:rFonts w:ascii="Times New Roman" w:hAnsi="Times New Roman"/>
          <w:b w:val="false"/>
          <w:i w:val="false"/>
          <w:color w:val="000000"/>
          <w:sz w:val="21"/>
        </w:rPr>
        <w:t>[Filed 7/12/85, Notice 3/13/85—published 7/31/85, effective 9/4/85]</w:t>
      </w:r>
    </w:p>
    <w:p>
      <w:pPr>
        <w:spacing w:before="0" w:after="0"/>
        <w:ind w:left="120"/>
        <w:jc w:val="center"/>
      </w:pPr>
      <w:r>
        <w:rPr>
          <w:rFonts w:ascii="Times New Roman" w:hAnsi="Times New Roman"/>
          <w:b w:val="false"/>
          <w:i w:val="false"/>
          <w:color w:val="000000"/>
          <w:sz w:val="21"/>
        </w:rPr>
        <w:t>[Filed 8/7/86, Notice 4/9/86—published 8/27/86, effective 10/1/86]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3/30/90, Notice 8/9/89—published 4/18/90, effective 5/23/90]</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10/26/90, Notice 7/11/90—published 11/14/90, effective 12/19/90]</w:t>
      </w:r>
    </w:p>
    <w:p>
      <w:pPr>
        <w:spacing w:before="0" w:after="0"/>
        <w:ind w:left="120"/>
        <w:jc w:val="center"/>
      </w:pPr>
      <w:r>
        <w:rPr>
          <w:rFonts w:ascii="Times New Roman" w:hAnsi="Times New Roman"/>
          <w:b w:val="false"/>
          <w:i w:val="false"/>
          <w:color w:val="000000"/>
          <w:sz w:val="21"/>
        </w:rPr>
        <w:t>[Filed 11/26/90, Notice 9/19/90—published 12/12/90, effective 1/16/91]</w:t>
      </w:r>
    </w:p>
    <w:p>
      <w:pPr>
        <w:spacing w:before="0" w:after="0"/>
        <w:ind w:left="120"/>
        <w:jc w:val="center"/>
      </w:pPr>
      <w:r>
        <w:rPr>
          <w:rFonts w:ascii="Times New Roman" w:hAnsi="Times New Roman"/>
          <w:b w:val="false"/>
          <w:i w:val="false"/>
          <w:color w:val="000000"/>
          <w:sz w:val="21"/>
        </w:rPr>
        <w:t>[Filed 7/19/91, Notice 2/20/91—published 8/7/91, effective 9/11/91]</w:t>
      </w:r>
    </w:p>
    <w:p>
      <w:pPr>
        <w:spacing w:before="0" w:after="0"/>
        <w:ind w:left="120"/>
        <w:jc w:val="center"/>
      </w:pPr>
      <w:r>
        <w:rPr>
          <w:rFonts w:ascii="Times New Roman" w:hAnsi="Times New Roman"/>
          <w:b w:val="false"/>
          <w:i w:val="false"/>
          <w:color w:val="000000"/>
          <w:sz w:val="21"/>
        </w:rPr>
        <w:t>[Filed 1/31/92, Notice 7/10/91—published 2/19/92, effective 3/25/92]</w:t>
      </w:r>
    </w:p>
    <w:p>
      <w:pPr>
        <w:spacing w:before="0" w:after="0"/>
        <w:ind w:left="120"/>
        <w:jc w:val="center"/>
      </w:pPr>
      <w:r>
        <w:rPr>
          <w:rFonts w:ascii="Times New Roman" w:hAnsi="Times New Roman"/>
          <w:b w:val="false"/>
          <w:i w:val="false"/>
          <w:color w:val="000000"/>
          <w:sz w:val="21"/>
        </w:rPr>
        <w:t>[Filed 2/28/92, Notice 11/13/91—published 3/18/92, effective 4/22/92]</w:t>
      </w:r>
    </w:p>
    <w:p>
      <w:pPr>
        <w:spacing w:before="0" w:after="0"/>
        <w:ind w:left="120"/>
        <w:jc w:val="center"/>
      </w:pPr>
      <w:r>
        <w:rPr>
          <w:rFonts w:ascii="Times New Roman" w:hAnsi="Times New Roman"/>
          <w:b w:val="false"/>
          <w:i w:val="false"/>
          <w:color w:val="000000"/>
          <w:sz w:val="21"/>
        </w:rPr>
        <w:t>[Filed 5/22/92, Notice 4/1/92—published 6/10/92, effective 7/15/92]</w:t>
      </w:r>
    </w:p>
    <w:p>
      <w:pPr>
        <w:spacing w:before="0" w:after="0"/>
        <w:ind w:left="120"/>
        <w:jc w:val="center"/>
      </w:pPr>
      <w:r>
        <w:rPr>
          <w:rFonts w:ascii="Times New Roman" w:hAnsi="Times New Roman"/>
          <w:b w:val="false"/>
          <w:i w:val="false"/>
          <w:color w:val="000000"/>
          <w:sz w:val="21"/>
        </w:rPr>
        <w:t>[Filed 7/31/92, Notice 5/13/92—published 8/19/92, effective 9/23/92]</w:t>
      </w:r>
    </w:p>
    <w:p>
      <w:pPr>
        <w:spacing w:before="0" w:after="0"/>
        <w:ind w:left="120"/>
        <w:jc w:val="center"/>
      </w:pPr>
      <w:r>
        <w:rPr>
          <w:rFonts w:ascii="Times New Roman" w:hAnsi="Times New Roman"/>
          <w:b w:val="false"/>
          <w:i w:val="false"/>
          <w:color w:val="000000"/>
          <w:sz w:val="21"/>
        </w:rPr>
        <w:t>[Filed 10/23/92, Notice 9/2/92—published 11/11/92, effective 12/16/92]</w:t>
      </w:r>
    </w:p>
    <w:p>
      <w:pPr>
        <w:spacing w:before="0" w:after="0"/>
        <w:ind w:left="120"/>
        <w:jc w:val="center"/>
      </w:pPr>
      <w:r>
        <w:rPr>
          <w:rFonts w:ascii="Times New Roman" w:hAnsi="Times New Roman"/>
          <w:b w:val="false"/>
          <w:i w:val="false"/>
          <w:color w:val="000000"/>
          <w:sz w:val="21"/>
        </w:rPr>
        <w:t>[Filed 5/21/93, Notice 2/17/93—published 6/9/93, effective 7/14/93]</w:t>
      </w:r>
    </w:p>
    <w:p>
      <w:pPr>
        <w:spacing w:before="0" w:after="0"/>
        <w:ind w:left="120"/>
        <w:jc w:val="center"/>
      </w:pPr>
      <w:r>
        <w:rPr>
          <w:rFonts w:ascii="Times New Roman" w:hAnsi="Times New Roman"/>
          <w:b w:val="false"/>
          <w:i w:val="false"/>
          <w:color w:val="000000"/>
          <w:sz w:val="21"/>
        </w:rPr>
        <w:t>[Filed 7/2/93, Notice 2/17/93—published 7/21/93, effective 8/25/93]</w:t>
      </w:r>
    </w:p>
    <w:p>
      <w:pPr>
        <w:spacing w:before="0" w:after="0"/>
        <w:ind w:left="120"/>
        <w:jc w:val="center"/>
      </w:pPr>
      <w:r>
        <w:rPr>
          <w:rFonts w:ascii="Times New Roman" w:hAnsi="Times New Roman"/>
          <w:b w:val="false"/>
          <w:i w:val="false"/>
          <w:color w:val="000000"/>
          <w:sz w:val="21"/>
        </w:rPr>
        <w:t>[Filed 10/22/93, Notice 8/18/93—published 11/10/93, effective 12/15/93]</w:t>
      </w:r>
    </w:p>
    <w:p>
      <w:pPr>
        <w:spacing w:before="0" w:after="0"/>
        <w:ind w:left="120"/>
        <w:jc w:val="center"/>
      </w:pPr>
      <w:r>
        <w:rPr>
          <w:rFonts w:ascii="Times New Roman" w:hAnsi="Times New Roman"/>
          <w:b w:val="false"/>
          <w:i w:val="false"/>
          <w:color w:val="000000"/>
          <w:sz w:val="21"/>
        </w:rPr>
        <w:t>[Filed 7/29/94, Notice 5/11/94—published 8/17/94, effective 9/21/94]</w:t>
      </w:r>
    </w:p>
    <w:p>
      <w:pPr>
        <w:spacing w:before="0" w:after="0"/>
        <w:ind w:left="120"/>
        <w:jc w:val="center"/>
      </w:pPr>
      <w:r>
        <w:rPr>
          <w:rFonts w:ascii="Times New Roman" w:hAnsi="Times New Roman"/>
          <w:b w:val="false"/>
          <w:i w:val="false"/>
          <w:color w:val="000000"/>
          <w:sz w:val="21"/>
        </w:rPr>
        <w:t>[Filed 5/19/95, Notice 2/15/95—published 6/7/95, effective 8/9/95]</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2/23/96, Notice 12/20/95—published 3/13/96, effective 4/17/96]</w:t>
      </w:r>
    </w:p>
    <w:p>
      <w:pPr>
        <w:spacing w:before="0" w:after="0"/>
        <w:ind w:left="120"/>
        <w:jc w:val="center"/>
      </w:pPr>
      <w:r>
        <w:rPr>
          <w:rFonts w:ascii="Times New Roman" w:hAnsi="Times New Roman"/>
          <w:b w:val="false"/>
          <w:i w:val="false"/>
          <w:color w:val="000000"/>
          <w:sz w:val="21"/>
        </w:rPr>
        <w:t>[Filed 5/31/96, Notice 3/13/96—published 6/19/96, effective 7/24/96]</w:t>
      </w:r>
    </w:p>
    <w:p>
      <w:pPr>
        <w:spacing w:before="0" w:after="0"/>
        <w:ind w:left="120"/>
        <w:jc w:val="center"/>
      </w:pPr>
      <w:r>
        <w:rPr>
          <w:rFonts w:ascii="Times New Roman" w:hAnsi="Times New Roman"/>
          <w:b w:val="false"/>
          <w:i w:val="false"/>
          <w:color w:val="000000"/>
          <w:sz w:val="21"/>
        </w:rPr>
        <w:t>[Filed 1/24/97, Notice 10/9/96—published 2/12/97, effective 3/19/97]</w:t>
      </w:r>
    </w:p>
    <w:p>
      <w:pPr>
        <w:spacing w:before="0" w:after="0"/>
        <w:ind w:left="120"/>
        <w:jc w:val="center"/>
      </w:pPr>
      <w:r>
        <w:rPr>
          <w:rFonts w:ascii="Times New Roman" w:hAnsi="Times New Roman"/>
          <w:b w:val="false"/>
          <w:i w:val="false"/>
          <w:color w:val="000000"/>
          <w:sz w:val="21"/>
        </w:rPr>
        <w:t>[Filed 5/26/00, Notice 11/17/99—published 6/14/00, effective 7/19/00]</w:t>
      </w:r>
    </w:p>
    <w:p>
      <w:pPr>
        <w:spacing w:before="0" w:after="0"/>
        <w:ind w:left="120"/>
        <w:jc w:val="center"/>
      </w:pPr>
      <w:r>
        <w:rPr>
          <w:rFonts w:ascii="Times New Roman" w:hAnsi="Times New Roman"/>
          <w:b w:val="false"/>
          <w:i w:val="false"/>
          <w:color w:val="000000"/>
          <w:sz w:val="21"/>
        </w:rPr>
        <w:t>[Filed 9/29/00, Notice 5/17/00—published 10/18/00, effective 11/24/00]</w:t>
      </w:r>
    </w:p>
    <w:p>
      <w:pPr>
        <w:spacing w:before="0" w:after="0"/>
        <w:ind w:left="120"/>
        <w:jc w:val="center"/>
      </w:pPr>
      <w:r>
        <w:rPr>
          <w:rFonts w:ascii="Times New Roman" w:hAnsi="Times New Roman"/>
          <w:b w:val="false"/>
          <w:i w:val="false"/>
          <w:color w:val="000000"/>
          <w:sz w:val="21"/>
        </w:rPr>
        <w:t>[Filed 8/31/01, Notice 2/7/01—published 9/19/01, effective 10/24/01]</w:t>
      </w:r>
    </w:p>
    <w:p>
      <w:pPr>
        <w:spacing w:before="0" w:after="0"/>
        <w:ind w:left="120"/>
        <w:jc w:val="center"/>
      </w:pPr>
      <w:r>
        <w:rPr>
          <w:rFonts w:ascii="Times New Roman" w:hAnsi="Times New Roman"/>
          <w:b w:val="false"/>
          <w:i w:val="false"/>
          <w:color w:val="000000"/>
          <w:sz w:val="21"/>
        </w:rPr>
        <w:t>[Filed 5/24/02, Notice 1/9/02—published 6/12/02, effective 7/17/02]</w:t>
      </w:r>
    </w:p>
    <w:p>
      <w:pPr>
        <w:spacing w:before="0" w:after="0"/>
        <w:ind w:left="120"/>
        <w:jc w:val="center"/>
      </w:pPr>
      <w:r>
        <w:rPr>
          <w:rFonts w:ascii="Times New Roman" w:hAnsi="Times New Roman"/>
          <w:b w:val="false"/>
          <w:i w:val="false"/>
          <w:color w:val="000000"/>
          <w:sz w:val="21"/>
        </w:rPr>
        <w:t>[Filed 6/18/02, Notice 2/6/02—published 7/10/02, effective 8/14/02]</w:t>
      </w:r>
    </w:p>
    <w:p>
      <w:pPr>
        <w:spacing w:before="0" w:after="0"/>
        <w:ind w:left="120"/>
        <w:jc w:val="center"/>
      </w:pPr>
      <w:r>
        <w:rPr>
          <w:rFonts w:ascii="Times New Roman" w:hAnsi="Times New Roman"/>
          <w:b w:val="false"/>
          <w:i w:val="false"/>
          <w:color w:val="000000"/>
          <w:sz w:val="21"/>
        </w:rPr>
        <w:t>[Filed 5/22/03, Notice 1/8/03—published 6/11/03, effective 7/16/03]</w:t>
      </w:r>
    </w:p>
    <w:p>
      <w:pPr>
        <w:spacing w:before="0" w:after="0"/>
        <w:ind w:left="120"/>
        <w:jc w:val="center"/>
      </w:pPr>
      <w:r>
        <w:rPr>
          <w:rFonts w:ascii="Times New Roman" w:hAnsi="Times New Roman"/>
          <w:b w:val="false"/>
          <w:i w:val="false"/>
          <w:color w:val="000000"/>
          <w:sz w:val="21"/>
        </w:rPr>
        <w:t>[Filed 3/18/04, Notice 9/17/03—published 4/14/04, effective 5/19/04]</w:t>
      </w:r>
    </w:p>
    <w:p>
      <w:pPr>
        <w:spacing w:before="0" w:after="0"/>
        <w:ind w:left="120"/>
        <w:jc w:val="center"/>
      </w:pPr>
      <w:r>
        <w:rPr>
          <w:rFonts w:ascii="Times New Roman" w:hAnsi="Times New Roman"/>
          <w:b w:val="false"/>
          <w:i w:val="false"/>
          <w:color w:val="000000"/>
          <w:sz w:val="21"/>
        </w:rPr>
        <w:t>[Filed 4/23/04, Notice 9/17/03—published 5/12/04, effective 6/16/04]</w:t>
      </w:r>
    </w:p>
    <w:p>
      <w:pPr>
        <w:spacing w:before="0" w:after="0"/>
        <w:ind w:left="120"/>
        <w:jc w:val="center"/>
      </w:pPr>
      <w:r>
        <w:rPr>
          <w:rFonts w:ascii="Times New Roman" w:hAnsi="Times New Roman"/>
          <w:b w:val="false"/>
          <w:i w:val="false"/>
          <w:color w:val="000000"/>
          <w:sz w:val="21"/>
        </w:rPr>
        <w:t>[Filed 10/22/04, Notice 4/14/04—published 11/10/04, effective 12/15/04]</w:t>
      </w:r>
    </w:p>
    <w:p>
      <w:pPr>
        <w:spacing w:before="0" w:after="0"/>
        <w:ind w:left="120"/>
        <w:jc w:val="center"/>
      </w:pPr>
      <w:r>
        <w:rPr>
          <w:rFonts w:ascii="Times New Roman" w:hAnsi="Times New Roman"/>
          <w:b w:val="false"/>
          <w:i w:val="false"/>
          <w:color w:val="000000"/>
          <w:sz w:val="21"/>
        </w:rPr>
        <w:t>[Filed 1/27/06, Notice 9/14/05—published 2/15/06, effective 3/22/06]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4/6/07, Notice 12/6/06—published 4/25/07, effective 5/30/07]</w:t>
      </w:r>
    </w:p>
    <w:p>
      <w:pPr>
        <w:spacing w:before="0" w:after="0"/>
        <w:ind w:left="120"/>
        <w:jc w:val="center"/>
      </w:pPr>
      <w:r>
        <w:rPr>
          <w:rFonts w:ascii="Times New Roman" w:hAnsi="Times New Roman"/>
          <w:b w:val="false"/>
          <w:i w:val="false"/>
          <w:color w:val="000000"/>
          <w:sz w:val="21"/>
        </w:rPr>
        <w:t>[Filed 10/4/07, Notice 5/23/07—published 10/24/07, effective 11/28/07]</w:t>
      </w:r>
    </w:p>
    <w:p>
      <w:pPr>
        <w:spacing w:before="0" w:after="0"/>
        <w:ind w:left="120"/>
        <w:jc w:val="center"/>
      </w:pPr>
      <w:r>
        <w:rPr>
          <w:rFonts w:ascii="Times New Roman" w:hAnsi="Times New Roman"/>
          <w:b w:val="false"/>
          <w:i w:val="false"/>
          <w:color w:val="000000"/>
          <w:sz w:val="21"/>
        </w:rPr>
        <w:t>[Filed 1/23/08, Notice 9/26/07—published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10/24/07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8039B</w:t>
      </w:r>
      <w:r>
        <w:rPr>
          <w:rFonts w:ascii="Times New Roman" w:hAnsi="Times New Roman"/>
          <w:b w:val="false"/>
          <w:i w:val="false"/>
          <w:color w:val="000000"/>
          <w:sz w:val="21"/>
        </w:rPr>
        <w:t xml:space="preserve"> (Notice ARC 7624B, IAB 3/11/09)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8226B</w:t>
      </w:r>
      <w:r>
        <w:rPr>
          <w:rFonts w:ascii="Times New Roman" w:hAnsi="Times New Roman"/>
          <w:b w:val="false"/>
          <w:i w:val="false"/>
          <w:color w:val="000000"/>
          <w:sz w:val="21"/>
        </w:rPr>
        <w:t xml:space="preserve"> (Notice ARC 7624B, IAB 3/11/09)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8214B</w:t>
      </w:r>
      <w:r>
        <w:rPr>
          <w:rFonts w:ascii="Times New Roman" w:hAnsi="Times New Roman"/>
          <w:b w:val="false"/>
          <w:i w:val="false"/>
          <w:color w:val="000000"/>
          <w:sz w:val="21"/>
        </w:rPr>
        <w:t xml:space="preserve"> (Notice ARC 7853B,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8466B</w:t>
      </w:r>
      <w:r>
        <w:rPr>
          <w:rFonts w:ascii="Times New Roman" w:hAnsi="Times New Roman"/>
          <w:b w:val="false"/>
          <w:i w:val="false"/>
          <w:color w:val="000000"/>
          <w:sz w:val="21"/>
        </w:rPr>
        <w:t xml:space="preserve"> (Notice ARC 7368B, IAB 11/19/08; </w:t>
      </w:r>
      <w:r>
        <w:rPr>
          <w:rFonts w:ascii="Times New Roman" w:hAnsi="Times New Roman"/>
          <w:b w:val="false"/>
          <w:i w:val="false"/>
          <w:color w:val="000000"/>
          <w:sz w:val="21"/>
        </w:rPr>
        <w:t xml:space="preserve">Amended Notice ARC 7571B, IAB 2/11/09; </w:t>
      </w:r>
      <w:r>
        <w:rPr>
          <w:rFonts w:ascii="Times New Roman" w:hAnsi="Times New Roman"/>
          <w:b w:val="false"/>
          <w:i w:val="false"/>
          <w:color w:val="000000"/>
          <w:sz w:val="21"/>
        </w:rPr>
        <w:t>Amended Notice ARC 8038B, IAB 8/12/09)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9223B</w:t>
      </w:r>
      <w:r>
        <w:rPr>
          <w:rFonts w:ascii="Times New Roman" w:hAnsi="Times New Roman"/>
          <w:b w:val="false"/>
          <w:i w:val="false"/>
          <w:color w:val="000000"/>
          <w:sz w:val="21"/>
        </w:rPr>
        <w:t xml:space="preserve"> (Amended Notice ARC 8978B, IAB 7/28/10; </w:t>
      </w:r>
      <w:r>
        <w:rPr>
          <w:rFonts w:ascii="Times New Roman" w:hAnsi="Times New Roman"/>
          <w:b w:val="false"/>
          <w:i w:val="false"/>
          <w:color w:val="000000"/>
          <w:sz w:val="21"/>
        </w:rPr>
        <w:t>Notice ARC 8599B, IAB 3/10/10)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9330B</w:t>
      </w:r>
      <w:r>
        <w:rPr>
          <w:rFonts w:ascii="Times New Roman" w:hAnsi="Times New Roman"/>
          <w:b w:val="false"/>
          <w:i w:val="false"/>
          <w:color w:val="000000"/>
          <w:sz w:val="21"/>
        </w:rPr>
        <w:t xml:space="preserve"> (Notice ARC 9153B, IAB 10/20/10)</w:t>
      </w:r>
      <w:r>
        <w:rPr>
          <w:rFonts w:ascii="Times New Roman" w:hAnsi="Times New Roman"/>
          <w:b w:val="false"/>
          <w:i w:val="false"/>
          <w:color w:val="000000"/>
          <w:sz w:val="21"/>
        </w:rPr>
        <w:t>, IAB 1/12/11, effective 2/16/11]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0121C</w:t>
      </w:r>
      <w:r>
        <w:rPr>
          <w:rFonts w:ascii="Times New Roman" w:hAnsi="Times New Roman"/>
          <w:b w:val="false"/>
          <w:i w:val="false"/>
          <w:color w:val="000000"/>
          <w:sz w:val="21"/>
        </w:rPr>
        <w:t xml:space="preserve"> (Notice ARC 9998B, IAB 2/8/12)</w:t>
      </w:r>
      <w:r>
        <w:rPr>
          <w:rFonts w:ascii="Times New Roman" w:hAnsi="Times New Roman"/>
          <w:b w:val="false"/>
          <w:i w:val="false"/>
          <w:color w:val="000000"/>
          <w:sz w:val="21"/>
        </w:rPr>
        <w:t>, IAB 5/16/12, effective 6/20/12]</w:t>
      </w:r>
    </w:p>
    <w:p>
      <w:pPr>
        <w:spacing w:before="0" w:after="0"/>
        <w:ind w:left="120"/>
        <w:jc w:val="center"/>
      </w:pPr>
      <w:r>
        <w:rPr>
          <w:rFonts w:ascii="Times New Roman" w:hAnsi="Times New Roman"/>
          <w:b w:val="false"/>
          <w:i w:val="false"/>
          <w:color w:val="000000"/>
          <w:sz w:val="21"/>
        </w:rPr>
        <w:t>[Filed ARC 1495C</w:t>
      </w:r>
      <w:r>
        <w:rPr>
          <w:rFonts w:ascii="Times New Roman" w:hAnsi="Times New Roman"/>
          <w:b w:val="false"/>
          <w:i w:val="false"/>
          <w:color w:val="000000"/>
          <w:sz w:val="21"/>
        </w:rPr>
        <w:t xml:space="preserve"> (Notice ARC 1370C, IAB 3/19/14)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1988C</w:t>
      </w:r>
      <w:r>
        <w:rPr>
          <w:rFonts w:ascii="Times New Roman" w:hAnsi="Times New Roman"/>
          <w:b w:val="false"/>
          <w:i w:val="false"/>
          <w:color w:val="000000"/>
          <w:sz w:val="21"/>
        </w:rPr>
        <w:t xml:space="preserve"> (Notice ARC 1877C, IAB 2/18/15)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Emergency After Notice ARC 2695C</w:t>
      </w:r>
      <w:r>
        <w:rPr>
          <w:rFonts w:ascii="Times New Roman" w:hAnsi="Times New Roman"/>
          <w:b w:val="false"/>
          <w:i w:val="false"/>
          <w:color w:val="000000"/>
          <w:sz w:val="21"/>
        </w:rPr>
        <w:t xml:space="preserve"> (Notice ARC 2579C, IAB 6/8/16)</w:t>
      </w:r>
      <w:r>
        <w:rPr>
          <w:rFonts w:ascii="Times New Roman" w:hAnsi="Times New Roman"/>
          <w:b w:val="false"/>
          <w:i w:val="false"/>
          <w:color w:val="000000"/>
          <w:sz w:val="21"/>
        </w:rPr>
        <w:t>, IAB 8/31/16, effective 8/12/16]</w:t>
      </w:r>
    </w:p>
    <w:p>
      <w:pPr>
        <w:spacing w:before="0" w:after="0"/>
        <w:ind w:left="120"/>
        <w:jc w:val="center"/>
      </w:pPr>
      <w:r>
        <w:rPr>
          <w:rFonts w:ascii="Times New Roman" w:hAnsi="Times New Roman"/>
          <w:b w:val="false"/>
          <w:i w:val="false"/>
          <w:color w:val="000000"/>
          <w:sz w:val="21"/>
        </w:rPr>
        <w:t>[Filed ARC 2911C</w:t>
      </w:r>
      <w:r>
        <w:rPr>
          <w:rFonts w:ascii="Times New Roman" w:hAnsi="Times New Roman"/>
          <w:b w:val="false"/>
          <w:i w:val="false"/>
          <w:color w:val="000000"/>
          <w:sz w:val="21"/>
        </w:rPr>
        <w:t xml:space="preserve"> (Notice ARC 2757C, IAB 10/12/16)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ARC 3583C</w:t>
      </w:r>
      <w:r>
        <w:rPr>
          <w:rFonts w:ascii="Times New Roman" w:hAnsi="Times New Roman"/>
          <w:b w:val="false"/>
          <w:i w:val="false"/>
          <w:color w:val="000000"/>
          <w:sz w:val="21"/>
        </w:rPr>
        <w:t xml:space="preserve"> (Notice ARC 3202C, IAB 7/19/17)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4514C</w:t>
      </w:r>
      <w:r>
        <w:rPr>
          <w:rFonts w:ascii="Times New Roman" w:hAnsi="Times New Roman"/>
          <w:b w:val="false"/>
          <w:i w:val="false"/>
          <w:color w:val="000000"/>
          <w:sz w:val="21"/>
        </w:rPr>
        <w:t xml:space="preserve"> (Notice ARC 4227C, IAB 1/16/19)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5226C</w:t>
      </w:r>
      <w:r>
        <w:rPr>
          <w:rFonts w:ascii="Times New Roman" w:hAnsi="Times New Roman"/>
          <w:b w:val="false"/>
          <w:i w:val="false"/>
          <w:color w:val="000000"/>
          <w:sz w:val="21"/>
        </w:rPr>
        <w:t xml:space="preserve"> (Notice ARC 5044C, IAB 6/3/20)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5679C</w:t>
      </w:r>
      <w:r>
        <w:rPr>
          <w:rFonts w:ascii="Times New Roman" w:hAnsi="Times New Roman"/>
          <w:b w:val="false"/>
          <w:i w:val="false"/>
          <w:color w:val="000000"/>
          <w:sz w:val="21"/>
        </w:rPr>
        <w:t xml:space="preserve"> (Amended Notice ARC 5508C, IAB 3/10/21; </w:t>
      </w:r>
      <w:r>
        <w:rPr>
          <w:rFonts w:ascii="Times New Roman" w:hAnsi="Times New Roman"/>
          <w:b w:val="false"/>
          <w:i w:val="false"/>
          <w:color w:val="000000"/>
          <w:sz w:val="21"/>
        </w:rPr>
        <w:t>Notice ARC 5134C, IAB 8/12/20)</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February 16, 2011, effective date of 61.2(2)“g”(8) delayed 70 days by the Administrative Rules Review Committee at its meeting held February 11,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1.3.pdf" Type="http://schemas.openxmlformats.org/officeDocument/2006/relationships/hyperlink" Id="rId5"/>
    <Relationship TargetMode="External" Target="https://www.legis.iowa.gov/docs/iac/chapter/567.63.pdf" Type="http://schemas.openxmlformats.org/officeDocument/2006/relationships/hyperlink" Id="rId6"/>
    <Relationship TargetMode="External" Target="https://www.legis.iowa.gov/docs/iac/chapter/567.70.pdf" Type="http://schemas.openxmlformats.org/officeDocument/2006/relationships/hyperlink" Id="rId7"/>
    <Relationship TargetMode="External" Target="https://www.legis.iowa.gov/docs/iac/chapter/567.71.pdf" Type="http://schemas.openxmlformats.org/officeDocument/2006/relationships/hyperlink" Id="rId8"/>
    <Relationship TargetMode="External" Target="https://www.legis.iowa.gov/docs/iac/chapter/567.72.pdf" Type="http://schemas.openxmlformats.org/officeDocument/2006/relationships/hyperlink" Id="rId9"/>
    <Relationship TargetMode="External" Target="https://www.legis.iowa.gov/docs/iac/chapter/567.70.pdf" Type="http://schemas.openxmlformats.org/officeDocument/2006/relationships/hyperlink" Id="rId10"/>
    <Relationship TargetMode="External" Target="https://www.legis.iowa.gov/docs/iac/chapter/567.71.pdf" Type="http://schemas.openxmlformats.org/officeDocument/2006/relationships/hyperlink" Id="rId11"/>
    <Relationship TargetMode="External" Target="https://www.legis.iowa.gov/docs/iac/chapter/567.72.pdf" Type="http://schemas.openxmlformats.org/officeDocument/2006/relationships/hyperlink" Id="rId12"/>
    <Relationship TargetMode="External" Target="https://www.legis.iowa.gov/docs/iac/rule/567.61.3.pdf" Type="http://schemas.openxmlformats.org/officeDocument/2006/relationships/hyperlink" Id="rId13"/>
    <Relationship TargetMode="External" Target="https://www.legis.iowa.gov/docs/iac/rule/567.61.2.pdf" Type="http://schemas.openxmlformats.org/officeDocument/2006/relationships/hyperlink" Id="rId14"/>
    <Relationship TargetMode="External" Target="https://www.legis.iowa.gov/docs/iac/rule/567.61.3.pdf" Type="http://schemas.openxmlformats.org/officeDocument/2006/relationships/hyperlink" Id="rId15"/>
    <Relationship TargetMode="External" Target="https://www.legis.iowa.gov/docs/iac/rule/567.61.3.pdf" Type="http://schemas.openxmlformats.org/officeDocument/2006/relationships/hyperlink" Id="rId16"/>
    <Relationship TargetMode="External" Target="https://www.legis.iowa.gov/docs/iac/rule/567.61.3.pdf" Type="http://schemas.openxmlformats.org/officeDocument/2006/relationships/hyperlink" Id="rId17"/>
    <Relationship TargetMode="External" Target="https://www.legis.iowa.gov/docs/iac/rule/567.61.3.pdf" Type="http://schemas.openxmlformats.org/officeDocument/2006/relationships/hyperlink" Id="rId18"/>
    <Relationship TargetMode="External" Target="https://www.legis.iowa.gov/docs/iac/rule/567.61.3.pdf" Type="http://schemas.openxmlformats.org/officeDocument/2006/relationships/hyperlink" Id="rId19"/>
    <Relationship TargetMode="External" Target="https://www.legis.iowa.gov/docs/iac/rule/567.61.2.pdf" Type="http://schemas.openxmlformats.org/officeDocument/2006/relationships/hyperlink" Id="rId20"/>
    <Relationship TargetMode="External" Target="https://www.legis.iowa.gov/docs/iac/rule/567.64.3.pdf" Type="http://schemas.openxmlformats.org/officeDocument/2006/relationships/hyperlink" Id="rId21"/>
    <Relationship TargetMode="External" Target="https://www.legis.iowa.gov/docs/iac/rule/567.61.2.pdf" Type="http://schemas.openxmlformats.org/officeDocument/2006/relationships/hyperlink" Id="rId22"/>
    <Relationship TargetMode="External" Target="https://www.legis.iowa.gov/docs/iac/rule/567.61.2.pdf" Type="http://schemas.openxmlformats.org/officeDocument/2006/relationships/hyperlink" Id="rId23"/>
    <Relationship TargetMode="External" Target="https://www.legis.iowa.gov/docs/iac/rule/567.61.2.pdf" Type="http://schemas.openxmlformats.org/officeDocument/2006/relationships/hyperlink" Id="rId24"/>
    <Relationship TargetMode="External" Target="https://www.legis.iowa.gov/docs/iac/rule/567.61.2.pdf" Type="http://schemas.openxmlformats.org/officeDocument/2006/relationships/hyperlink" Id="rId25"/>
    <Relationship TargetMode="External" Target="https://www.legis.iowa.gov/docs/iac/rule/567.61.2.pdf" Type="http://schemas.openxmlformats.org/officeDocument/2006/relationships/hyperlink" Id="rId26"/>
    <Relationship TargetMode="External" Target="https://www.legis.iowa.gov/docs/iac/rule/567.61.2.pdf" Type="http://schemas.openxmlformats.org/officeDocument/2006/relationships/hyperlink" Id="rId27"/>
    <Relationship TargetMode="External" Target="https://www.legis.iowa.gov/docs/iac/rule/567.61.2.pdf" Type="http://schemas.openxmlformats.org/officeDocument/2006/relationships/hyperlink" Id="rId28"/>
    <Relationship TargetMode="External" Target="https://www.legis.iowa.gov/docs/iac/rule/567.61.2.pdf" Type="http://schemas.openxmlformats.org/officeDocument/2006/relationships/hyperlink" Id="rId29"/>
    <Relationship TargetMode="External" Target="https://www.legis.iowa.gov/docs/iac/rule/567.61.2.pdf" Type="http://schemas.openxmlformats.org/officeDocument/2006/relationships/hyperlink" Id="rId30"/>
    <Relationship TargetMode="External" Target="https://www.legis.iowa.gov/docs/iac/rule/567.61.2.pdf" Type="http://schemas.openxmlformats.org/officeDocument/2006/relationships/hyperlink" Id="rId31"/>
    <Relationship TargetMode="External" Target="https://www.legis.iowa.gov/docs/iac/rule/567.61.3.pdf" Type="http://schemas.openxmlformats.org/officeDocument/2006/relationships/hyperlink" Id="rId32"/>
    <Relationship TargetMode="External" Target="https://www.legis.iowa.gov/docs/iac/rule/567.61.3.pdf" Type="http://schemas.openxmlformats.org/officeDocument/2006/relationships/hyperlink" Id="rId33"/>
    <Relationship TargetMode="External" Target="https://www.legis.iowa.gov/docs/iac/rule/567.61.3.pdf" Type="http://schemas.openxmlformats.org/officeDocument/2006/relationships/hyperlink" Id="rId34"/>
    <Relationship TargetMode="External" Target="https://www.legis.iowa.gov/docs/iac/rule/567.61.3.pdf" Type="http://schemas.openxmlformats.org/officeDocument/2006/relationships/hyperlink" Id="rId35"/>
    <Relationship TargetMode="External" Target="https://www.legis.iowa.gov/docs/iac/rule/567.61.2.pdf" Type="http://schemas.openxmlformats.org/officeDocument/2006/relationships/hyperlink" Id="rId36"/>
    <Relationship TargetMode="External" Target="https://www.legis.iowa.gov/docs/iac/rule/567.61.3.pdf" Type="http://schemas.openxmlformats.org/officeDocument/2006/relationships/hyperlink" Id="rId37"/>
    <Relationship TargetMode="External" Target="https://www.legis.iowa.gov/docs/iac/rule/567.61.3.pdf" Type="http://schemas.openxmlformats.org/officeDocument/2006/relationships/hyperlink" Id="rId38"/>
    <Relationship TargetMode="External" Target="https://www.legis.iowa.gov/docs/iac/rule/567.61.3.pdf" Type="http://schemas.openxmlformats.org/officeDocument/2006/relationships/hyperlink" Id="rId39"/>
    <Relationship TargetMode="External" Target="https://www.legis.iowa.gov/docs/iac/rule/567.61.3.pdf" Type="http://schemas.openxmlformats.org/officeDocument/2006/relationships/hyperlink" Id="rId40"/>
    <Relationship TargetMode="External" Target="https://www.legis.iowa.gov/docs/iac/rule/567.61.3.pdf" Type="http://schemas.openxmlformats.org/officeDocument/2006/relationships/hyperlink" Id="rId41"/>
    <Relationship TargetMode="External" Target="https://www.legis.iowa.gov/docs/iac/rule/567.61.3.pdf" Type="http://schemas.openxmlformats.org/officeDocument/2006/relationships/hyperlink" Id="rId42"/>
    <Relationship TargetMode="External" Target="https://www.legis.iowa.gov/docs/iac/rule/567.61.2.pdf" Type="http://schemas.openxmlformats.org/officeDocument/2006/relationships/hyperlink" Id="rId43"/>
    <Relationship TargetMode="External" Target="https://www.legis.iowa.gov/docs/iac/rule/567.61.2.pdf" Type="http://schemas.openxmlformats.org/officeDocument/2006/relationships/hyperlink" Id="rId44"/>
    <Relationship TargetMode="External" Target="https://www.legis.iowa.gov/docs/iac/rule/567.61.3.pdf" Type="http://schemas.openxmlformats.org/officeDocument/2006/relationships/hyperlink" Id="rId45"/>
    <Relationship TargetMode="External" Target="http://www.iowadnr.gov" Type="http://schemas.openxmlformats.org/officeDocument/2006/relationships/hyperlink" Id="rId46"/>
    <Relationship TargetMode="External" Target="http://www.iowadnr.gov" Type="http://schemas.openxmlformats.org/officeDocument/2006/relationships/hyperlink" Id="rId47"/>
    <Relationship TargetMode="External" Target="http://www.iowadnr.gov" Type="http://schemas.openxmlformats.org/officeDocument/2006/relationships/hyperlink" Id="rId48"/>
    <Relationship TargetMode="External" Target="http://www.iowadnr.gov" Type="http://schemas.openxmlformats.org/officeDocument/2006/relationships/hyperlink" Id="rId49"/>
    <Relationship TargetMode="External" Target="https://www.legis.iowa.gov/docs/ico/chapter/455B.pdf" Type="http://schemas.openxmlformats.org/officeDocument/2006/relationships/hyperlink" Id="rId50"/>
    <Relationship TargetMode="External" Target="https://www.legis.iowa.gov/docs/iac/chapter/567.64.pdf" Type="http://schemas.openxmlformats.org/officeDocument/2006/relationships/hyperlink" Id="rId51"/>
    <Relationship TargetMode="External" Target="https://www.legis.iowa.gov/docs/iac/chapter/567.61.pdf" Type="http://schemas.openxmlformats.org/officeDocument/2006/relationships/hyperlink" Id="rId52"/>
    <Relationship TargetMode="External" Target="https://www.legis.iowa.gov/docs/ico/chapter/455B.193-195.pdf" Type="http://schemas.openxmlformats.org/officeDocument/2006/relationships/hyperlink" Id="rId53"/>
    <Relationship TargetMode="External" Target="https://www.legis.iowa.gov/docs/ico/chapter/455B.171.pdf" Type="http://schemas.openxmlformats.org/officeDocument/2006/relationships/hyperlink" Id="rId54"/>
    <Relationship TargetMode="External" Target="https://www.legis.iowa.gov/docs/ico/chapter/455B.194.pdf" Type="http://schemas.openxmlformats.org/officeDocument/2006/relationships/hyperlink" Id="rId55"/>
    <Relationship TargetMode="External" Target="https://www.legis.iowa.gov/docs/iac/chapter/567.7.pdf" Type="http://schemas.openxmlformats.org/officeDocument/2006/relationships/hyperlink" Id="rId56"/>
    <Relationship TargetMode="External" Target="https://www.legis.iowa.gov/docs/ico/chapter/455B.194.pdf" Type="http://schemas.openxmlformats.org/officeDocument/2006/relationships/hyperlink" Id="rId57"/>
    <Relationship TargetMode="External" Target="https://www.legis.iowa.gov/docs/ico/chapter/455B.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