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WASTEWATER TREATMENT AND DISPOSAL</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 xml:space="preserve">SCOPE OF TITLE, DEFINITIONS, WASTEWATER CONSTRUCTION </w:t>
      </w:r>
      <w:r>
        <w:br/>
      </w:r>
      <w:r>
        <w:rPr>
          <w:rFonts w:ascii="Times New Roman" w:hAnsi="Times New Roman"/>
          <w:b w:val="false"/>
          <w:i w:val="false"/>
          <w:color w:val="000000"/>
          <w:sz w:val="21"/>
        </w:rPr>
        <w:t>PERMITS, AND OPERATION PERMITS</w:t>
      </w:r>
    </w:p>
    <w:p>
      <w:pPr>
        <w:spacing w:before="0" w:after="0"/>
        <w:ind w:left="120"/>
        <w:jc w:val="center"/>
      </w:pPr>
      <w:r>
        <w:rPr>
          <w:rFonts w:ascii="Times New Roman" w:hAnsi="Times New Roman"/>
          <w:b w:val="false"/>
          <w:i w:val="false"/>
          <w:color w:val="000000"/>
          <w:sz w:val="14"/>
        </w:rPr>
        <w:t>[Prior to 7/1/83, see DEQ Chs 15 and 24]</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567—60.1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title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w:t>
      </w:r>
      <w:r>
        <w:rPr>
          <w:rFonts w:ascii="Times New Roman" w:hAnsi="Times New Roman"/>
          <w:b w:val="false"/>
          <w:i w:val="false"/>
          <w:color w:val="000000"/>
          <w:sz w:val="22"/>
        </w:rPr>
        <w:t> </w:t>
      </w:r>
      <w:r>
        <w:rPr>
          <w:rFonts w:ascii="Times New Roman" w:hAnsi="Times New Roman"/>
          <w:b w:val="false"/>
          <w:i/>
          <w:color w:val="000000"/>
          <w:sz w:val="22"/>
        </w:rPr>
        <w:t xml:space="preserve">Scope of title. </w:t>
      </w:r>
      <w:r>
        <w:rPr>
          <w:rFonts w:ascii="Times New Roman" w:hAnsi="Times New Roman"/>
          <w:b w:val="false"/>
          <w:i w:val="false"/>
          <w:color w:val="000000"/>
          <w:sz w:val="22"/>
        </w:rPr>
        <w:t xml:space="preserve">The department has jurisdiction over the surface water and groundwater of the state to prevent, abate and control water pollution by establishing standards for water quality and for direct or indirect discharges of wastewater to waters of the state and by regulating potential sources of water pollution through a system of general rules or specific permits. The construction and operation of any wastewater disposal system (DS) and the discharge of any pollutant to a water of the state require a specific permit from the department unless exempted by the department. This chapter provides general definitions applicable in this title, including </w:t>
      </w:r>
      <w:hyperlink r:id="rId5">
        <w:r>
          <w:rPr>
            <w:rStyle w:val="Hyperlink"/>
            <w:rFonts w:ascii="Times New Roman" w:hAnsi="Times New Roman"/>
            <w:b w:val="false"/>
            <w:i w:val="false"/>
            <w:color w:val="000000"/>
            <w:sz w:val="22"/>
          </w:rPr>
          <w:t>567—Chapters 61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title, unless otherwise specified in a chapter of this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“7Q10”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“seven-day, ten-year low stream flow” </w:t>
      </w:r>
      <w:r>
        <w:rPr>
          <w:rFonts w:ascii="Times New Roman" w:hAnsi="Times New Roman"/>
          <w:b w:val="false"/>
          <w:i w:val="false"/>
          <w:color w:val="000000"/>
          <w:sz w:val="22"/>
        </w:rPr>
        <w:t>means the lowest average stream flow that would statistically occur for seven consecutive days once every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toxicity” </w:t>
      </w:r>
      <w:r>
        <w:rPr>
          <w:rFonts w:ascii="Times New Roman" w:hAnsi="Times New Roman"/>
          <w:b w:val="false"/>
          <w:i w:val="false"/>
          <w:color w:val="000000"/>
          <w:sz w:val="22"/>
        </w:rPr>
        <w:t>means that level of pollutants that would rapidly induce a severe and unacceptable impact on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“ADW flow”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“average dry weather flow” </w:t>
      </w:r>
      <w:r>
        <w:rPr>
          <w:rFonts w:ascii="Times New Roman" w:hAnsi="Times New Roman"/>
          <w:b w:val="false"/>
          <w:i w:val="false"/>
          <w:color w:val="000000"/>
          <w:sz w:val="22"/>
        </w:rPr>
        <w:t>means the daily average flow when the groundwater is at or near normal and runoff is not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“Aquatic pesticide” </w:t>
      </w:r>
      <w:r>
        <w:rPr>
          <w:rFonts w:ascii="Times New Roman" w:hAnsi="Times New Roman"/>
          <w:b w:val="false"/>
          <w:i w:val="false"/>
          <w:color w:val="000000"/>
          <w:sz w:val="22"/>
        </w:rPr>
        <w:t xml:space="preserve">means any pesticide, as defined in Iowa Code section </w:t>
      </w:r>
      <w:hyperlink r:id="rId7">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that is labeled for application to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 xml:space="preserve">means the Annual Book of Standards, Section 11, Water and Environmental Technology, published by ASTM International, </w:t>
      </w:r>
      <w:hyperlink r:id="rId8">
        <w:r>
          <w:rPr>
            <w:rStyle w:val="Hyperlink"/>
            <w:rFonts w:ascii="Times New Roman" w:hAnsi="Times New Roman"/>
            <w:b w:val="false"/>
            <w:i w:val="false"/>
            <w:color w:val="000000"/>
            <w:sz w:val="22"/>
            <w:u w:val="single"/>
          </w:rPr>
          <w:t>www.astm.org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w:t>
      </w:r>
      <w:r>
        <w:rPr>
          <w:rFonts w:ascii="Times New Roman" w:hAnsi="Times New Roman"/>
          <w:b w:val="false"/>
          <w:i w:val="false"/>
          <w:color w:val="000000"/>
          <w:sz w:val="22"/>
        </w:rPr>
        <w:t>means the sum of the total daily discharges by weight, volume or concentration during the reporting period divided by the number of days during the reporting period when the measurements were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“AWW flow”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“average wet weather flow” </w:t>
      </w:r>
      <w:r>
        <w:rPr>
          <w:rFonts w:ascii="Times New Roman" w:hAnsi="Times New Roman"/>
          <w:b w:val="false"/>
          <w:i w:val="false"/>
          <w:color w:val="000000"/>
          <w:sz w:val="22"/>
        </w:rPr>
        <w:t>means the daily average flow for the wettest 30 consecutive days for mechanical plants or for the wettest 180 consecutive days for controlled discharge lagoons.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“BMP”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“best management practice” </w:t>
      </w:r>
      <w:r>
        <w:rPr>
          <w:rFonts w:ascii="Times New Roman" w:hAnsi="Times New Roman"/>
          <w:b w:val="false"/>
          <w:i w:val="false"/>
          <w:color w:val="000000"/>
          <w:sz w:val="22"/>
        </w:rPr>
        <w:t>means a practice or combination of practices that is determined, after problem assessment, examination of alternative practices, and appropriate public participation, to be the most effective, practicable (including technological, economic and institutional considerations) means of preventing or reducing the amount of pollution generated by nonpoint sources to a level compatible with water quality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“BOD</w:t>
      </w:r>
      <w:r>
        <w:rPr>
          <w:rFonts w:ascii="Times New Roman" w:hAnsi="Times New Roman"/>
          <w:b w:val="false"/>
          <w:i/>
          <w:color w:val="000000"/>
          <w:sz w:val="18"/>
          <w:vertAlign w:val="subscript"/>
        </w:rPr>
        <w:t>5</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“biochemical oxygen demand (five-day)” </w:t>
      </w:r>
      <w:r>
        <w:rPr>
          <w:rFonts w:ascii="Times New Roman" w:hAnsi="Times New Roman"/>
          <w:b w:val="false"/>
          <w:i w:val="false"/>
          <w:color w:val="000000"/>
          <w:sz w:val="22"/>
        </w:rPr>
        <w:t>means the amount of oxygen consumed in the biological processes that break down organic matter in water by aerobic biochemical action in five days at 20°C.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“Bypass” </w:t>
      </w:r>
      <w:r>
        <w:rPr>
          <w:rFonts w:ascii="Times New Roman" w:hAnsi="Times New Roman"/>
          <w:b w:val="false"/>
          <w:i w:val="false"/>
          <w:color w:val="000000"/>
          <w:sz w:val="22"/>
        </w:rPr>
        <w:t>means the diversion of waste streams from any portion of a treatment facility or collection system. A bypass does not include internal operational waste stream diversions that are part of the design of the treatment facility, maintenance diversions where redundancy is provided, diversions of wastewater from one point in a collection system to another point in a collection system, or wastewater backups into buildings that are caused in the building lateral or private sewer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“CBOD</w:t>
      </w:r>
      <w:r>
        <w:rPr>
          <w:rFonts w:ascii="Times New Roman" w:hAnsi="Times New Roman"/>
          <w:b w:val="false"/>
          <w:i/>
          <w:color w:val="000000"/>
          <w:sz w:val="18"/>
          <w:vertAlign w:val="subscript"/>
        </w:rPr>
        <w:t>5</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“carbonaceous biochemical oxygen demand (five-day)” </w:t>
      </w:r>
      <w:r>
        <w:rPr>
          <w:rFonts w:ascii="Times New Roman" w:hAnsi="Times New Roman"/>
          <w:b w:val="false"/>
          <w:i w:val="false"/>
          <w:color w:val="000000"/>
          <w:sz w:val="22"/>
        </w:rPr>
        <w:t>means the amount of oxygen consumed in the biological processes that break down carbonaceous organic matter in water by aerobic biochemical action in five days at 20°C.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means the federal administrative rules adopted by the United States in effect as of July 1, 2024. The amendment of the date contained in this definition shall constitute the amendment of all CFR references contained in </w:t>
      </w:r>
      <w:hyperlink r:id="rId9">
        <w:r>
          <w:rPr>
            <w:rStyle w:val="Hyperlink"/>
            <w:rFonts w:ascii="Times New Roman" w:hAnsi="Times New Roman"/>
            <w:b w:val="false"/>
            <w:i w:val="false"/>
            <w:color w:val="000000"/>
            <w:sz w:val="22"/>
          </w:rPr>
          <w:t>567—Chapters 61</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Title IV, unless a date of adoption is set forth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toxicity” </w:t>
      </w:r>
      <w:r>
        <w:rPr>
          <w:rFonts w:ascii="Times New Roman" w:hAnsi="Times New Roman"/>
          <w:b w:val="false"/>
          <w:i w:val="false"/>
          <w:color w:val="000000"/>
          <w:sz w:val="22"/>
        </w:rPr>
        <w:t>means that level of pollutants that would, over long durations or recurring exposure, cause a continuous, adverse or unacceptable response in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w:t>
      </w:r>
      <w:r>
        <w:rPr>
          <w:rFonts w:ascii="Times New Roman" w:hAnsi="Times New Roman"/>
          <w:b w:val="false"/>
          <w:i w:val="false"/>
          <w:color w:val="000000"/>
          <w:sz w:val="22"/>
        </w:rPr>
        <w:t xml:space="preserve">means “schedule of compliance” as defined in Iowa Code section </w:t>
      </w:r>
      <w:hyperlink r:id="rId11">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r>
        <w:rPr>
          <w:rFonts w:ascii="Times New Roman" w:hAnsi="Times New Roman"/>
          <w:b w:val="false"/>
          <w:i w:val="false"/>
          <w:color w:val="000000"/>
          <w:sz w:val="22"/>
        </w:rPr>
        <w:t>means a written approval from the director to construct a wastewater DS or part thereof in accordance with the plans and specifications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“Crossover point” </w:t>
      </w:r>
      <w:r>
        <w:rPr>
          <w:rFonts w:ascii="Times New Roman" w:hAnsi="Times New Roman"/>
          <w:b w:val="false"/>
          <w:i w:val="false"/>
          <w:color w:val="000000"/>
          <w:sz w:val="22"/>
        </w:rPr>
        <w:t>means that location in a river or stream in which the flow shifts from being principally along one bank to the opposite bank. This crossover point usually occurs within two curves or an S-shaped curve of a water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“Culture water” </w:t>
      </w:r>
      <w:r>
        <w:rPr>
          <w:rFonts w:ascii="Times New Roman" w:hAnsi="Times New Roman"/>
          <w:b w:val="false"/>
          <w:i w:val="false"/>
          <w:color w:val="000000"/>
          <w:sz w:val="22"/>
        </w:rPr>
        <w:t>means reconstituted water or other acceptable water used for culturing test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“Clean Water Act” </w:t>
      </w:r>
      <w:r>
        <w:rPr>
          <w:rFonts w:ascii="Times New Roman" w:hAnsi="Times New Roman"/>
          <w:b w:val="false"/>
          <w:i w:val="false"/>
          <w:color w:val="000000"/>
          <w:sz w:val="22"/>
        </w:rPr>
        <w:t xml:space="preserve">means the federal Water Pollution Control Act effective July 1, 2024, </w:t>
      </w:r>
      <w:r>
        <w:rPr>
          <w:rFonts w:ascii="Times New Roman" w:hAnsi="Times New Roman"/>
          <w:b w:val="false"/>
          <w:i w:val="false"/>
          <w:color w:val="000000"/>
          <w:sz w:val="22"/>
        </w:rPr>
        <w:t>33 U.S.C. §1251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“Diluted effluent sample” </w:t>
      </w:r>
      <w:r>
        <w:rPr>
          <w:rFonts w:ascii="Times New Roman" w:hAnsi="Times New Roman"/>
          <w:b w:val="false"/>
          <w:i w:val="false"/>
          <w:color w:val="000000"/>
          <w:sz w:val="22"/>
        </w:rPr>
        <w:t xml:space="preserve">means a sample of effluent diluted with culture water at the same ratio as the dry weather design flow to the applicable receiving stream flow contained in the zone of initial dilution as allowed in 567—paragraphs </w:t>
      </w:r>
      <w:hyperlink r:id="rId12">
        <w:r>
          <w:rPr>
            <w:rStyle w:val="Hyperlink"/>
            <w:rFonts w:ascii="Times New Roman" w:hAnsi="Times New Roman"/>
            <w:b w:val="false"/>
            <w:i w:val="false"/>
            <w:color w:val="000000"/>
            <w:sz w:val="22"/>
          </w:rPr>
          <w:t>61.2(4)</w:t>
        </w:r>
      </w:hyperlink>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“Dilution ratio” </w:t>
      </w:r>
      <w:r>
        <w:rPr>
          <w:rFonts w:ascii="Times New Roman" w:hAnsi="Times New Roman"/>
          <w:b w:val="false"/>
          <w:i w:val="false"/>
          <w:color w:val="000000"/>
          <w:sz w:val="22"/>
        </w:rPr>
        <w:t>means, for a specific wastewater discharger, the ratio of the seven-day, ten-year low stream flow to the effluent design flow (e.g., a dilution ratio of 2:1 has two parts stream flow to one part effluent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of a pollutant” </w:t>
      </w:r>
      <w:r>
        <w:rPr>
          <w:rFonts w:ascii="Times New Roman" w:hAnsi="Times New Roman"/>
          <w:b w:val="false"/>
          <w:i w:val="false"/>
          <w:color w:val="000000"/>
          <w:sz w:val="22"/>
        </w:rPr>
        <w:t>means any addition of any pollutant or combination of pollutants to navigable waters or waters of the state from any point source. “Discharge of a pollutant” includes additions of pollutants into navigable waters or waters of the state from surface runoff that is collected or channeled by human activity; discharges through pipes, sewers, or other conveyances owned by a state, municipality, or other person that do not lead to a treatment works; and discharges through pipes, sewers, or other conveyances, leading into privately owned treatment works. “Discharge of a pollutant” does not include an addition of pollutants by any indirect discharger.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sewage”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“domestic wastewater” </w:t>
      </w:r>
      <w:r>
        <w:rPr>
          <w:rFonts w:ascii="Times New Roman" w:hAnsi="Times New Roman"/>
          <w:b w:val="false"/>
          <w:i w:val="false"/>
          <w:color w:val="000000"/>
          <w:sz w:val="22"/>
        </w:rPr>
        <w:t>means the water-carried waste products from residences, public buildings, institutions, or other buildings, including bodily discharges from human beings together with groundwater infiltration and surface water as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“general permit” </w:t>
      </w:r>
      <w:r>
        <w:rPr>
          <w:rFonts w:ascii="Times New Roman" w:hAnsi="Times New Roman"/>
          <w:b w:val="false"/>
          <w:i w:val="false"/>
          <w:color w:val="000000"/>
          <w:sz w:val="22"/>
        </w:rPr>
        <w:t>means an NPDES permit issued to a class of facilities that could be conditioned and described by a single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health (HH) criteria” </w:t>
      </w:r>
      <w:r>
        <w:rPr>
          <w:rFonts w:ascii="Times New Roman" w:hAnsi="Times New Roman"/>
          <w:b w:val="false"/>
          <w:i w:val="false"/>
          <w:color w:val="000000"/>
          <w:sz w:val="22"/>
        </w:rPr>
        <w:t>means that level of pollution that, in the case of noncarcinogens, prevents adverse health effects in humans and, in the case of carcinogens, represents a level of incremental cancer risk of 1 in 100,000. The numerical criteria are based on the human consumption of an average of 6.5 grams of fish and shellfish per day by a 70-kilogram individual for a life span of 70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nonstormwater permit” </w:t>
      </w:r>
      <w:r>
        <w:rPr>
          <w:rFonts w:ascii="Times New Roman" w:hAnsi="Times New Roman"/>
          <w:b w:val="false"/>
          <w:i w:val="false"/>
          <w:color w:val="000000"/>
          <w:sz w:val="22"/>
        </w:rPr>
        <w:t>means a site-specific NPDES or operation permit that is not an individual stormwater permit and that authorizes discharges of sewage, industrial waste, or other waste and allowable discharges of stormwater associated with industrial activity, as specifically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stormwater permit” </w:t>
      </w:r>
      <w:r>
        <w:rPr>
          <w:rFonts w:ascii="Times New Roman" w:hAnsi="Times New Roman"/>
          <w:b w:val="false"/>
          <w:i w:val="false"/>
          <w:color w:val="000000"/>
          <w:sz w:val="22"/>
        </w:rPr>
        <w:t>means an individual site-specific NPDES permit that authorizes discharges composed entirely of stormwater associated with industrial activity or construction activity and other allowable nonstormwater discharges as specifically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watercourses” </w:t>
      </w:r>
      <w:r>
        <w:rPr>
          <w:rFonts w:ascii="Times New Roman" w:hAnsi="Times New Roman"/>
          <w:b w:val="false"/>
          <w:i w:val="false"/>
          <w:color w:val="000000"/>
          <w:sz w:val="22"/>
        </w:rPr>
        <w:t>means watercourses that contain flow associated with rainfall/runoff events and that periodically go dry even in pooled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“Lake” </w:t>
      </w:r>
      <w:r>
        <w:rPr>
          <w:rFonts w:ascii="Times New Roman" w:hAnsi="Times New Roman"/>
          <w:b w:val="false"/>
          <w:i w:val="false"/>
          <w:color w:val="000000"/>
          <w:sz w:val="22"/>
        </w:rPr>
        <w:t>means a natural or man-made impoundment of water with more than one acre of water surface area at the high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public works department” </w:t>
      </w:r>
      <w:r>
        <w:rPr>
          <w:rFonts w:ascii="Times New Roman" w:hAnsi="Times New Roman"/>
          <w:b w:val="false"/>
          <w:i w:val="false"/>
          <w:color w:val="000000"/>
          <w:sz w:val="22"/>
        </w:rPr>
        <w:t xml:space="preserve">means a city or county public works department, a board of trustees of a city utility organized pursuant to Iowa Code chapter </w:t>
      </w:r>
      <w:hyperlink r:id="rId13">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 xml:space="preserve">, or a sanitary sewer district organized pursuant to Iowa Code chapter </w:t>
      </w:r>
      <w:hyperlink r:id="rId14">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“Losing streams” </w:t>
      </w:r>
      <w:r>
        <w:rPr>
          <w:rFonts w:ascii="Times New Roman" w:hAnsi="Times New Roman"/>
          <w:b w:val="false"/>
          <w:i w:val="false"/>
          <w:color w:val="000000"/>
          <w:sz w:val="22"/>
        </w:rPr>
        <w:t>means streams that lose 30 percent or more of their flow during the seven-day, ten-year low stream flow periods to cracks and crevices of rock formations, sand and gravel deposits, or sinkholes in the streambed.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permeability” </w:t>
      </w:r>
      <w:r>
        <w:rPr>
          <w:rFonts w:ascii="Times New Roman" w:hAnsi="Times New Roman"/>
          <w:b w:val="false"/>
          <w:i w:val="false"/>
          <w:color w:val="000000"/>
          <w:sz w:val="22"/>
        </w:rPr>
        <w:t>means a soil layer of well-sorted, fine grain-sized sediments or of rock that under normal hydrostatic pressures would not be significantly permeable. Low permeability soils may include homogeneous clays below the zone of weathering, mudstone, claystone, shale, and some glacial till.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w:t>
      </w:r>
      <w:r>
        <w:rPr>
          <w:rFonts w:ascii="Times New Roman" w:hAnsi="Times New Roman"/>
          <w:b w:val="false"/>
          <w:i w:val="false"/>
          <w:color w:val="000000"/>
          <w:sz w:val="22"/>
        </w:rPr>
        <w:t>for municipalities, means a facility having an average wet weather design flow of 1.0 million gallons per day (MGD) or greater. For industries, “major” means a facility that is designated by EPA as a major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permit amendment” </w:t>
      </w:r>
      <w:r>
        <w:rPr>
          <w:rFonts w:ascii="Times New Roman" w:hAnsi="Times New Roman"/>
          <w:b w:val="false"/>
          <w:i w:val="false"/>
          <w:color w:val="000000"/>
          <w:sz w:val="22"/>
        </w:rPr>
        <w:t>means a permit amendment that is not a minor permit amendment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“mg/L”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“milligrams per liter” </w:t>
      </w:r>
      <w:r>
        <w:rPr>
          <w:rFonts w:ascii="Times New Roman" w:hAnsi="Times New Roman"/>
          <w:b w:val="false"/>
          <w:i w:val="false"/>
          <w:color w:val="000000"/>
          <w:sz w:val="22"/>
        </w:rPr>
        <w:t>means milligrams of solute per liter of solution (equivalent to parts per million-assuming unit density). A microgram (µg) is 1/1,000 of a milligram.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flow” </w:t>
      </w:r>
      <w:r>
        <w:rPr>
          <w:rFonts w:ascii="Times New Roman" w:hAnsi="Times New Roman"/>
          <w:b w:val="false"/>
          <w:i w:val="false"/>
          <w:color w:val="000000"/>
          <w:sz w:val="22"/>
        </w:rPr>
        <w:t xml:space="preserve">means that established stream flow in lieu of the seven-day, ten-year low stream flow to which the provisions of </w:t>
      </w:r>
      <w:hyperlink r:id="rId15">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all remaining facilities that have wastewater discharge flows and that are not designated as major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permit amendment” </w:t>
      </w:r>
      <w:r>
        <w:rPr>
          <w:rFonts w:ascii="Times New Roman" w:hAnsi="Times New Roman"/>
          <w:b w:val="false"/>
          <w:i w:val="false"/>
          <w:color w:val="000000"/>
          <w:sz w:val="22"/>
        </w:rPr>
        <w:t>means a permit amendment made with the consent of a permittee that occurs as a result of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Correction of a typographical error;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Modification of the monitoring and reporting requirements in the permit to include more frequent monitoring or reporting;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Revision of an interim date in a compliance schedule, provided that the new date is not more than 120 days after the date specified in the permit and does not interfere with the attainment of the final compliance date;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Revision of interim or final dates in a schedule to comply with the provisions of the Iowa nutrient reduction strategy;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Change in facility name or ownership;</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Deletion of a point source outfall that does not result in the discharge of pollutants from other outfalls;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Incorporation of an approved local pretreatment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“Mixing zone” </w:t>
      </w:r>
      <w:r>
        <w:rPr>
          <w:rFonts w:ascii="Times New Roman" w:hAnsi="Times New Roman"/>
          <w:b w:val="false"/>
          <w:i w:val="false"/>
          <w:color w:val="000000"/>
          <w:sz w:val="22"/>
        </w:rPr>
        <w:t xml:space="preserve">means a delineated portion of a stream or river in which wastewater discharges will be allowed to combine and disperse into the water body. The chronic criteria of </w:t>
      </w:r>
      <w:hyperlink r:id="rId16">
        <w:r>
          <w:rPr>
            <w:rStyle w:val="Hyperlink"/>
            <w:rFonts w:ascii="Times New Roman" w:hAnsi="Times New Roman"/>
            <w:b w:val="false"/>
            <w:i w:val="false"/>
            <w:color w:val="000000"/>
            <w:sz w:val="22"/>
          </w:rPr>
          <w:t>567—subrule 61.3(3)</w:t>
        </w:r>
      </w:hyperlink>
      <w:r>
        <w:rPr>
          <w:rFonts w:ascii="Times New Roman" w:hAnsi="Times New Roman"/>
          <w:b w:val="false"/>
          <w:i w:val="false"/>
          <w:color w:val="000000"/>
          <w:sz w:val="22"/>
        </w:rPr>
        <w:t xml:space="preserve"> will apply at the boundary of this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“Mortality” </w:t>
      </w:r>
      <w:r>
        <w:rPr>
          <w:rFonts w:ascii="Times New Roman" w:hAnsi="Times New Roman"/>
          <w:b w:val="false"/>
          <w:i w:val="false"/>
          <w:color w:val="000000"/>
          <w:sz w:val="22"/>
        </w:rPr>
        <w:t>means, for the purpose of a WET test, death, immobilization, or serious incapacitation of the test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“MWW flow”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“maximum wet weather flow” </w:t>
      </w:r>
      <w:r>
        <w:rPr>
          <w:rFonts w:ascii="Times New Roman" w:hAnsi="Times New Roman"/>
          <w:b w:val="false"/>
          <w:i w:val="false"/>
          <w:color w:val="000000"/>
          <w:sz w:val="22"/>
        </w:rPr>
        <w:t>means the total maximum flow received during any 24-hour period when the groundwater is high and runoff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“Nephelometric” </w:t>
      </w:r>
      <w:r>
        <w:rPr>
          <w:rFonts w:ascii="Times New Roman" w:hAnsi="Times New Roman"/>
          <w:b w:val="false"/>
          <w:i w:val="false"/>
          <w:color w:val="000000"/>
          <w:sz w:val="22"/>
        </w:rPr>
        <w:t xml:space="preserve">means the nephelometric method of determining turbidity as stated in </w:t>
      </w:r>
      <w:r>
        <w:rPr>
          <w:rFonts w:ascii="Times New Roman" w:hAnsi="Times New Roman"/>
          <w:b w:val="false"/>
          <w:i w:val="false"/>
          <w:color w:val="000000"/>
          <w:sz w:val="22"/>
        </w:rPr>
        <w:t>40 CFR Part 136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“Nonpoint source” </w:t>
      </w:r>
      <w:r>
        <w:rPr>
          <w:rFonts w:ascii="Times New Roman" w:hAnsi="Times New Roman"/>
          <w:b w:val="false"/>
          <w:i w:val="false"/>
          <w:color w:val="000000"/>
          <w:sz w:val="22"/>
        </w:rPr>
        <w:t>means a source of pollutants that is not a point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“NPDES permit” </w:t>
      </w:r>
      <w:r>
        <w:rPr>
          <w:rFonts w:ascii="Times New Roman" w:hAnsi="Times New Roman"/>
          <w:b w:val="false"/>
          <w:i w:val="false"/>
          <w:color w:val="000000"/>
          <w:sz w:val="22"/>
        </w:rPr>
        <w:t>means an operation permit issued under an EPA-approved National Pollutant Discharge Elimination System (NPDES)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 permit” </w:t>
      </w:r>
      <w:r>
        <w:rPr>
          <w:rFonts w:ascii="Times New Roman" w:hAnsi="Times New Roman"/>
          <w:b w:val="false"/>
          <w:i w:val="false"/>
          <w:color w:val="000000"/>
          <w:sz w:val="22"/>
        </w:rPr>
        <w:t>means a permit by the director authorizing the operation of a wastewater DS or part thereof or discharge source and, if applicable, the discharge of wastes from the DS or part thereof or discharge source to waters of the state. An NPDES permit will constitute the operation permit in cases where there is a discharge to a WOTUS and an NPDES permit is required by the CWA.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 through” </w:t>
      </w:r>
      <w:r>
        <w:rPr>
          <w:rFonts w:ascii="Times New Roman" w:hAnsi="Times New Roman"/>
          <w:b w:val="false"/>
          <w:i w:val="false"/>
          <w:color w:val="000000"/>
          <w:sz w:val="22"/>
        </w:rPr>
        <w:t>means a discharge that, alone or in conjunction with a discharge or discharges entering the treatment facility from other sources, exits a POTW or semipublic sewage DS in quantities or concentrations that cause a violation of any requirement of the treatment facility’s NPDES permit, including an increase in the magnitude or duration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“Pathogen” </w:t>
      </w:r>
      <w:r>
        <w:rPr>
          <w:rFonts w:ascii="Times New Roman" w:hAnsi="Times New Roman"/>
          <w:b w:val="false"/>
          <w:i w:val="false"/>
          <w:color w:val="000000"/>
          <w:sz w:val="22"/>
        </w:rPr>
        <w:t>means any microorganism or virus that can cause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“population equivalent” </w:t>
      </w:r>
      <w:r>
        <w:rPr>
          <w:rFonts w:ascii="Times New Roman" w:hAnsi="Times New Roman"/>
          <w:b w:val="false"/>
          <w:i w:val="false"/>
          <w:color w:val="000000"/>
          <w:sz w:val="22"/>
        </w:rPr>
        <w:t>means the calculated number of people who would contribute an equivalent amount of biochemical oxygen demand (BOD) per day as the system in question, assuming that each person contributes 0.167 pounds of five-day, 20°C, BOD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rationale” </w:t>
      </w:r>
      <w:r>
        <w:rPr>
          <w:rFonts w:ascii="Times New Roman" w:hAnsi="Times New Roman"/>
          <w:b w:val="false"/>
          <w:i w:val="false"/>
          <w:color w:val="000000"/>
          <w:sz w:val="22"/>
        </w:rPr>
        <w:t>means a document that sets forth the principal facts and the significant factual, legal, methodological, and policy questions considered in preparing a draft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 </w:t>
      </w:r>
      <w:r>
        <w:rPr>
          <w:rFonts w:ascii="Times New Roman" w:hAnsi="Times New Roman"/>
          <w:b w:val="false"/>
          <w:i w:val="false"/>
          <w:color w:val="000000"/>
          <w:sz w:val="22"/>
        </w:rPr>
        <w:t>means the hydrogen ion activity of a solution expressed as the logarithm of the reciprocal of the hydrogen ion concentration in moles per liter at 25°C. pH is a measure of the relative acidity or alkalinity of the solution. The range extends from 0 to 14; 7 being neutral, 0 to 7 being acidic, and 7 to 14 being alkaline.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“Pond” </w:t>
      </w:r>
      <w:r>
        <w:rPr>
          <w:rFonts w:ascii="Times New Roman" w:hAnsi="Times New Roman"/>
          <w:b w:val="false"/>
          <w:i w:val="false"/>
          <w:color w:val="000000"/>
          <w:sz w:val="22"/>
        </w:rPr>
        <w:t>means a natural or man-made impoundment of water with a water surface area of one acre or less at the high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“publicly owned treatment works” </w:t>
      </w:r>
      <w:r>
        <w:rPr>
          <w:rFonts w:ascii="Times New Roman" w:hAnsi="Times New Roman"/>
          <w:b w:val="false"/>
          <w:i w:val="false"/>
          <w:color w:val="000000"/>
          <w:sz w:val="22"/>
        </w:rPr>
        <w:t>means any device or system used in the storage, treatment, recycling, and reclamation of municipal sewage or industrial wastes of a liquid nature that is owned by a municipality or other public body created by or under Iowa law and having jurisdiction over disposal of sewage, industrial wastes or other wastes. It also includes sewers, pipes and other conveyances only if they convey wastewater to a POTW.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contact” </w:t>
      </w:r>
      <w:r>
        <w:rPr>
          <w:rFonts w:ascii="Times New Roman" w:hAnsi="Times New Roman"/>
          <w:b w:val="false"/>
          <w:i w:val="false"/>
          <w:color w:val="000000"/>
          <w:sz w:val="22"/>
        </w:rPr>
        <w:t>means any recreational or other water use in which there is direct human contact with the water involving considerable risk of ingestion of water or contact with sensitive body organs, such as the eyes, ears and nose, in quantities sufficient to pose a significant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volunteer” </w:t>
      </w:r>
      <w:r>
        <w:rPr>
          <w:rFonts w:ascii="Times New Roman" w:hAnsi="Times New Roman"/>
          <w:b w:val="false"/>
          <w:i w:val="false"/>
          <w:color w:val="000000"/>
          <w:sz w:val="22"/>
        </w:rPr>
        <w:t>means a person or group of people acting on their own behalf, and not for a government agency or under contract with the department, to produce water quality monitoring data in accordance with a department-approved volunteer monitoring plan. Qualified volunteers must have the training and experience to ensure quality assurance and quality control for the data being produced or be under the direct supervision of a person having such qualifications. A person or persons identified as participants in a department-approved volunteer monitoring plan will be considered qualified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 records” </w:t>
      </w:r>
      <w:r>
        <w:rPr>
          <w:rFonts w:ascii="Times New Roman" w:hAnsi="Times New Roman"/>
          <w:b w:val="false"/>
          <w:i w:val="false"/>
          <w:color w:val="000000"/>
          <w:sz w:val="22"/>
        </w:rPr>
        <w:t>means department report forms or other report forms, letters, or documents that may be acceptable to the department that are designed to indicate specific physical, chemical, or biological values for wastewater during a stated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contact” </w:t>
      </w:r>
      <w:r>
        <w:rPr>
          <w:rFonts w:ascii="Times New Roman" w:hAnsi="Times New Roman"/>
          <w:b w:val="false"/>
          <w:i w:val="false"/>
          <w:color w:val="000000"/>
          <w:sz w:val="22"/>
        </w:rPr>
        <w:t>means any recreational or other water use in which contact with the water is either incidental or accidental and in which the probability of ingesting appreciable quantities of water is minimal, such as fishing, commercial and recreational boating and any limited contact incidental to shoreline activity. This would include users who do not swim or float in the water body while on a boating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“Sinkhole” </w:t>
      </w:r>
      <w:r>
        <w:rPr>
          <w:rFonts w:ascii="Times New Roman" w:hAnsi="Times New Roman"/>
          <w:b w:val="false"/>
          <w:i w:val="false"/>
          <w:color w:val="000000"/>
          <w:sz w:val="22"/>
        </w:rPr>
        <w:t>means any depression caused by the dissolution or collapse of subterranean materials in a carbonate formation or in gypsum or rock salt deposits through which water may be drained or lost to the local groundwater system. Such depressions may or may not be open to the surface at times. Intermittently, sinkholes may hold water forming a 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“Temperature” </w:t>
      </w:r>
      <w:r>
        <w:rPr>
          <w:rFonts w:ascii="Times New Roman" w:hAnsi="Times New Roman"/>
          <w:b w:val="false"/>
          <w:i w:val="false"/>
          <w:color w:val="000000"/>
          <w:sz w:val="22"/>
        </w:rPr>
        <w:t>means a measure of the heat content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“Turbidity” </w:t>
      </w:r>
      <w:r>
        <w:rPr>
          <w:rFonts w:ascii="Times New Roman" w:hAnsi="Times New Roman"/>
          <w:b w:val="false"/>
          <w:i w:val="false"/>
          <w:color w:val="000000"/>
          <w:sz w:val="22"/>
        </w:rPr>
        <w:t>is a measure of the optical property of the particles of mud, clay, silt, finely divided organic matter, or microscopic organisms suspended in water that interfere with light transmission, causing the light to be scattered and absorbed rather than transmitted through the water in straight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contact recreational canoeing” </w:t>
      </w:r>
      <w:r>
        <w:rPr>
          <w:rFonts w:ascii="Times New Roman" w:hAnsi="Times New Roman"/>
          <w:b w:val="false"/>
          <w:i w:val="false"/>
          <w:color w:val="000000"/>
          <w:sz w:val="22"/>
        </w:rPr>
        <w:t>means the type of activities associated with canoeing outings in which primary contact with the water does occur. This would include users who swim or float in the water body while on a canoeing 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“whole effluent toxicity test” </w:t>
      </w:r>
      <w:r>
        <w:rPr>
          <w:rFonts w:ascii="Times New Roman" w:hAnsi="Times New Roman"/>
          <w:b w:val="false"/>
          <w:i w:val="false"/>
          <w:color w:val="000000"/>
          <w:sz w:val="22"/>
        </w:rPr>
        <w:t>means a test to determine the toxicity of a chemical or chemicals contained in a wastewater discharge on living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“WQS”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“water quality standards” </w:t>
      </w:r>
      <w:r>
        <w:rPr>
          <w:rFonts w:ascii="Times New Roman" w:hAnsi="Times New Roman"/>
          <w:b w:val="false"/>
          <w:i w:val="false"/>
          <w:color w:val="000000"/>
          <w:sz w:val="22"/>
        </w:rPr>
        <w:t xml:space="preserve">means the water quality standards as enumerated in </w:t>
      </w:r>
      <w:hyperlink r:id="rId17">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“ZID”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“zone of initial dilution” </w:t>
      </w:r>
      <w:r>
        <w:rPr>
          <w:rFonts w:ascii="Times New Roman" w:hAnsi="Times New Roman"/>
          <w:b w:val="false"/>
          <w:i w:val="false"/>
          <w:color w:val="000000"/>
          <w:sz w:val="22"/>
        </w:rPr>
        <w:t xml:space="preserve">means a delineated portion of a mixing zone in which wastewater discharges will be allowed to rapidly combine and begin dispersing into the water body. The acute criteria of </w:t>
      </w:r>
      <w:hyperlink r:id="rId18">
        <w:r>
          <w:rPr>
            <w:rStyle w:val="Hyperlink"/>
            <w:rFonts w:ascii="Times New Roman" w:hAnsi="Times New Roman"/>
            <w:b w:val="false"/>
            <w:i w:val="false"/>
            <w:color w:val="000000"/>
            <w:sz w:val="22"/>
          </w:rPr>
          <w:t>567—subrule 61.3(3)</w:t>
        </w:r>
      </w:hyperlink>
      <w:r>
        <w:rPr>
          <w:rFonts w:ascii="Times New Roman" w:hAnsi="Times New Roman"/>
          <w:b w:val="false"/>
          <w:i w:val="false"/>
          <w:color w:val="000000"/>
          <w:sz w:val="22"/>
        </w:rPr>
        <w:t xml:space="preserve"> will apply at the boundary of this zone.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w:t>
      </w:r>
      <w:r>
        <w:rPr>
          <w:rFonts w:ascii="Times New Roman" w:hAnsi="Times New Roman"/>
          <w:b w:val="false"/>
          <w:i w:val="false"/>
          <w:color w:val="000000"/>
          <w:sz w:val="22"/>
        </w:rPr>
        <w:t> </w:t>
      </w:r>
      <w:r>
        <w:rPr>
          <w:rFonts w:ascii="Times New Roman" w:hAnsi="Times New Roman"/>
          <w:b w:val="false"/>
          <w:i/>
          <w:color w:val="000000"/>
          <w:sz w:val="22"/>
        </w:rPr>
        <w:t xml:space="preserve">Definitions in Iowa Code and the Iowa Administrative Code (IAC). </w:t>
      </w:r>
      <w:r>
        <w:rPr>
          <w:rFonts w:ascii="Times New Roman" w:hAnsi="Times New Roman"/>
          <w:b w:val="false"/>
          <w:i w:val="false"/>
          <w:color w:val="000000"/>
          <w:sz w:val="22"/>
        </w:rPr>
        <w:t>The following terms applicable to this title are defined in the referenced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9">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0">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“disposal system,” “effluent standard,” “industrial waste,” “other waste,” “point source,” “pollutant,” “schedule of compliance,” “semipublic sewage disposal system,” “septage,” “sewage,” “sewage sludge,” “treatment works,” and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1">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567—69.1</w:t>
        </w:r>
      </w:hyperlink>
      <w:r>
        <w:rPr>
          <w:rFonts w:ascii="Times New Roman" w:hAnsi="Times New Roman"/>
          <w:b w:val="false"/>
          <w:i w:val="false"/>
          <w:color w:val="000000"/>
          <w:sz w:val="22"/>
        </w:rPr>
        <w:t>(455B): “PSDS” or “private sewage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3">
        <w:r>
          <w:rPr>
            <w:rStyle w:val="Hyperlink"/>
            <w:rFonts w:ascii="Times New Roman" w:hAnsi="Times New Roman"/>
            <w:b w:val="false"/>
            <w:i w:val="false"/>
            <w:color w:val="000000"/>
            <w:sz w:val="22"/>
          </w:rPr>
          <w:t>455B.171(16)</w:t>
        </w:r>
      </w:hyperlink>
      <w:r>
        <w:rPr>
          <w:rFonts w:ascii="Times New Roman" w:hAnsi="Times New Roman"/>
          <w:b w:val="false"/>
          <w:i w:val="false"/>
          <w:color w:val="000000"/>
          <w:sz w:val="22"/>
        </w:rPr>
        <w:t xml:space="preserve"> and in </w:t>
      </w:r>
      <w:r>
        <w:rPr>
          <w:rFonts w:ascii="Times New Roman" w:hAnsi="Times New Roman"/>
          <w:b w:val="false"/>
          <w:i w:val="false"/>
          <w:color w:val="000000"/>
          <w:sz w:val="22"/>
        </w:rPr>
        <w:t>40 CFR §403.3(m)</w:t>
      </w:r>
      <w:r>
        <w:rPr>
          <w:rFonts w:ascii="Times New Roman" w:hAnsi="Times New Roman"/>
          <w:b w:val="false"/>
          <w:i w:val="false"/>
          <w:color w:val="000000"/>
          <w:sz w:val="22"/>
        </w:rPr>
        <w:t>: “new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4">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5">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 “deep well” and “shallow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w:t>
      </w:r>
      <w:r>
        <w:rPr>
          <w:rFonts w:ascii="Times New Roman" w:hAnsi="Times New Roman"/>
          <w:b w:val="false"/>
          <w:i w:val="false"/>
          <w:color w:val="000000"/>
          <w:sz w:val="22"/>
        </w:rPr>
        <w:t> </w:t>
      </w:r>
      <w:r>
        <w:rPr>
          <w:rFonts w:ascii="Times New Roman" w:hAnsi="Times New Roman"/>
          <w:b w:val="false"/>
          <w:i/>
          <w:color w:val="000000"/>
          <w:sz w:val="22"/>
        </w:rPr>
        <w:t xml:space="preserve">CFR definitions. </w:t>
      </w:r>
      <w:r>
        <w:rPr>
          <w:rFonts w:ascii="Times New Roman" w:hAnsi="Times New Roman"/>
          <w:b w:val="false"/>
          <w:i w:val="false"/>
          <w:color w:val="000000"/>
          <w:sz w:val="22"/>
        </w:rPr>
        <w:t>The following terms applicable to this title are defined in the referenced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CFR §121.1(j)</w:t>
      </w:r>
      <w:r>
        <w:rPr>
          <w:rFonts w:ascii="Times New Roman" w:hAnsi="Times New Roman"/>
          <w:b w:val="false"/>
          <w:i w:val="false"/>
          <w:color w:val="000000"/>
          <w:sz w:val="22"/>
        </w:rPr>
        <w:t>: “water quality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40 CFR §122.2</w:t>
      </w:r>
      <w:r>
        <w:rPr>
          <w:rFonts w:ascii="Times New Roman" w:hAnsi="Times New Roman"/>
          <w:b w:val="false"/>
          <w:i w:val="false"/>
          <w:color w:val="000000"/>
          <w:sz w:val="22"/>
        </w:rPr>
        <w:t>: “CSO” or “combined sewer overflow,” “CSS” or “combined sewer system,” “daily discharge,” “indirect discharger,” “maximum daily discharge limitation,” “new discharger,” “regional administrator,” “sewage from vessels,” and “waters of the U.S.” or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 CFR §122.26(b)</w:t>
      </w:r>
      <w:r>
        <w:rPr>
          <w:rFonts w:ascii="Times New Roman" w:hAnsi="Times New Roman"/>
          <w:b w:val="false"/>
          <w:i w:val="false"/>
          <w:color w:val="000000"/>
          <w:sz w:val="22"/>
        </w:rPr>
        <w:t>: “small MS4” or “small municipal separate storm sewer system,” “stormwater,” “stormwater discharge associated with industrial activity,” “stormwater discharge associated with small construction activity,” and “uncontrolled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40 CFR §122.41(m)</w:t>
      </w:r>
      <w:r>
        <w:rPr>
          <w:rFonts w:ascii="Times New Roman" w:hAnsi="Times New Roman"/>
          <w:b w:val="false"/>
          <w:i w:val="false"/>
          <w:color w:val="000000"/>
          <w:sz w:val="22"/>
        </w:rPr>
        <w:t>: “severe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40 CFR §133.101</w:t>
      </w:r>
      <w:r>
        <w:rPr>
          <w:rFonts w:ascii="Times New Roman" w:hAnsi="Times New Roman"/>
          <w:b w:val="false"/>
          <w:i w:val="false"/>
          <w:color w:val="000000"/>
          <w:sz w:val="22"/>
        </w:rPr>
        <w:t>: “7-day average” and “30-day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40 CFR §401.11(l)</w:t>
      </w:r>
      <w:r>
        <w:rPr>
          <w:rFonts w:ascii="Times New Roman" w:hAnsi="Times New Roman"/>
          <w:b w:val="false"/>
          <w:i w:val="false"/>
          <w:color w:val="000000"/>
          <w:sz w:val="22"/>
        </w:rPr>
        <w:t>: “navigable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40 CFR §403.3</w:t>
      </w:r>
      <w:r>
        <w:rPr>
          <w:rFonts w:ascii="Times New Roman" w:hAnsi="Times New Roman"/>
          <w:b w:val="false"/>
          <w:i w:val="false"/>
          <w:color w:val="000000"/>
          <w:sz w:val="22"/>
        </w:rPr>
        <w:t>: “approved POTW pretreatment program,” “interference,” “non-significant categorical industrial user,” “pretreatment,” “pretreatment requirements,” “pretreatment standard” or “national pretreatment standard,” and “significant industrial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 xml:space="preserve">In addition to the abbreviations listed in the definitions in </w:t>
      </w:r>
      <w:hyperlink r:id="rId26">
        <w:r>
          <w:rPr>
            <w:rStyle w:val="Hyperlink"/>
            <w:rFonts w:ascii="Times New Roman" w:hAnsi="Times New Roman"/>
            <w:b w:val="false"/>
            <w:i w:val="false"/>
            <w:color w:val="000000"/>
            <w:sz w:val="22"/>
          </w:rPr>
          <w:t>60.1(2)</w:t>
        </w:r>
      </w:hyperlink>
      <w:r>
        <w:rPr>
          <w:rFonts w:ascii="Times New Roman" w:hAnsi="Times New Roman"/>
          <w:b w:val="false"/>
          <w:i w:val="false"/>
          <w:color w:val="000000"/>
          <w:sz w:val="22"/>
        </w:rPr>
        <w:t>, the following abbreviations are applicable to this title.</w:t>
      </w:r>
    </w:p>
    <w:tbl>
      <w:tblPr>
        <w:tblW w:w="5000" w:type="pct"/>
        <w:tblCellSpacing w:w="0" w:type="auto"/>
        <w:tblBorders>
          <w:top w:val="none"/>
          <w:left w:val="none"/>
          <w:bottom w:val="none"/>
          <w:right w:val="none"/>
          <w:insideH w:val="none"/>
          <w:insideV w:val="none"/>
        </w:tblBorders>
        <w:tblLayout w:type="fixed"/>
      </w:tblPr>
      <w:tblGrid>
        <w:gridCol w:w="2304"/>
        <w:gridCol w:w="9216"/>
      </w:tblGrid>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u w:val="single"/>
              </w:rPr>
              <w:t>Abbreviation</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u w:val="single"/>
              </w:rPr>
              <w:t>Meaning</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degrees Celsius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AASHTO</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American Association of State Highway and Transportation Officials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AICP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alternatives implementation compliance plan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American National Standards Institute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BLM</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Biotic Ligand Model</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CCC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Criterion Continuous Concentration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CEU</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continuing education units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CMC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Criterion Maximum Concentration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Corps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United States Corps of Engineers</w:t>
            </w:r>
          </w:p>
        </w:tc>
      </w:tr>
      <w:tr>
        <w:trPr>
          <w:trHeight w:val="345"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disadvantaged community</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DCA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disadvantaged community analysis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DCM</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disadvantaged community matrix</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disposal system</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disadvantaged unsewered community</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DUCA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disadvantaged unsewered community analysis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DUCM</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disadvantaged unsewered community matrix</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 coli</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Escherichia coli</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early life stage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 Environmental Protection Agency</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expanded polystyrene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 &amp; W</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fish and water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FCP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future compliance plan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regional Field Office of the department (1, 2, 3, 4, 5, or 6)</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ft</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foot</w:t>
            </w:r>
          </w:p>
        </w:tc>
      </w:tr>
      <w:tr>
        <w:trPr>
          <w:trHeight w:val="24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ft</w:t>
            </w:r>
            <w:r>
              <w:rPr>
                <w:rFonts w:ascii="Times New Roman" w:hAnsi="Times New Roman"/>
                <w:b w:val="false"/>
                <w:i w:val="false"/>
                <w:color w:val="000000"/>
                <w:sz w:val="18"/>
                <w:vertAlign w:val="superscript"/>
              </w:rPr>
              <w:t>2</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square feet</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gal</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gallon</w:t>
            </w:r>
          </w:p>
        </w:tc>
      </w:tr>
      <w:tr>
        <w:trPr>
          <w:trHeight w:val="24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gal/ft</w:t>
            </w:r>
            <w:r>
              <w:rPr>
                <w:rFonts w:ascii="Times New Roman" w:hAnsi="Times New Roman"/>
                <w:b w:val="false"/>
                <w:i w:val="false"/>
                <w:color w:val="000000"/>
                <w:sz w:val="18"/>
                <w:vertAlign w:val="superscript"/>
              </w:rPr>
              <w:t>2</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gallons per square foot</w:t>
            </w:r>
          </w:p>
        </w:tc>
      </w:tr>
      <w:tr>
        <w:trPr>
          <w:trHeight w:val="24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gal/ft</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/day</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gallons per square foot per day</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gpd</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gallons per day</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hr</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hour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I/I</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infiltration and inflow</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IAC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Administrative Code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IAPMO</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International Association of Plumbing and Mechanical Officials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DOT</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Department of Transportation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IWFDS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Wastewater Facilities Design Standards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kilogram</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MCL</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contaminant level</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milligram</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μg/L</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micrograms per liter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mgd</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million gallons per day</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mL</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milliliter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MHI</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median household income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mm</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millimeter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MPN</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most probable number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mt</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metric tons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NH3-N</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ammonia nitrogen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NOAA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National Oceanic and Atmospheric Administration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NOD</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notice of discontinuation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NOI</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notice of intent</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NSF</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National Sanitation Foundation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NSCIU</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non-significant categorical industrial user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O&amp;M</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operation and maintenance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OIW</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outstanding Iowa waters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ONRW</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outstanding national resource waters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PAH</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polycyclic aromatic hydrocarbon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PCB</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polychlorinated biphenyl</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PFRP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processes to further reduce pathogens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PGP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pesticides general permit</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PN</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notice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plan of action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psi</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pound per square inch</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PSRP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processes to significantly reduce pathogens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separation distance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SDMP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septage disposal management plan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SIU</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industrial user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species</w:t>
            </w:r>
          </w:p>
        </w:tc>
      </w:tr>
      <w:tr>
        <w:trPr>
          <w:trHeight w:val="375"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suspended solids (the pollutant parameter total suspended solids)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SWESI</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substantial and widespread economic and social impact</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treatment agreement</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TAPC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annual project costs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TKN</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kjeldahl nitrogen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Tm</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terameter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TMDL</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maximum daily load</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time of transfer</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TRC</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residual chlorine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TRE</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toxicity reduction evaluation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TSS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suspended solids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United States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USDA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 Department of Agriculture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USGS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 Geological Survey</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VAR</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vector attraction reduction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WER</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water-effect ratio</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WLA</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wasteload allocation</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WLAP</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Wasteload Allocation Procedure</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WOTUS</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waters of the U.S.</w:t>
            </w:r>
          </w:p>
        </w:tc>
      </w:tr>
      <w:tr>
        <w:trPr>
          <w:trHeight w:val="210"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WQBEL</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quality-based effluent limit</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567—60.2</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construct, install or modify any wastewater DS or part thereof or extension or addition thereto without, or contrary to any condition of, a construction permit issued by the director or by a local public works department authorized to issue such permits under Iowa Code section </w:t>
      </w:r>
      <w:hyperlink r:id="rId27">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nor shall any connection to a sewer extension in violation of any special limitation specified in a construction permit pursuant to </w:t>
      </w:r>
      <w:hyperlink r:id="rId28">
        <w:r>
          <w:rPr>
            <w:rStyle w:val="Hyperlink"/>
            <w:rFonts w:ascii="Times New Roman" w:hAnsi="Times New Roman"/>
            <w:b w:val="false"/>
            <w:i w:val="false"/>
            <w:color w:val="000000"/>
            <w:sz w:val="22"/>
          </w:rPr>
          <w:t>60.2(4)</w:t>
        </w:r>
      </w:hyperlink>
      <w:r>
        <w:rPr>
          <w:rFonts w:ascii="Times New Roman" w:hAnsi="Times New Roman"/>
          <w:b w:val="false"/>
          <w:i w:val="false"/>
          <w:color w:val="000000"/>
          <w:sz w:val="22"/>
        </w:rPr>
        <w:t xml:space="preserve"> be allowed by any person subject to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Exemptions to the requirement to obtain a construction permit are listed in the Iowa Wastewater Facilities Design Standards, effective June 18, 2025, located on the department’s website; hereafter referred to as the IWFDS.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color w:val="000000"/>
          <w:sz w:val="22"/>
        </w:rPr>
        <w:t xml:space="preserve">Construction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site for each new wastewater treatment plant, plant expansion, or upgrade of existing facilities must be inspected and approved by the department prior to submission of plans and specifications. Site survey applications must be submitted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approval under this subrule shall be based on the criteria contained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IWFDS;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Recommended Standards for Wastewater Facilities, 2014 Edition, a report of the Great Lakes - Upper Mississippi Board of State and Provincial Public Health and Environmental Managers, available on their website at: </w:t>
      </w:r>
      <w:hyperlink r:id="rId29">
        <w:r>
          <w:rPr>
            <w:rStyle w:val="Hyperlink"/>
            <w:rFonts w:ascii="Times New Roman" w:hAnsi="Times New Roman"/>
            <w:b w:val="false"/>
            <w:i w:val="false"/>
            <w:color w:val="000000"/>
            <w:sz w:val="22"/>
            <w:u w:val="single"/>
          </w:rPr>
          <w:t>www.health.state.mn.us/communities/environment/water/tenstates/standards.html</w:t>
        </w:r>
      </w:hyperlink>
      <w:r>
        <w:rPr>
          <w:rFonts w:ascii="Times New Roman" w:hAnsi="Times New Roman"/>
          <w:b w:val="false"/>
          <w:i w:val="false"/>
          <w:color w:val="000000"/>
          <w:sz w:val="22"/>
        </w:rPr>
        <w:t>; hereafter referred to as the Ten States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federal guidelines and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design documents, including standard textbooks, current technical literature and applicable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separation distances for PSDS, onsite treatment systems, building sewer service lines and laterals, wastewater treatment works, sewage sludge, septage, and land application wetted disposal areas are as listed below in Table I. Additional separation distances for gravity sanitary sewers, sanitary sewer force mains, storm sewers, drains, and other conveyances are provided in Table A of </w:t>
      </w:r>
      <w:hyperlink r:id="rId30">
        <w:r>
          <w:rPr>
            <w:rStyle w:val="Hyperlink"/>
            <w:rFonts w:ascii="Times New Roman" w:hAnsi="Times New Roman"/>
            <w:b w:val="false"/>
            <w:i w:val="false"/>
            <w:color w:val="000000"/>
            <w:sz w:val="22"/>
          </w:rPr>
          <w:t>567—paragraph 43.3(7)</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for PSDS in </w:t>
      </w:r>
      <w:hyperlink r:id="rId31">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and specific narrative separation distances for conveyances are provided in 567—subparagraphs </w:t>
      </w:r>
      <w:hyperlink r:id="rId32">
        <w:r>
          <w:rPr>
            <w:rStyle w:val="Hyperlink"/>
            <w:rFonts w:ascii="Times New Roman" w:hAnsi="Times New Roman"/>
            <w:b w:val="false"/>
            <w:i w:val="false"/>
            <w:color w:val="000000"/>
            <w:sz w:val="22"/>
          </w:rPr>
          <w:t>43.3(2)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Sewage sludge, septage, and domestic or industrial wastewater shall be land applied in accordance with 567—Chapter </w:t>
      </w:r>
      <w:hyperlink r:id="rId34">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 xml:space="preserve">, 567—Chapter </w:t>
      </w:r>
      <w:hyperlink r:id="rId3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and the IWFDS, respectively.</w:t>
      </w:r>
    </w:p>
    <w:p>
      <w:pPr>
        <w:spacing w:before="60" w:after="0"/>
        <w:ind w:left="120"/>
        <w:jc w:val="center"/>
      </w:pPr>
      <w:r>
        <w:rPr>
          <w:rFonts w:ascii="Times New Roman" w:hAnsi="Times New Roman"/>
          <w:b/>
          <w:i w:val="false"/>
          <w:color w:val="000000"/>
          <w:sz w:val="22"/>
        </w:rPr>
        <w:t>Table I: Wastewater Separation Distances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42"/>
        <w:gridCol w:w="845"/>
        <w:gridCol w:w="845"/>
        <w:gridCol w:w="1190"/>
        <w:gridCol w:w="1421"/>
        <w:gridCol w:w="1421"/>
        <w:gridCol w:w="845"/>
        <w:gridCol w:w="845"/>
        <w:gridCol w:w="1766"/>
      </w:tblGrid>
      <w:tr>
        <w:trPr>
          <w:trHeight w:val="225" w:hRule="atLeast"/>
        </w:trPr>
        <w:tc>
          <w:tcPr>
            <w:tcW w:w="23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8"/>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Required Minimum Lateral Distance, as Measured Horizontally on the Ground Surface, in feet</w:t>
            </w:r>
          </w:p>
        </w:tc>
      </w:tr>
      <w:tr>
        <w:trPr>
          <w:trHeight w:val="825" w:hRule="atLeast"/>
        </w:trPr>
        <w:tc>
          <w:tcPr>
            <w:tcW w:w="2342"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Structure or Source of Contamination</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PSDS and Onsite Treatment Systems</w:t>
            </w:r>
            <w:r>
              <w:rPr>
                <w:rFonts w:ascii="Times New Roman" w:hAnsi="Times New Roman"/>
                <w:b/>
                <w:i w:val="false"/>
                <w:color w:val="000000"/>
                <w:sz w:val="18"/>
                <w:vertAlign w:val="superscript"/>
              </w:rPr>
              <w:t>1</w:t>
            </w:r>
          </w:p>
        </w:tc>
        <w:tc>
          <w:tcPr>
            <w:tcW w:w="119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Building Sewer Service Lines and Laterals</w:t>
            </w:r>
            <w:r>
              <w:rPr>
                <w:rFonts w:ascii="Times New Roman" w:hAnsi="Times New Roman"/>
                <w:b/>
                <w:i w:val="false"/>
                <w:color w:val="000000"/>
                <w:sz w:val="18"/>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Wastewater Treatment Works</w:t>
            </w:r>
            <w:r>
              <w:rPr>
                <w:rFonts w:ascii="Times New Roman" w:hAnsi="Times New Roman"/>
                <w:b/>
                <w:i w:val="false"/>
                <w:color w:val="000000"/>
                <w:sz w:val="18"/>
                <w:vertAlign w:val="superscript"/>
              </w:rPr>
              <w:t>3</w:t>
            </w:r>
          </w:p>
        </w:tc>
        <w:tc>
          <w:tcPr>
            <w:tcW w:w="0" w:type="auto"/>
            <w:gridSpan w:val="3"/>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Land Application</w:t>
            </w:r>
          </w:p>
        </w:tc>
      </w:tr>
      <w:tr>
        <w:trPr>
          <w:trHeight w:val="1005" w:hRule="atLeast"/>
        </w:trPr>
        <w:tc>
          <w:tcPr>
            <w:tcW w:w="0" w:type="auto"/>
            <w:vMerge/>
            <w:tcBorders>
              <w:top w:val="nil"/>
              <w:bottom w:val="single" w:color="000000" w:sz="8"/>
              <w:right w:val="single" w:color="000000" w:sz="8"/>
            </w:tcBorders>
          </w:tcP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Closed Portion</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Open Portion</w:t>
            </w:r>
          </w:p>
        </w:tc>
        <w:tc>
          <w:tcPr>
            <w:tcW w:w="0" w:type="auto"/>
            <w:vMerge/>
            <w:tcBorders>
              <w:top w:val="nil"/>
              <w:bottom w:val="single" w:color="000000" w:sz="8"/>
              <w:right w:val="single" w:color="000000" w:sz="8"/>
            </w:tcBorders>
          </w:tcP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Lagoons</w:t>
            </w:r>
            <w:r>
              <w:rPr>
                <w:rFonts w:ascii="Times New Roman" w:hAnsi="Times New Roman"/>
                <w:b/>
                <w:i w:val="false"/>
                <w:color w:val="000000"/>
                <w:sz w:val="18"/>
                <w:vertAlign w:val="superscript"/>
              </w:rPr>
              <w:t>4</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Mechanical</w:t>
            </w:r>
            <w:r>
              <w:rPr>
                <w:rFonts w:ascii="Times New Roman" w:hAnsi="Times New Roman"/>
                <w:b/>
                <w:i w:val="false"/>
                <w:color w:val="000000"/>
                <w:sz w:val="18"/>
                <w:vertAlign w:val="superscript"/>
              </w:rPr>
              <w:t>5</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Sewage Sludge</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Septage</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r>
              <w:rPr>
                <w:rFonts w:ascii="Times New Roman" w:hAnsi="Times New Roman"/>
                <w:b/>
                <w:i w:val="false"/>
                <w:color w:val="000000"/>
                <w:sz w:val="16"/>
              </w:rPr>
              <w:t>Domestic or Industrial Wastewater, Wetted Disposal Area</w:t>
            </w:r>
            <w:r>
              <w:rPr>
                <w:rFonts w:ascii="Times New Roman" w:hAnsi="Times New Roman"/>
                <w:b/>
                <w:i w:val="false"/>
                <w:color w:val="000000"/>
                <w:sz w:val="18"/>
                <w:vertAlign w:val="superscript"/>
              </w:rPr>
              <w:t>6</w:t>
            </w:r>
          </w:p>
        </w:tc>
      </w:tr>
      <w:tr>
        <w:trPr>
          <w:trHeight w:val="225" w:hRule="atLeast"/>
        </w:trPr>
        <w:tc>
          <w:tcPr>
            <w:tcW w:w="0" w:type="auto"/>
            <w:gridSpan w:val="9"/>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WELLS:</w:t>
            </w:r>
          </w:p>
        </w:tc>
      </w:tr>
      <w:tr>
        <w:trPr>
          <w:trHeight w:val="225" w:hRule="atLeast"/>
        </w:trPr>
        <w:tc>
          <w:tcPr>
            <w:tcW w:w="0" w:type="auto"/>
            <w:gridSpan w:val="9"/>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wells:</w:t>
            </w:r>
          </w:p>
        </w:tc>
      </w:tr>
      <w:tr>
        <w:trPr>
          <w:trHeight w:val="112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Public water supply well - deep</w:t>
            </w:r>
            <w:r>
              <w:rPr>
                <w:rFonts w:ascii="Times New Roman" w:hAnsi="Times New Roman"/>
                <w:b w:val="false"/>
                <w:i w:val="false"/>
                <w:color w:val="000000"/>
                <w:sz w:val="18"/>
                <w:vertAlign w:val="superscript"/>
              </w:rPr>
              <w:t>7</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 25: Water main </w:t>
            </w:r>
            <w:r>
              <w:br/>
            </w:r>
            <w:r>
              <w:rPr>
                <w:rFonts w:ascii="Times New Roman" w:hAnsi="Times New Roman"/>
                <w:b w:val="false"/>
                <w:i w:val="false"/>
                <w:color w:val="000000"/>
                <w:sz w:val="16"/>
              </w:rPr>
              <w:t>75: Standard sanitary sewer</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r>
      <w:tr>
        <w:trPr>
          <w:trHeight w:val="112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Public water supply well - shallow</w:t>
            </w:r>
            <w:r>
              <w:rPr>
                <w:rFonts w:ascii="Times New Roman" w:hAnsi="Times New Roman"/>
                <w:b w:val="false"/>
                <w:i w:val="false"/>
                <w:color w:val="000000"/>
                <w:sz w:val="18"/>
                <w:vertAlign w:val="superscript"/>
              </w:rPr>
              <w:t>7</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25: Water main </w:t>
            </w:r>
            <w:r>
              <w:br/>
            </w:r>
            <w:r>
              <w:rPr>
                <w:rFonts w:ascii="Times New Roman" w:hAnsi="Times New Roman"/>
                <w:b w:val="false"/>
                <w:i w:val="false"/>
                <w:color w:val="000000"/>
                <w:sz w:val="16"/>
              </w:rPr>
              <w:t>75: Standard sanitary sewer</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r>
      <w:tr>
        <w:trPr>
          <w:trHeight w:val="112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Below-ground level finished water storage facility</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25: Water main </w:t>
            </w:r>
            <w:r>
              <w:br/>
            </w:r>
            <w:r>
              <w:rPr>
                <w:rFonts w:ascii="Times New Roman" w:hAnsi="Times New Roman"/>
                <w:b w:val="false"/>
                <w:i w:val="false"/>
                <w:color w:val="000000"/>
                <w:sz w:val="16"/>
              </w:rPr>
              <w:t>75: Standard sanitary sewer</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40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New or existing private well - deep or shallow</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r>
              <w:rPr>
                <w:rFonts w:ascii="Times New Roman" w:hAnsi="Times New Roman"/>
                <w:b w:val="false"/>
                <w:i w:val="false"/>
                <w:color w:val="000000"/>
                <w:sz w:val="18"/>
                <w:vertAlign w:val="superscript"/>
              </w:rPr>
              <w:t>8,9</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WASTEWATER DISPOSAL SYSTEMS:</w:t>
            </w:r>
          </w:p>
        </w:tc>
      </w:tr>
      <w:tr>
        <w:trPr>
          <w:trHeight w:val="61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Other PSDSs and onsite treatment systems – open or closed portions</w:t>
            </w:r>
            <w:r>
              <w:rPr>
                <w:rFonts w:ascii="Times New Roman" w:hAnsi="Times New Roman"/>
                <w:b w:val="false"/>
                <w:i w:val="false"/>
                <w:color w:val="000000"/>
                <w:sz w:val="18"/>
                <w:vertAlign w:val="superscript"/>
              </w:rPr>
              <w:t>10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r>
              <w:rPr>
                <w:rFonts w:ascii="Times New Roman" w:hAnsi="Times New Roman"/>
                <w:b w:val="false"/>
                <w:i w:val="false"/>
                <w:color w:val="000000"/>
                <w:sz w:val="18"/>
                <w:vertAlign w:val="superscript"/>
              </w:rPr>
              <w:t>10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10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WATERBODIES:</w:t>
            </w:r>
          </w:p>
        </w:tc>
      </w:tr>
      <w:tr>
        <w:trPr>
          <w:trHeight w:val="25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Flowing streams or ponds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r>
              <w:rPr>
                <w:rFonts w:ascii="Times New Roman" w:hAnsi="Times New Roman"/>
                <w:b w:val="false"/>
                <w:i w:val="false"/>
                <w:color w:val="000000"/>
                <w:sz w:val="18"/>
                <w:vertAlign w:val="superscript"/>
              </w:rPr>
              <w:t>11</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r>
              <w:rPr>
                <w:rFonts w:ascii="Times New Roman" w:hAnsi="Times New Roman"/>
                <w:b w:val="false"/>
                <w:i w:val="false"/>
                <w:color w:val="000000"/>
                <w:sz w:val="18"/>
                <w:vertAlign w:val="superscript"/>
              </w:rPr>
              <w:t>11</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r>
        <w:trPr>
          <w:trHeight w:val="25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Lakes or reservoirs</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r>
              <w:rPr>
                <w:rFonts w:ascii="Times New Roman" w:hAnsi="Times New Roman"/>
                <w:b w:val="false"/>
                <w:i w:val="false"/>
                <w:color w:val="000000"/>
                <w:sz w:val="18"/>
                <w:vertAlign w:val="superscript"/>
              </w:rPr>
              <w:t>11</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r>
              <w:rPr>
                <w:rFonts w:ascii="Times New Roman" w:hAnsi="Times New Roman"/>
                <w:b w:val="false"/>
                <w:i w:val="false"/>
                <w:color w:val="000000"/>
                <w:sz w:val="18"/>
                <w:vertAlign w:val="superscript"/>
              </w:rPr>
              <w:t>11</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r>
        <w:trPr>
          <w:trHeight w:val="43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Wetlands or drainage channels</w:t>
            </w:r>
            <w:r>
              <w:rPr>
                <w:rFonts w:ascii="Times New Roman" w:hAnsi="Times New Roman"/>
                <w:b w:val="false"/>
                <w:i w:val="false"/>
                <w:color w:val="000000"/>
                <w:sz w:val="18"/>
                <w:vertAlign w:val="superscript"/>
              </w:rPr>
              <w:t>12</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r>
              <w:rPr>
                <w:rFonts w:ascii="Times New Roman" w:hAnsi="Times New Roman"/>
                <w:b w:val="false"/>
                <w:i w:val="false"/>
                <w:color w:val="000000"/>
                <w:sz w:val="18"/>
                <w:vertAlign w:val="superscript"/>
              </w:rPr>
              <w:t>11</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r>
              <w:rPr>
                <w:rFonts w:ascii="Times New Roman" w:hAnsi="Times New Roman"/>
                <w:b w:val="false"/>
                <w:i w:val="false"/>
                <w:color w:val="000000"/>
                <w:sz w:val="18"/>
                <w:vertAlign w:val="superscript"/>
              </w:rPr>
              <w:t>11</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MISCELLANEOUS:</w:t>
            </w:r>
          </w:p>
        </w:tc>
      </w:tr>
      <w:tr>
        <w:trPr>
          <w:trHeight w:val="76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Inhabitable residences, other inhabitable structures, or commercial buildings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13</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14,15,16</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13,15</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r>
              <w:rPr>
                <w:rFonts w:ascii="Times New Roman" w:hAnsi="Times New Roman"/>
                <w:b w:val="false"/>
                <w:i w:val="false"/>
                <w:color w:val="000000"/>
                <w:sz w:val="18"/>
                <w:vertAlign w:val="superscript"/>
              </w:rPr>
              <w:t>17</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r>
        <w:trPr>
          <w:trHeight w:val="58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Public use areas (not including roads or highways)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Anaerobic lagoons only</w:t>
            </w:r>
            <w:r>
              <w:rPr>
                <w:rFonts w:ascii="Times New Roman" w:hAnsi="Times New Roman"/>
                <w:b w:val="false"/>
                <w:i w:val="false"/>
                <w:color w:val="000000"/>
                <w:sz w:val="18"/>
                <w:vertAlign w:val="superscript"/>
              </w:rPr>
              <w:t>16</w:t>
            </w:r>
          </w:p>
        </w:tc>
        <w:tc>
          <w:tcPr>
            <w:tcW w:w="14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r>
        <w:trPr>
          <w:trHeight w:val="34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GHEX loop boreholes</w:t>
            </w:r>
            <w:r>
              <w:rPr>
                <w:rFonts w:ascii="Times New Roman" w:hAnsi="Times New Roman"/>
                <w:b w:val="false"/>
                <w:i w:val="false"/>
                <w:color w:val="000000"/>
                <w:sz w:val="18"/>
                <w:vertAlign w:val="superscript"/>
              </w:rPr>
              <w:t>18</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2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Roadside ditches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5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Road rights-of-way</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r>
              <w:rPr>
                <w:rFonts w:ascii="Times New Roman" w:hAnsi="Times New Roman"/>
                <w:b w:val="false"/>
                <w:i w:val="false"/>
                <w:color w:val="000000"/>
                <w:sz w:val="18"/>
                <w:vertAlign w:val="superscript"/>
              </w:rPr>
              <w:t>20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5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Property lines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19</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r>
              <w:rPr>
                <w:rFonts w:ascii="Times New Roman" w:hAnsi="Times New Roman"/>
                <w:b w:val="false"/>
                <w:i w:val="false"/>
                <w:color w:val="000000"/>
                <w:sz w:val="18"/>
                <w:vertAlign w:val="superscript"/>
              </w:rPr>
              <w:t>20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2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Suction water lines</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795" w:hRule="atLeast"/>
        </w:trPr>
        <w:tc>
          <w:tcPr>
            <w:tcW w:w="234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Water lines continually under pressure, foundation drains, or subsurface tiles</w:t>
            </w:r>
            <w:r>
              <w:rPr>
                <w:rFonts w:ascii="Times New Roman" w:hAnsi="Times New Roman"/>
                <w:b w:val="false"/>
                <w:i w:val="false"/>
                <w:color w:val="000000"/>
                <w:sz w:val="18"/>
                <w:vertAlign w:val="superscript"/>
              </w:rPr>
              <w:t>21</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11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8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76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PSDS (private sewage disposal system) is defined in </w:t>
      </w:r>
      <w:hyperlink r:id="rId36">
        <w:r>
          <w:rPr>
            <w:rStyle w:val="Hyperlink"/>
            <w:rFonts w:ascii="Times New Roman" w:hAnsi="Times New Roman"/>
            <w:b w:val="false"/>
            <w:i w:val="false"/>
            <w:color w:val="000000"/>
            <w:sz w:val="16"/>
          </w:rPr>
          <w:t>567—subrule 69.1(2)</w:t>
        </w:r>
      </w:hyperlink>
      <w:r>
        <w:rPr>
          <w:rFonts w:ascii="Times New Roman" w:hAnsi="Times New Roman"/>
          <w:b w:val="false"/>
          <w:i w:val="false"/>
          <w:color w:val="000000"/>
          <w:sz w:val="16"/>
        </w:rPr>
        <w:t xml:space="preserve">. For the purposes of this table, “onsite treatment system” includes any wastewater treatment system not included in the definition of a PSDS (i.e., provides treatment or disposal of domestic sewage from more than four dwelling units or 16 or more individuals on a continuing basis) that is utilizing wastewater treatment technologies described in </w:t>
      </w:r>
      <w:hyperlink r:id="rId37">
        <w:r>
          <w:rPr>
            <w:rStyle w:val="Hyperlink"/>
            <w:rFonts w:ascii="Times New Roman" w:hAnsi="Times New Roman"/>
            <w:b w:val="false"/>
            <w:i w:val="false"/>
            <w:color w:val="000000"/>
            <w:sz w:val="16"/>
          </w:rPr>
          <w:t>567—Chapter 69</w:t>
        </w:r>
      </w:hyperlink>
      <w:r>
        <w:rPr>
          <w:rFonts w:ascii="Times New Roman" w:hAnsi="Times New Roman"/>
          <w:b w:val="false"/>
          <w:i w:val="false"/>
          <w:color w:val="000000"/>
          <w:sz w:val="16"/>
        </w:rPr>
        <w:t xml:space="preserve"> to treat domestic waste. Closed portion refers to the part of a treatment system that is fully contained and does not allow effluent or pretreated effluent to enter soil or groundwater (e.g., septic tank or impervious vault toilet). Open portion refers to the part of a treatment system that allows effluent or pretreated effluent to discharge into soil or groundwater for treatment or disposal (e.g., soil absorption system or unlined ISSF system). These SDs also apply to onsite treatment systems that are not considered privately owned.</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The SDs for building sewer service lines and laterals shall be considered minimum distances when constructing sewer lines, and shall be increased where possible to provide better protection. “Water main” and “standard sanitary sewer” are the type of materials or pipe used to construct the specified type of sewer, in accordance with </w:t>
      </w:r>
      <w:hyperlink r:id="rId38">
        <w:r>
          <w:rPr>
            <w:rStyle w:val="Hyperlink"/>
            <w:rFonts w:ascii="Times New Roman" w:hAnsi="Times New Roman"/>
            <w:b w:val="false"/>
            <w:i w:val="false"/>
            <w:color w:val="000000"/>
            <w:sz w:val="16"/>
          </w:rPr>
          <w:t>567—subrule 43.3(2)</w:t>
        </w:r>
      </w:hyperlink>
      <w:r>
        <w:rPr>
          <w:rFonts w:ascii="Times New Roman" w:hAnsi="Times New Roman"/>
          <w:b w:val="false"/>
          <w:i w:val="false"/>
          <w:color w:val="000000"/>
          <w:sz w:val="16"/>
        </w:rPr>
        <w:t xml:space="preserve"> and Section 2.4 of the IWFDS.</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For the purposes of this table, “wastewater treatment works” includes lagoons as specified in superscript 4 and mechanical treatment works as specified in superscript 5. When the SDs for wastewater treatment systems and structures other than wells cannot be maintained for the expansion, upgrading, or replacement of existing facilities, the SDs shall be maintained at no less than 90 percent of the existing distance on the site, providing no data is available indicating that a problem has existed or will be created. The wastewater treatment works SDs shall not apply to control buildings, including but not limited to laboratories, offices, and toilet or shower rooms.</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The term “lagoons” includes aerated lagoon systems, advanced aerated lagoon systems, and waste stabilization lagoons, as defined in </w:t>
      </w:r>
      <w:hyperlink r:id="rId39">
        <w:r>
          <w:rPr>
            <w:rStyle w:val="Hyperlink"/>
            <w:rFonts w:ascii="Times New Roman" w:hAnsi="Times New Roman"/>
            <w:b w:val="false"/>
            <w:i w:val="false"/>
            <w:color w:val="000000"/>
            <w:sz w:val="16"/>
          </w:rPr>
          <w:t>567—subrule 81.1(1)</w:t>
        </w:r>
      </w:hyperlink>
      <w:r>
        <w:rPr>
          <w:rFonts w:ascii="Times New Roman" w:hAnsi="Times New Roman"/>
          <w:b w:val="false"/>
          <w:i w:val="false"/>
          <w:color w:val="000000"/>
          <w:sz w:val="16"/>
        </w:rPr>
        <w:t>, and holding ponds, equalization basins, and sludge digestion or holding tanks, as described in the IWFDS. The term does not include lagoons used to dispose of water treatment plant wastes and anaerobic lagoons used for animal wastes (as noted in superscript 8). The SD from lagoons shall be measured from the water surface.</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The term “mechanical” includes activated sludge systems and fixed film biological treatment systems, as defined in </w:t>
      </w:r>
      <w:hyperlink r:id="rId40">
        <w:r>
          <w:rPr>
            <w:rStyle w:val="Hyperlink"/>
            <w:rFonts w:ascii="Times New Roman" w:hAnsi="Times New Roman"/>
            <w:b w:val="false"/>
            <w:i w:val="false"/>
            <w:color w:val="000000"/>
            <w:sz w:val="16"/>
          </w:rPr>
          <w:t>567—subrule 81.1(1)</w:t>
        </w:r>
      </w:hyperlink>
      <w:r>
        <w:rPr>
          <w:rFonts w:ascii="Times New Roman" w:hAnsi="Times New Roman"/>
          <w:b w:val="false"/>
          <w:i w:val="false"/>
          <w:color w:val="000000"/>
          <w:sz w:val="16"/>
        </w:rPr>
        <w:t>, and any other wastewater disposal system that is not a PSDS, an onsite treatment system, or a lagoon. The mechanical wastewater treatment plant SDs are recommended for pumping stations at sites remote from new or expanded wastewater treatment facilities. All pumping stations shall be off the traffic ways of streets and alleys.</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The wetted disposal area is the land and area that is normally wetted by wastewater application. The wetted disposal area shall be established at least 50 feet inside the property line on all sides of the land application site. Distances may be reduced depending upon the extent of pretreatment and operational techniques.</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Deep and shallow wells are defined in </w:t>
      </w:r>
      <w:hyperlink r:id="rId41">
        <w:r>
          <w:rPr>
            <w:rStyle w:val="Hyperlink"/>
            <w:rFonts w:ascii="Times New Roman" w:hAnsi="Times New Roman"/>
            <w:b w:val="false"/>
            <w:i w:val="false"/>
            <w:color w:val="000000"/>
            <w:sz w:val="16"/>
          </w:rPr>
          <w:t>567—subrule 40.2(1)</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The SD between a private well and an anaerobic lagoon, earthen manure slurry storage basin, earthen manure storage basin, or runoff control basin shall be 1,000 feet. If an applicant for a private well construction permit demonstrates through percolation testing that the seepage loss through the lagoon or basin does not exceed 1/16 inch/day (0.0625 inch/day), the SD shall be 400 feet. The percolation test shall meet the requirements of ASTM D1587/D1587M-15 and </w:t>
      </w:r>
      <w:hyperlink r:id="rId42">
        <w:r>
          <w:rPr>
            <w:rStyle w:val="Hyperlink"/>
            <w:rFonts w:ascii="Times New Roman" w:hAnsi="Times New Roman"/>
            <w:b w:val="false"/>
            <w:i w:val="false"/>
            <w:color w:val="000000"/>
            <w:sz w:val="16"/>
          </w:rPr>
          <w:t>567—subrule 65.15(11)</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The SD between an existing, nonpotable, deep or shallow private well and an industrial treatment works may be reduced from 400 feet to 200 feet to accommodate the expansion of an existing industrial treatment works, provided the well and the treatment works share the same ownership.</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Required distance between a new PSDS and an existing other type of PSDS.</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If sewage sludge or septage is land applied within 200 feet upgradient of a stream, lake, sinkhole, or tile line surface intake, it shall be injected or applied to the surface and mechanically incorporated into the soil within 48 hours of application unless otherwise approved by the department.</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Includes drainage channels that may have a direct connection to the groundwater table or a surface water.</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If an onsite treatment system (as described in superscript 1) has a design AWW flow of greater than 1,500 gpd and less than or equal to 5,000 gpd, the SD between an inhabitable residence, other inhabitable structure, or commercial building and the onsite treatment system shall be 100 feet.</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The SDs between an inhabitable residence, other inhabitable structure, or commercial building and the types of lagoons specified in this superscript shall apply as indicated. If a flow equalization basin is covered and at a site that is remote from new or expanded wastewater treatment facilities, the SD may be reduced to 300 feet at the department’s discretion. If the top of a remote flow equalization basin is underneath the surface of the earth, the 1,000-foot SD is recommended but not required, and the minimum SD is 100 feet. If a wastewater treatment lagoon is used solely for the retention or storage of the industrial waste from a boiler or cooling tower blow down facility and its sole use is filed with the county recorder for abstract of title purposes, the 1,000-foot distance is recommended but not required, and the minimum SD is 100 feet.</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If the inhabitable structure or commercial building is the property of the owner of the proposed lagoon or mechanical treatment facility, or there is written agreement with the owner of the building, the 1,000-foot distance shall not apply. Any such written agreement shall be submitted to the department and filed with the county recorder for abstract of title purposes, and a copy submitted to the department.</w:t>
      </w:r>
    </w:p>
    <w:p>
      <w:pPr>
        <w:spacing w:before="0" w:after="0"/>
        <w:ind w:left="120"/>
        <w:jc w:val="both"/>
      </w:pPr>
      <w:r>
        <w:rPr>
          <w:rFonts w:ascii="Times New Roman" w:hAnsi="Times New Roman"/>
          <w:b w:val="false"/>
          <w:i w:val="false"/>
          <w:color w:val="000000"/>
          <w:sz w:val="18"/>
          <w:vertAlign w:val="superscript"/>
        </w:rPr>
        <w:t>16</w:t>
      </w:r>
      <w:r>
        <w:rPr>
          <w:rFonts w:ascii="Times New Roman" w:hAnsi="Times New Roman"/>
          <w:b w:val="false"/>
          <w:i w:val="false"/>
          <w:color w:val="000000"/>
          <w:sz w:val="16"/>
        </w:rPr>
        <w:t xml:space="preserve">See </w:t>
      </w:r>
      <w:r>
        <w:rPr>
          <w:rFonts w:ascii="Times New Roman" w:hAnsi="Times New Roman"/>
          <w:b w:val="false"/>
          <w:i w:val="false"/>
          <w:color w:val="000000"/>
          <w:sz w:val="16"/>
        </w:rPr>
        <w:t>60.2(2)</w:t>
      </w:r>
      <w:r>
        <w:rPr>
          <w:rFonts w:ascii="Times New Roman" w:hAnsi="Times New Roman"/>
          <w:b w:val="false"/>
          <w:i/>
          <w:color w:val="000000"/>
          <w:sz w:val="16"/>
        </w:rPr>
        <w:t>“d”</w:t>
      </w:r>
      <w:r>
        <w:rPr>
          <w:rFonts w:ascii="Times New Roman" w:hAnsi="Times New Roman"/>
          <w:b w:val="false"/>
          <w:i w:val="false"/>
          <w:color w:val="000000"/>
          <w:sz w:val="16"/>
        </w:rPr>
        <w:t xml:space="preserve"> for specific anaerobic lagoon SDs.</w:t>
      </w:r>
    </w:p>
    <w:p>
      <w:pPr>
        <w:spacing w:before="0" w:after="0"/>
        <w:ind w:left="120"/>
        <w:jc w:val="both"/>
      </w:pPr>
      <w:r>
        <w:rPr>
          <w:rFonts w:ascii="Times New Roman" w:hAnsi="Times New Roman"/>
          <w:b w:val="false"/>
          <w:i w:val="false"/>
          <w:color w:val="000000"/>
          <w:sz w:val="18"/>
          <w:vertAlign w:val="superscript"/>
        </w:rPr>
        <w:t>17</w:t>
      </w:r>
      <w:r>
        <w:rPr>
          <w:rFonts w:ascii="Times New Roman" w:hAnsi="Times New Roman"/>
          <w:b w:val="false"/>
          <w:i w:val="false"/>
          <w:color w:val="000000"/>
          <w:sz w:val="16"/>
        </w:rPr>
        <w:t>Septage shall not be applied within 750 feet of an occupied residence, except for the residence of the owner of the septic tank that was pumped or the residence of the licensed commercial septic tank cleaner.</w:t>
      </w:r>
    </w:p>
    <w:p>
      <w:pPr>
        <w:spacing w:before="0" w:after="0"/>
        <w:ind w:left="120"/>
        <w:jc w:val="both"/>
      </w:pPr>
      <w:r>
        <w:rPr>
          <w:rFonts w:ascii="Times New Roman" w:hAnsi="Times New Roman"/>
          <w:b w:val="false"/>
          <w:i w:val="false"/>
          <w:color w:val="000000"/>
          <w:sz w:val="18"/>
          <w:vertAlign w:val="superscript"/>
        </w:rPr>
        <w:t>18</w:t>
      </w:r>
      <w:r>
        <w:rPr>
          <w:rFonts w:ascii="Times New Roman" w:hAnsi="Times New Roman"/>
          <w:b w:val="false"/>
          <w:i w:val="false"/>
          <w:color w:val="000000"/>
          <w:sz w:val="16"/>
        </w:rPr>
        <w:t xml:space="preserve">GHEX loop boreholes are defined in </w:t>
      </w:r>
      <w:hyperlink r:id="rId43">
        <w:r>
          <w:rPr>
            <w:rStyle w:val="Hyperlink"/>
            <w:rFonts w:ascii="Times New Roman" w:hAnsi="Times New Roman"/>
            <w:b w:val="false"/>
            <w:i w:val="false"/>
            <w:color w:val="000000"/>
            <w:sz w:val="16"/>
          </w:rPr>
          <w:t>567—subrule 49.2(1)</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The 10-foot distance between a PSDS and property lines applies unless a mutual easement is signed and recorded by both parties.</w:t>
      </w:r>
    </w:p>
    <w:p>
      <w:pPr>
        <w:spacing w:before="0" w:after="0"/>
        <w:ind w:left="120"/>
        <w:jc w:val="both"/>
      </w:pPr>
      <w:r>
        <w:rPr>
          <w:rFonts w:ascii="Times New Roman" w:hAnsi="Times New Roman"/>
          <w:b w:val="false"/>
          <w:i w:val="false"/>
          <w:color w:val="000000"/>
          <w:sz w:val="18"/>
          <w:vertAlign w:val="superscript"/>
        </w:rPr>
        <w:t>20</w:t>
      </w:r>
      <w:r>
        <w:rPr>
          <w:rFonts w:ascii="Times New Roman" w:hAnsi="Times New Roman"/>
          <w:b w:val="false"/>
          <w:i w:val="false"/>
          <w:color w:val="000000"/>
          <w:sz w:val="16"/>
        </w:rPr>
        <w:t>An SD of at least 300 feet between a wastewater treatment works and property lines or rights-of-way is recommended where treatment works may be expanded in the future.</w:t>
      </w:r>
    </w:p>
    <w:p>
      <w:pPr>
        <w:spacing w:before="0" w:after="0"/>
        <w:ind w:left="120"/>
        <w:jc w:val="both"/>
      </w:pPr>
      <w:r>
        <w:rPr>
          <w:rFonts w:ascii="Times New Roman" w:hAnsi="Times New Roman"/>
          <w:b w:val="false"/>
          <w:i w:val="false"/>
          <w:color w:val="000000"/>
          <w:sz w:val="18"/>
          <w:vertAlign w:val="superscript"/>
        </w:rPr>
        <w:t>21</w:t>
      </w:r>
      <w:r>
        <w:rPr>
          <w:rFonts w:ascii="Times New Roman" w:hAnsi="Times New Roman"/>
          <w:b w:val="false"/>
          <w:i w:val="false"/>
          <w:color w:val="000000"/>
          <w:sz w:val="16"/>
        </w:rPr>
        <w:t xml:space="preserve">“Foundation drain” is defined in </w:t>
      </w:r>
      <w:hyperlink r:id="rId44">
        <w:r>
          <w:rPr>
            <w:rStyle w:val="Hyperlink"/>
            <w:rFonts w:ascii="Times New Roman" w:hAnsi="Times New Roman"/>
            <w:b w:val="false"/>
            <w:i w:val="false"/>
            <w:color w:val="000000"/>
            <w:sz w:val="16"/>
          </w:rPr>
          <w:t>567—subrule 69.1(2)</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anaerobic lagoons used in connection with industrial wastewater treatment or pretreatment, the following SDs shall apply between the anaerobic lagoon and the nearest inhabitable residence, other inhabitable structure, or commercial building not owned by the owner of the lagoon, or from a public use area other than a public road. These SDs do not apply to controlled discharge or aerated facultative lagoon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average rated flow is 100,000 gpd or less, the SD shall be at least 1,250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average rated flow is greater than 100,000 gpd, the SD shall be at least 1,875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may build or expand an anaerobic lagoon closer to an inhabitable residence, other inhabitable structure, or commercial building not owned by the owner of the anaerobic lagoon, or to a public use area other than a public road, if the affected landowners sign a written agreement with the anaerobic lagoon owner to waive the SDs under such terms the parties negotiate. Any such agreement shall be submitted to the department and filed with the county recorder for abstract of title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SDs in this subparagraph cannot be maintained for the expansion, upgrade, or replacement of existing anaerobic lagoon facilities, the SD may be reduced to 1,000 feet provided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anaerobic lagoon will be completely covered and provided with approved off gas treatment throughout its entire operation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operation and maintenance manual shall be prepared and submitted to the department in accordance with the IWFDS;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data are available indicating that a problem has existed or will be created.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applications—general.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All applications for a construction permit required under this rule shall be made in accordance with the requirements in the IWFDS and on forms provided by the department. The applicant will be promptly notified if the application is incomplete or improperly filled out, and an application will not be reviewed until it is complete. A construction permit will be denied when the application does not meet all requirements for permit issuance. For a system with permits conditioned by limitations on additional loads under </w:t>
      </w:r>
      <w:hyperlink r:id="rId45">
        <w:r>
          <w:rPr>
            <w:rStyle w:val="Hyperlink"/>
            <w:rFonts w:ascii="Times New Roman" w:hAnsi="Times New Roman"/>
            <w:b w:val="false"/>
            <w:i w:val="false"/>
            <w:color w:val="000000"/>
            <w:sz w:val="22"/>
          </w:rPr>
          <w:t>60.2(4)</w:t>
        </w:r>
      </w:hyperlink>
      <w:r>
        <w:rPr>
          <w:rFonts w:ascii="Times New Roman" w:hAnsi="Times New Roman"/>
          <w:b w:val="false"/>
          <w:i w:val="false"/>
          <w:color w:val="000000"/>
          <w:sz w:val="22"/>
        </w:rPr>
        <w:t>, construction permit applications must be accompanied by an accounting of connections and additional loading since the time the initial conditioned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date. </w:t>
      </w:r>
      <w:r>
        <w:rPr>
          <w:rFonts w:ascii="Times New Roman" w:hAnsi="Times New Roman"/>
          <w:b w:val="false"/>
          <w:i w:val="false"/>
          <w:color w:val="000000"/>
          <w:sz w:val="22"/>
        </w:rPr>
        <w:t>Applications for a construction permit must be submitted to the director at least 120 days in advance of the construction start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Site surveys.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new or expanded wastewater treatment facilities, an application for a site survey must be submitted by the applicant’s engineer in advance of a full application for construction permit. An applicant should allow 60 days from the submission date of the site survey application for preliminary approvals.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site survey application must include the following minimum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preliminary engineering report or a cover letter that contains a brief description of the proposed treatment process and assurance that the project is in conformance with the long-range planning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information, treatment project site selection, and treatment project design data portions of the construction permit application forms,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site survey application is incomplete, it will be returned to the engineer for completion. When a site survey application is complete, it will be reviewed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data submitted indicates on its face that the site would be unsuitable for its intended purpose, a letter of rejection will be sent to the applicant and the engineer. Clarifications and additional data may be requested of the applicant and the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data submitted indicates on its face that the site may be suitable, a site survey will be conducted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A single construction permit application fee of $100 as specified in Iowa Code section </w:t>
      </w:r>
      <w:hyperlink r:id="rId46">
        <w:r>
          <w:rPr>
            <w:rStyle w:val="Hyperlink"/>
            <w:rFonts w:ascii="Times New Roman" w:hAnsi="Times New Roman"/>
            <w:b w:val="false"/>
            <w:i w:val="false"/>
            <w:color w:val="000000"/>
            <w:sz w:val="22"/>
          </w:rPr>
          <w:t>455B.197(2)</w:t>
        </w:r>
      </w:hyperlink>
      <w:r>
        <w:rPr>
          <w:rFonts w:ascii="Times New Roman" w:hAnsi="Times New Roman"/>
          <w:b w:val="false"/>
          <w:i w:val="false"/>
          <w:color w:val="000000"/>
          <w:sz w:val="22"/>
        </w:rPr>
        <w:t xml:space="preserve"> is due at the time of construction permit application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Director action. </w:t>
      </w:r>
      <w:r>
        <w:rPr>
          <w:rFonts w:ascii="Times New Roman" w:hAnsi="Times New Roman"/>
          <w:b w:val="false"/>
          <w:i w:val="false"/>
          <w:color w:val="000000"/>
          <w:sz w:val="22"/>
        </w:rPr>
        <w:t>The director shall act upon the application within 60 days of receipt of a complete application by either issuing a construction permit or denying the construction permit in writing unless a longer review period is necessary and the applicant is so notified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Modification after construction permit issuance. </w:t>
      </w:r>
      <w:r>
        <w:rPr>
          <w:rFonts w:ascii="Times New Roman" w:hAnsi="Times New Roman"/>
          <w:b w:val="false"/>
          <w:i w:val="false"/>
          <w:color w:val="000000"/>
          <w:sz w:val="22"/>
        </w:rPr>
        <w:t>Applicants seeking a modification to plans and specifications after having been issued a construction permit shall submit an addendum to plans and specifications, a change order, or revised plans and specifications, along with the reasons for the proposed changes, to the department. A supplemental written permit or approval will be issued when the changes submitted by the applicant meet department requirements. Construction shall not proceed until such changes have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w:t>
      </w:r>
      <w:r>
        <w:rPr>
          <w:rFonts w:ascii="Times New Roman" w:hAnsi="Times New Roman"/>
          <w:b w:val="false"/>
          <w:i w:val="false"/>
          <w:color w:val="000000"/>
          <w:sz w:val="22"/>
        </w:rPr>
        <w:t> </w:t>
      </w:r>
      <w:r>
        <w:rPr>
          <w:rFonts w:ascii="Times New Roman" w:hAnsi="Times New Roman"/>
          <w:b w:val="false"/>
          <w:i/>
          <w:color w:val="000000"/>
          <w:sz w:val="22"/>
        </w:rPr>
        <w:t xml:space="preserve">Sanitary sewer extension construction permit applications. </w:t>
      </w:r>
      <w:r>
        <w:rPr>
          <w:rFonts w:ascii="Times New Roman" w:hAnsi="Times New Roman"/>
          <w:b w:val="false"/>
          <w:i w:val="false"/>
          <w:color w:val="000000"/>
          <w:sz w:val="22"/>
        </w:rPr>
        <w:t>Applications for sanitary sewer extension construction permits shall conform to the IWFDS. If a sanitary sewer extension construction permit application does not provide sufficient information to grant or deny a sewer system construction permit, additional information may be requested and evaluated. Sanitary sewer extension approval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sanitary sewer extension construction permit may be denied if, at the time of application, the treatment facility treating wastewater from the proposed sewer is not in substantial compliance with its operating permit or if the treatment facility receives wastes in volumes or quantities that exceed its design capacity and interfere with its operation or performance. If the applicant is operating under a compliance schedule that is being adhered to and that will lead to resolution of the substantial compliance issues, or if the applicant can demonstrate that the problem has been identified, the planning completed, and corrective measures initiated, then the construction permit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sanitary sewer extension construction permit may be denied if bypassing has occurred at the treatment facility, except when any of the following conditions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bypassing is due to a combined sewer system, and the facility is in compliance with a department-approved long-term CSO control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bypassing occurs as a result of a storm with an intensity or duration greater than that of a storm with a return period of five years, according to the NOAA Atlas 14 Point Precipitation Frequency Estimates;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that timely actions are being taken to eliminate the bypassing.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sanitary sewer extension construction permit may be denied if an existing downstream sewer is or will be overloaded or surcharged, resulting in bypassing, flooded basements, or overflowing manholes,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bypassing or flooding is the result of a precipitation event with an intensity or duration greater than that of a storm with a return period of two years, according to the NOAA Atlas 14 Point Precipitation Frequency Estimates;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is under full-scale facility planning and the applicant provides a schedule that is approved by the department for rehabilitating the system to the extent necessary to handle the additional loadings.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construction permit applications shall be based on the criteria listed in </w:t>
      </w:r>
      <w:hyperlink r:id="rId47">
        <w:r>
          <w:rPr>
            <w:rStyle w:val="Hyperlink"/>
            <w:rFonts w:ascii="Times New Roman" w:hAnsi="Times New Roman"/>
            <w:b w:val="false"/>
            <w:i w:val="false"/>
            <w:color w:val="000000"/>
            <w:sz w:val="22"/>
          </w:rPr>
          <w:t>60.2(2)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on the Iowa Antidegradation Implementation Procedure, incorporated by reference in </w:t>
      </w:r>
      <w:hyperlink r:id="rId48">
        <w:r>
          <w:rPr>
            <w:rStyle w:val="Hyperlink"/>
            <w:rFonts w:ascii="Times New Roman" w:hAnsi="Times New Roman"/>
            <w:b w:val="false"/>
            <w:i w:val="false"/>
            <w:color w:val="000000"/>
            <w:sz w:val="22"/>
          </w:rPr>
          <w:t>60.7(2)</w:t>
        </w:r>
      </w:hyperlink>
      <w:r>
        <w:rPr>
          <w:rFonts w:ascii="Times New Roman" w:hAnsi="Times New Roman"/>
          <w:b w:val="false"/>
          <w:i/>
          <w:color w:val="000000"/>
          <w:sz w:val="22"/>
        </w:rPr>
        <w:t>“d”</w:t>
      </w:r>
      <w:r>
        <w:rPr>
          <w:rFonts w:ascii="Times New Roman" w:hAnsi="Times New Roman"/>
          <w:b w:val="false"/>
          <w:i w:val="false"/>
          <w:color w:val="000000"/>
          <w:sz w:val="22"/>
        </w:rPr>
        <w:t>(4). In any conflict between the criteria, the IWFDS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IWFDS waivers. </w:t>
      </w:r>
      <w:r>
        <w:rPr>
          <w:rFonts w:ascii="Times New Roman" w:hAnsi="Times New Roman"/>
          <w:b w:val="false"/>
          <w:i w:val="false"/>
          <w:color w:val="000000"/>
          <w:sz w:val="22"/>
        </w:rPr>
        <w:t xml:space="preserve">Requests for waivers from the IWFDS shall be submitted and reviewed in accordance with </w:t>
      </w:r>
      <w:hyperlink r:id="rId49">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60.2(6)</w:t>
      </w:r>
      <w:r>
        <w:rPr>
          <w:rFonts w:ascii="Times New Roman" w:hAnsi="Times New Roman"/>
          <w:b w:val="false"/>
          <w:i w:val="false"/>
          <w:color w:val="000000"/>
          <w:sz w:val="22"/>
        </w:rPr>
        <w:t> </w:t>
      </w:r>
      <w:r>
        <w:rPr>
          <w:rFonts w:ascii="Times New Roman" w:hAnsi="Times New Roman"/>
          <w:b w:val="false"/>
          <w:i/>
          <w:color w:val="000000"/>
          <w:sz w:val="22"/>
        </w:rPr>
        <w:t xml:space="preserve">Commencing construction. </w:t>
      </w:r>
      <w:r>
        <w:rPr>
          <w:rFonts w:ascii="Times New Roman" w:hAnsi="Times New Roman"/>
          <w:b w:val="false"/>
          <w:i w:val="false"/>
          <w:color w:val="000000"/>
          <w:sz w:val="22"/>
        </w:rPr>
        <w:t xml:space="preserve">Notwithstanding the 120-day requirement in </w:t>
      </w:r>
      <w:hyperlink r:id="rId50">
        <w:r>
          <w:rPr>
            <w:rStyle w:val="Hyperlink"/>
            <w:rFonts w:ascii="Times New Roman" w:hAnsi="Times New Roman"/>
            <w:b w:val="false"/>
            <w:i w:val="false"/>
            <w:color w:val="000000"/>
            <w:sz w:val="22"/>
          </w:rPr>
          <w:t>60.2(3)</w:t>
        </w:r>
      </w:hyperlink>
      <w:r>
        <w:rPr>
          <w:rFonts w:ascii="Times New Roman" w:hAnsi="Times New Roman"/>
          <w:b w:val="false"/>
          <w:i/>
          <w:color w:val="000000"/>
          <w:sz w:val="22"/>
        </w:rPr>
        <w:t>“b,”</w:t>
      </w:r>
      <w:r>
        <w:rPr>
          <w:rFonts w:ascii="Times New Roman" w:hAnsi="Times New Roman"/>
          <w:b w:val="false"/>
          <w:i w:val="false"/>
          <w:color w:val="000000"/>
          <w:sz w:val="22"/>
        </w:rPr>
        <w:t xml:space="preserve"> construction of the approved system may commence immediately after the issuance of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60.2(7)</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construction permit shall expire if construction thereunder is not commenced within one year of the date of issuance thereof. The director may grant an extension of time to commence construction if it is necessary or justified, upon showing of such necessity or justification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revocation. </w:t>
      </w:r>
      <w:r>
        <w:rPr>
          <w:rFonts w:ascii="Times New Roman" w:hAnsi="Times New Roman"/>
          <w:b w:val="false"/>
          <w:i w:val="false"/>
          <w:color w:val="000000"/>
          <w:sz w:val="22"/>
        </w:rPr>
        <w:t>The director may modify or revoke a construction permit for cause,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construct said wastewater DS or part thereof in accordance with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facts or failure to disclose fully all material facts;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change during construction that requires material changes in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60.2(9)</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completion. </w:t>
      </w:r>
      <w:r>
        <w:rPr>
          <w:rFonts w:ascii="Times New Roman" w:hAnsi="Times New Roman"/>
          <w:b w:val="false"/>
          <w:i w:val="false"/>
          <w:color w:val="000000"/>
          <w:sz w:val="22"/>
        </w:rPr>
        <w:t>Within 30 days after completion of construction, installation or modification of any wastewater DS or part thereof or extension or addition thereto, the construction permit holder shall submit a certification by a registered professional engineer that the project was completed in accordance with the approved plans and specifications.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567—60.3</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requirement. </w:t>
      </w:r>
      <w:r>
        <w:rPr>
          <w:rFonts w:ascii="Times New Roman" w:hAnsi="Times New Roman"/>
          <w:b w:val="false"/>
          <w:i w:val="false"/>
          <w:color w:val="000000"/>
          <w:sz w:val="22"/>
        </w:rPr>
        <w:t xml:space="preserve">Except as otherwise provided in this subrule, in </w:t>
      </w:r>
      <w:hyperlink r:id="rId51">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and in </w:t>
      </w:r>
      <w:hyperlink r:id="rId52">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no person shall operate any wastewater DS or part thereof without, or contrary to any condition of, an operation permit issued by the director. An operation permit is not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PSDS that does not discharge into, or have the potential to reach, a designated water of the state or subsurface drainage tile (Note: PSDSs under this exemption are regulated under </w:t>
      </w:r>
      <w:hyperlink r:id="rId53">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semipublic sewage DS, the construction of which has been approved by the department and that does not discharge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pretreatment system, the effluent of which is to be discharged directly to another DS for final treatment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discharge from a geothermal heat pump that does not reach a navigable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well construction and well services related discharge that does not reach a WOTUS.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Discharges from the application of biological pesticides and chemical pesticides where the discharge does not reach a WOTUS. Aquatic pesticides may be applied to any WOTUS in accordance with this chapter and NPDES General Permit No. 7, “Pesticide General Permit (PGP) for Point Source Discharges to Waters of the United States From the Application of 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Agricultural stormwater discharges. This exclusion applies only to the operation permit requirement set forth in this rule and does not alter other requirements of law, including but not limited to any applicable requirements of Iowa Code chapters </w:t>
      </w:r>
      <w:hyperlink r:id="rId54">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Dewatering discharge from the installation, repair, or maintenance of agricultural drainage systems that does not reach a water of the state. This activity is not considered operation of a wastewater 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wastewater discharge from a water treatment plant that does not reach a WOTUS.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Forms. Applications for operation permits required under this paragraph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Application due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an individual permit for a new discharge of stormwater associated with construction activity as defined in </w:t>
      </w:r>
      <w:r>
        <w:rPr>
          <w:rFonts w:ascii="Times New Roman" w:hAnsi="Times New Roman"/>
          <w:b w:val="false"/>
          <w:i w:val="false"/>
          <w:color w:val="000000"/>
          <w:sz w:val="22"/>
        </w:rPr>
        <w:t>40 CFR §122.26(b)</w:t>
      </w:r>
      <w:r>
        <w:rPr>
          <w:rFonts w:ascii="Times New Roman" w:hAnsi="Times New Roman"/>
          <w:b w:val="false"/>
          <w:i w:val="false"/>
          <w:color w:val="000000"/>
          <w:sz w:val="22"/>
        </w:rPr>
        <w:t>(14) under “stormwater discharge associated with industrial activity” must be submitted at least 60 days before the date on which construction is to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due date for an application for a new discharge of wastewater is 180 days prior to the date the operation is scheduled to begin unless a shorter period is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due date for a renewal application is 180 days prior to the expiration date of the current permit. For a POTW, permission to submit an application at a later date may be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completeness.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permit application is complete and approvable when all necessary questions on the application have been completed and the application is signed pursuant to this subrule, and when all applicable portions of the application, including the application fee, treatment agreement forms, and required attachments, have been submitted. The director may require the submission of an antidegradation alternatives analysis or other additional information deemed necessary to evaluate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may be returned to the applicant for completion. Authorization to discharge will be suspended if a complete application is not submitted to the department before the expiration date of the current permit. In the case of new applications, no discharge will be allowed until an operation permit is issued. In the case of existing discharges, if a permit application is incomplete or has not been submitted, the department shall notify the applicant of a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permittee becomes aware that it failed to submit any relevant facts in a permit application, or submitted incorrect information in a permit application, the permittee shall promptly submit such facts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receipt. Upon completion of a tentative determination with regard to a permit application as described in </w:t>
      </w:r>
      <w:hyperlink r:id="rId56">
        <w:r>
          <w:rPr>
            <w:rStyle w:val="Hyperlink"/>
            <w:rFonts w:ascii="Times New Roman" w:hAnsi="Times New Roman"/>
            <w:b w:val="false"/>
            <w:i w:val="false"/>
            <w:color w:val="000000"/>
            <w:sz w:val="22"/>
          </w:rPr>
          <w:t>60.5(1)</w:t>
        </w:r>
      </w:hyperlink>
      <w:r>
        <w:rPr>
          <w:rFonts w:ascii="Times New Roman" w:hAnsi="Times New Roman"/>
          <w:b w:val="false"/>
          <w:i w:val="false"/>
          <w:color w:val="000000"/>
          <w:sz w:val="22"/>
        </w:rPr>
        <w:t>, the director shall issue an operation permit for applications filed pursuant to this subrule within 90 days of the receipt of a complete application unless the application is for an NPDES permit or unless a longer period of time is necessary and the applicant is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GP applications. </w:t>
      </w:r>
      <w:r>
        <w:rPr>
          <w:rFonts w:ascii="Times New Roman" w:hAnsi="Times New Roman"/>
          <w:b w:val="false"/>
          <w:i w:val="false"/>
          <w:color w:val="000000"/>
          <w:sz w:val="22"/>
        </w:rPr>
        <w:t xml:space="preserve">A Notice of Intent (NOI) for coverage under a GP shall be completed on forms provided by the department and in accordance with </w:t>
      </w:r>
      <w:hyperlink r:id="rId57">
        <w:r>
          <w:rPr>
            <w:rStyle w:val="Hyperlink"/>
            <w:rFonts w:ascii="Times New Roman" w:hAnsi="Times New Roman"/>
            <w:b w:val="false"/>
            <w:i w:val="false"/>
            <w:color w:val="000000"/>
            <w:sz w:val="22"/>
          </w:rPr>
          <w:t>60.6(1)</w:t>
        </w:r>
      </w:hyperlink>
      <w:r>
        <w:rPr>
          <w:rFonts w:ascii="Times New Roman" w:hAnsi="Times New Roman"/>
          <w:b w:val="false"/>
          <w:i w:val="false"/>
          <w:color w:val="000000"/>
          <w:sz w:val="22"/>
        </w:rPr>
        <w:t>. An NOI must be submitted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Stormwater discharge associated with industrial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Stormwater discharge associated with small construction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PSDSs that discharge to a WOTUS;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Discharges, except a stormwater only discharge, from a mining or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Discharges from hydrostatic testing, tank ballasting and water lines, if required to be submitted by GP No. 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Discharges from dewatering or residential geothermal systems, if required to be submitted by GP No.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fees. </w:t>
      </w:r>
      <w:r>
        <w:rPr>
          <w:rFonts w:ascii="Times New Roman" w:hAnsi="Times New Roman"/>
          <w:b w:val="false"/>
          <w:i w:val="false"/>
          <w:color w:val="000000"/>
          <w:sz w:val="22"/>
        </w:rPr>
        <w:t xml:space="preserve">Required fees shall be submitted with all permit applications pursuant to Iowa Code section </w:t>
      </w:r>
      <w:hyperlink r:id="rId58">
        <w:r>
          <w:rPr>
            <w:rStyle w:val="Hyperlink"/>
            <w:rFonts w:ascii="Times New Roman" w:hAnsi="Times New Roman"/>
            <w:b w:val="false"/>
            <w:i w:val="false"/>
            <w:color w:val="000000"/>
            <w:sz w:val="22"/>
          </w:rPr>
          <w:t>455B.197(3)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Signatories of permit applications. </w:t>
      </w:r>
      <w:r>
        <w:rPr>
          <w:rFonts w:ascii="Times New Roman" w:hAnsi="Times New Roman"/>
          <w:b w:val="false"/>
          <w:i w:val="false"/>
          <w:color w:val="000000"/>
          <w:sz w:val="22"/>
        </w:rPr>
        <w:t xml:space="preserve">Permit applications for operation and NPDES permits shall be signed in accordance with </w:t>
      </w:r>
      <w:r>
        <w:rPr>
          <w:rFonts w:ascii="Times New Roman" w:hAnsi="Times New Roman"/>
          <w:b w:val="false"/>
          <w:i w:val="false"/>
          <w:color w:val="000000"/>
          <w:sz w:val="22"/>
        </w:rPr>
        <w:t>40 CFR §122.22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color w:val="000000"/>
          <w:sz w:val="22"/>
        </w:rPr>
        <w:t xml:space="preserve">Indirect discharger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requirement. </w:t>
      </w:r>
      <w:r>
        <w:rPr>
          <w:rFonts w:ascii="Times New Roman" w:hAnsi="Times New Roman"/>
          <w:b w:val="false"/>
          <w:i w:val="false"/>
          <w:color w:val="000000"/>
          <w:sz w:val="22"/>
        </w:rPr>
        <w:t>The director may require an indirect discharger to submit information similar to that required in an application for an operation permit, but no operation permit is required for such discharge. This subrule does not apply to indirect dischargers that discharge to POTWs with department-approved pretreatment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agreement (TA). </w:t>
      </w:r>
      <w:r>
        <w:rPr>
          <w:rFonts w:ascii="Times New Roman" w:hAnsi="Times New Roman"/>
          <w:b w:val="false"/>
          <w:i w:val="false"/>
          <w:color w:val="000000"/>
          <w:sz w:val="22"/>
        </w:rPr>
        <w:t xml:space="preserve">A POTW intending to accept waste from a SIU as defined in </w:t>
      </w:r>
      <w:r>
        <w:rPr>
          <w:rFonts w:ascii="Times New Roman" w:hAnsi="Times New Roman"/>
          <w:b w:val="false"/>
          <w:i w:val="false"/>
          <w:color w:val="000000"/>
          <w:sz w:val="22"/>
        </w:rPr>
        <w:t>40 CFR §403.3(v)</w:t>
      </w:r>
      <w:r>
        <w:rPr>
          <w:rFonts w:ascii="Times New Roman" w:hAnsi="Times New Roman"/>
          <w:b w:val="false"/>
          <w:i w:val="false"/>
          <w:color w:val="000000"/>
          <w:sz w:val="22"/>
        </w:rPr>
        <w:t xml:space="preserve"> must submit a TA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on the TA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Identifies and limits the monthly average and daily maximum flows and identifies and limits all other pollutants or pollutant parameters necessary to ensure that the discharge will be in accordance with the applicable requirements in </w:t>
      </w:r>
      <w:hyperlink r:id="rId59">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signed and dated by the SIU and the owner of the POTW accepting the wastewater.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 submittal timelines. </w:t>
      </w:r>
      <w:r>
        <w:rPr>
          <w:rFonts w:ascii="Times New Roman" w:hAnsi="Times New Roman"/>
          <w:b w:val="false"/>
          <w:i w:val="false"/>
          <w:color w:val="000000"/>
          <w:sz w:val="22"/>
        </w:rPr>
        <w:t>A POTW receiving waste from an existing or proposed SIU shall submit a complete TA form to the department in accordance with the following time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 existing SIU with an existing TA, 60 days in advance of a proposed expansion, production increase or process modification that may result in discharges of sewage, industrial waste, or other waste in excess of the discharge stated in the existing 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 indirect discharger that would become a SIU as a result of a proposed expansion, production increase or process modification, 60 days in advance of the proposed expansion, production increase or process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new indirect discharger that will qualify as a SIU, 180 days in advance of a proposed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operation permit applications—TA submittal.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construction permit application for the construction or modification of a POTW must include current TA forms for each SIU discharging to the POTW. These TAs will be used in determining the design basis of the new or upgraded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operation permit application from a POTW must include information and current TA forms for each SIU discharging to the POTW, and information on any Non-Significant Categorical Industrial User discharging to the POTW.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color w:val="000000"/>
          <w:sz w:val="22"/>
        </w:rPr>
        <w:t xml:space="preserve">Effective period. </w:t>
      </w:r>
      <w:r>
        <w:rPr>
          <w:rFonts w:ascii="Times New Roman" w:hAnsi="Times New Roman"/>
          <w:b w:val="false"/>
          <w:i w:val="false"/>
          <w:color w:val="000000"/>
          <w:sz w:val="22"/>
        </w:rPr>
        <w:t>NPDES permits may be granted for any period of time not to exceed five years. All other operation permits may be granted for an appropriate period of time as determined by the director, based on the type of wastewater DS being permitted. GPs will be issued for a period not to exceed five years. Each permit to be renewed shall be subject to the provisions of all department rules in effect at the time of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60.3(5)</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Operation permits shall contain conditions deemed necessary by the director to ensure compliance with all applicable department rules, including monitoring and reporting conditions, to protect the public health and beneficial uses of waters of the state, and to prevent water pollution from waste storage or disposal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60.3(6)</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termination. </w:t>
      </w:r>
      <w:r>
        <w:rPr>
          <w:rFonts w:ascii="Times New Roman" w:hAnsi="Times New Roman"/>
          <w:b w:val="false"/>
          <w:i w:val="false"/>
          <w:color w:val="000000"/>
          <w:sz w:val="22"/>
        </w:rPr>
        <w:t>The director may amend, revoke and reissue, or terminate in whole or in part any permit for cause, either at the request of any interested person (including the permittee) or upon the director’s initiative, according to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GP. </w:t>
      </w:r>
      <w:r>
        <w:rPr>
          <w:rFonts w:ascii="Times New Roman" w:hAnsi="Times New Roman"/>
          <w:b w:val="false"/>
          <w:i w:val="false"/>
          <w:color w:val="000000"/>
          <w:sz w:val="22"/>
        </w:rPr>
        <w:t xml:space="preserve">The director may revoke and reissue or terminate in whole or in part any GP or coverage under a GP for cause. A waiver or amendment of the terms and conditions of a GP shall not be granted. If a waiver or amendment of a GP is desired, the permittee must apply for an individual permit following the procedures in </w:t>
      </w:r>
      <w:hyperlink r:id="rId60">
        <w:r>
          <w:rPr>
            <w:rStyle w:val="Hyperlink"/>
            <w:rFonts w:ascii="Times New Roman" w:hAnsi="Times New Roman"/>
            <w:b w:val="false"/>
            <w:i w:val="false"/>
            <w:color w:val="000000"/>
            <w:sz w:val="22"/>
          </w:rPr>
          <w:t>60.3(2)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permit. </w:t>
      </w:r>
      <w:r>
        <w:rPr>
          <w:rFonts w:ascii="Times New Roman" w:hAnsi="Times New Roman"/>
          <w:b w:val="false"/>
          <w:i w:val="false"/>
          <w:color w:val="000000"/>
          <w:sz w:val="22"/>
        </w:rPr>
        <w:t>All requests to amend, revoke and reissue, or terminate an individual permit shall be in writing and contain information or reasons supporting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permittee shall furnish to the director, within a reasonable time, any information that the director may request to determine whether cause exists for amending, revoking and reissuing, or terminating a permit, including a new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amendment fees shall be submitted in accordance with </w:t>
      </w:r>
      <w:hyperlink r:id="rId61">
        <w:r>
          <w:rPr>
            <w:rStyle w:val="Hyperlink"/>
            <w:rFonts w:ascii="Times New Roman" w:hAnsi="Times New Roman"/>
            <w:b w:val="false"/>
            <w:i w:val="false"/>
            <w:color w:val="000000"/>
            <w:sz w:val="22"/>
          </w:rPr>
          <w:t>60.14(3)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filing of a request by an interested person for an amendment, revocation and reissuance, or termination does not stay any permit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Cause. </w:t>
      </w:r>
      <w:r>
        <w:rPr>
          <w:rFonts w:ascii="Times New Roman" w:hAnsi="Times New Roman"/>
          <w:b w:val="false"/>
          <w:i w:val="false"/>
          <w:color w:val="000000"/>
          <w:sz w:val="22"/>
        </w:rPr>
        <w:t>Cause under this subrule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 or failure to disclose fully all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any condition that requires either a temporary or permanent reduction or elimination of the permitted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submit records and information the director requires, both generally and as a condition of the permit, in order to ensure compliance with the discharge conditions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of an NPDES permittee to carry out the requirements of </w:t>
      </w:r>
      <w:hyperlink r:id="rId62">
        <w:r>
          <w:rPr>
            <w:rStyle w:val="Hyperlink"/>
            <w:rFonts w:ascii="Times New Roman" w:hAnsi="Times New Roman"/>
            <w:b w:val="false"/>
            <w:i w:val="false"/>
            <w:color w:val="000000"/>
            <w:sz w:val="22"/>
          </w:rPr>
          <w:t>60.7(7)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to provide all the required application materials or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Causes listed in 40 CFR §§122.62 and 122.64.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permit compliance schedule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to amend an interim date in a compliance schedule shall be made at least 30 days prior to the next scheduled date that the permittee contends it is unable to meet. The request shall include proposed changes to the existing compliance schedule and documentation supporting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to amend a final date in a compliance schedule shall be made at least 120 days prior to the final compliance date. An extension of the final date may be granted by the department for cause, including unusually adverse weather conditions, equipment shortages, labor strikes, federal grant regulation requirements, or any other extenuating circumstances beyond the control of the requesting party. Cause does not include economic hardship, profit reduction, or failure to proceed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Reduction of individual permit minimum monitoring requirements. </w:t>
      </w:r>
      <w:r>
        <w:rPr>
          <w:rFonts w:ascii="Times New Roman" w:hAnsi="Times New Roman"/>
          <w:b w:val="false"/>
          <w:i w:val="false"/>
          <w:color w:val="000000"/>
          <w:sz w:val="22"/>
        </w:rPr>
        <w:t xml:space="preserve">The minimum monitoring requirements in an existing or reissued individual permit as established in </w:t>
      </w:r>
      <w:hyperlink r:id="rId63">
        <w:r>
          <w:rPr>
            <w:rStyle w:val="Hyperlink"/>
            <w:rFonts w:ascii="Times New Roman" w:hAnsi="Times New Roman"/>
            <w:b w:val="false"/>
            <w:i w:val="false"/>
            <w:color w:val="000000"/>
            <w:sz w:val="22"/>
          </w:rPr>
          <w:t>567—Chapter 63</w:t>
        </w:r>
      </w:hyperlink>
      <w:r>
        <w:rPr>
          <w:rFonts w:ascii="Times New Roman" w:hAnsi="Times New Roman"/>
          <w:b w:val="false"/>
          <w:i w:val="false"/>
          <w:color w:val="000000"/>
          <w:sz w:val="22"/>
        </w:rPr>
        <w:t xml:space="preserve"> may be modified or reduced at the director’s discretion or when requested by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to modify or reduce the minimum monitoring requirements in an existing individual permit is considered a waiver request. A request shall include a written description of the proposed modification or reduction, monitoring results that are frequent enough to reflect variations in wastewater characteristics over a period of time and are consistent in results from sample to sample, and a completed Petition for Waiver form,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request to modify or reduce minimum monitoring requirements must adequately justify that the modified or reduced monitoring will accurately reflect actual wastewater characteristics and will not adversely impact facility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a request to modify or reduce the minimum monitoring requirements in an existing permit based upon whether or not less frequent sample results would accurately reflect actual wastewater characteristics and whether operational control could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reductions or modifications of monitoring incorporated into an individual operation or NPDES permit by amendment or upon reissuance are only effective until the expiration date of that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Requests to amend, revoke and reissue, or terminate.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permit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tentatively decides to amend or revoke and reissue an individual permit, a draft permit shall be prepared according to </w:t>
      </w:r>
      <w:hyperlink r:id="rId64">
        <w:r>
          <w:rPr>
            <w:rStyle w:val="Hyperlink"/>
            <w:rFonts w:ascii="Times New Roman" w:hAnsi="Times New Roman"/>
            <w:b w:val="false"/>
            <w:i w:val="false"/>
            <w:color w:val="000000"/>
            <w:sz w:val="22"/>
          </w:rPr>
          <w:t>60.5(1)</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an individual permit is amended under this subrule, only those conditions to be amended shall be reopened when a new draft permit is prepared. All other aspects of the existing permit shall remain in effect for the duration of the permit. If an amendment falls under the definition of “minor amendment,” the individual permit may be amended without a draft permit or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director decides to terminate an individual permit, a termination decision shall be prepared and transmitted to the permittee. The permittee will have 60 days to appeal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GP requests. </w:t>
      </w:r>
      <w:r>
        <w:rPr>
          <w:rFonts w:ascii="Times New Roman" w:hAnsi="Times New Roman"/>
          <w:b w:val="false"/>
          <w:i w:val="false"/>
          <w:color w:val="000000"/>
          <w:sz w:val="22"/>
        </w:rPr>
        <w:t xml:space="preserve">If the director tentatively decides to revoke and reissue or terminate a GP, a draft reissuance or termination will proceed in accordance with Iowa Code sections </w:t>
      </w:r>
      <w:hyperlink r:id="rId65">
        <w:r>
          <w:rPr>
            <w:rStyle w:val="Hyperlink"/>
            <w:rFonts w:ascii="Times New Roman" w:hAnsi="Times New Roman"/>
            <w:b w:val="false"/>
            <w:i w:val="false"/>
            <w:color w:val="000000"/>
            <w:sz w:val="22"/>
          </w:rPr>
          <w:t>455B.103A</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455B.173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 individual or general permit is revoked and reissued under this subrule, the entire permit is reopened just as if the permit had expired and was being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During any amendment, revocation and reissuance, or termination proceeding, the permittee or permittees shall comply with all conditions of the existing permit until a new final permit is reissued or the existing permit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director decides the request is not justified, the director shall deny the request and send the requester a brief written response giving a reason for the decision. Denials of requests for permit amendment, revocation and reissuance, or termination are not subject to PN, comment, hearings, or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60.3(7)</w:t>
      </w:r>
      <w:r>
        <w:rPr>
          <w:rFonts w:ascii="Times New Roman" w:hAnsi="Times New Roman"/>
          <w:b w:val="false"/>
          <w:i w:val="false"/>
          <w:color w:val="000000"/>
          <w:sz w:val="22"/>
        </w:rPr>
        <w:t> </w:t>
      </w:r>
      <w:r>
        <w:rPr>
          <w:rFonts w:ascii="Times New Roman" w:hAnsi="Times New Roman"/>
          <w:b w:val="false"/>
          <w:i/>
          <w:color w:val="000000"/>
          <w:sz w:val="22"/>
        </w:rPr>
        <w:t xml:space="preserve">Prohibitions on permit issuance. </w:t>
      </w:r>
      <w:r>
        <w:rPr>
          <w:rFonts w:ascii="Times New Roman" w:hAnsi="Times New Roman"/>
          <w:b w:val="false"/>
          <w:i w:val="false"/>
          <w:color w:val="000000"/>
          <w:sz w:val="22"/>
        </w:rPr>
        <w:t>40 CFR §122.4</w:t>
      </w:r>
      <w:r>
        <w:rPr>
          <w:rFonts w:ascii="Times New Roman" w:hAnsi="Times New Roman"/>
          <w:b w:val="false"/>
          <w:i w:val="false"/>
          <w:color w:val="000000"/>
          <w:sz w:val="22"/>
        </w:rPr>
        <w:t xml:space="preserve">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60.3(8)</w:t>
      </w:r>
      <w:r>
        <w:rPr>
          <w:rFonts w:ascii="Times New Roman" w:hAnsi="Times New Roman"/>
          <w:b w:val="false"/>
          <w:i w:val="false"/>
          <w:color w:val="000000"/>
          <w:sz w:val="22"/>
        </w:rPr>
        <w:t> </w:t>
      </w:r>
      <w:r>
        <w:rPr>
          <w:rFonts w:ascii="Times New Roman" w:hAnsi="Times New Roman"/>
          <w:b w:val="false"/>
          <w:i/>
          <w:color w:val="000000"/>
          <w:sz w:val="22"/>
        </w:rPr>
        <w:t xml:space="preserve">Public access to NPDES information. </w:t>
      </w:r>
      <w:r>
        <w:rPr>
          <w:rFonts w:ascii="Times New Roman" w:hAnsi="Times New Roman"/>
          <w:b w:val="false"/>
          <w:i w:val="false"/>
          <w:color w:val="000000"/>
          <w:sz w:val="22"/>
        </w:rPr>
        <w:t xml:space="preserve">Department records connected with NPDES permits are available for public inspection and copying to the extent provided in </w:t>
      </w:r>
      <w:hyperlink r:id="rId67">
        <w:r>
          <w:rPr>
            <w:rStyle w:val="Hyperlink"/>
            <w:rFonts w:ascii="Times New Roman" w:hAnsi="Times New Roman"/>
            <w:b w:val="false"/>
            <w:i w:val="false"/>
            <w:color w:val="000000"/>
            <w:sz w:val="22"/>
          </w:rPr>
          <w:t>567—Chapter 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567—60.4</w:t>
      </w:r>
      <w:r>
        <w:rPr>
          <w:rFonts w:ascii="Times New Roman" w:hAnsi="Times New Roman"/>
          <w:b/>
          <w:i w:val="false"/>
          <w:color w:val="000000"/>
          <w:sz w:val="22"/>
        </w:rPr>
        <w:t xml:space="preserve">(455B) </w:t>
      </w:r>
      <w:r>
        <w:rPr>
          <w:rFonts w:ascii="Times New Roman" w:hAnsi="Times New Roman"/>
          <w:b/>
          <w:i w:val="false"/>
          <w:color w:val="000000"/>
          <w:sz w:val="22"/>
        </w:rPr>
        <w:t xml:space="preserve">Issuance of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color w:val="000000"/>
          <w:sz w:val="22"/>
        </w:rPr>
        <w:t xml:space="preserve">Individual permit. </w:t>
      </w:r>
      <w:r>
        <w:rPr>
          <w:rFonts w:ascii="Times New Roman" w:hAnsi="Times New Roman"/>
          <w:b w:val="false"/>
          <w:i w:val="false"/>
          <w:color w:val="000000"/>
          <w:sz w:val="22"/>
        </w:rPr>
        <w:t xml:space="preserve">An individual NPDES permit is required when there is a discharge of a pollutant from any point source into navigable waters. An NPDES permit is not required for the discharges listed in </w:t>
      </w:r>
      <w:r>
        <w:rPr>
          <w:rFonts w:ascii="Times New Roman" w:hAnsi="Times New Roman"/>
          <w:b w:val="false"/>
          <w:i w:val="false"/>
          <w:color w:val="000000"/>
          <w:sz w:val="22"/>
        </w:rPr>
        <w:t>40 CFR §122.3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color w:val="000000"/>
          <w:sz w:val="22"/>
        </w:rPr>
        <w:t xml:space="preserve">General permits (GPs).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issue GPs consistent with this chapter to regulate one or more categories or subcategories of discharges, if the sources within each category or subcategory meet the criteria in </w:t>
      </w:r>
      <w:r>
        <w:rPr>
          <w:rFonts w:ascii="Times New Roman" w:hAnsi="Times New Roman"/>
          <w:b w:val="false"/>
          <w:i w:val="false"/>
          <w:color w:val="000000"/>
          <w:sz w:val="22"/>
        </w:rPr>
        <w:t>40 CFR §122.28(a)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GP issued by the department must be adopted as an administrative rule in accordance with Iowa Code chapter </w:t>
      </w:r>
      <w:hyperlink r:id="rId6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Each proposed permit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accompanied by a rationale setting forth the principal facts and methodologies considered during permit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 to existing geographic or political boundaries,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identified in rule </w:t>
      </w:r>
      <w:hyperlink r:id="rId69">
        <w:r>
          <w:rPr>
            <w:rStyle w:val="Hyperlink"/>
            <w:rFonts w:ascii="Times New Roman" w:hAnsi="Times New Roman"/>
            <w:b w:val="false"/>
            <w:i w:val="false"/>
            <w:color w:val="000000"/>
            <w:sz w:val="22"/>
          </w:rPr>
          <w:t>567—60.13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NPDES permit is required for an activity covered by a GP, the applicant may seek either GP coverage or an individual permit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w:t>
      </w:r>
      <w:r>
        <w:rPr>
          <w:rFonts w:ascii="Times New Roman" w:hAnsi="Times New Roman"/>
          <w:b w:val="false"/>
          <w:i w:val="false"/>
          <w:color w:val="000000"/>
          <w:sz w:val="22"/>
        </w:rPr>
        <w:t> </w:t>
      </w:r>
      <w:r>
        <w:rPr>
          <w:rFonts w:ascii="Times New Roman" w:hAnsi="Times New Roman"/>
          <w:b w:val="false"/>
          <w:i/>
          <w:color w:val="000000"/>
          <w:sz w:val="22"/>
        </w:rPr>
        <w:t xml:space="preserve">Effect of a permit. </w:t>
      </w:r>
      <w:r>
        <w:rPr>
          <w:rFonts w:ascii="Times New Roman" w:hAnsi="Times New Roman"/>
          <w:b w:val="false"/>
          <w:i w:val="false"/>
          <w:color w:val="000000"/>
          <w:sz w:val="22"/>
        </w:rPr>
        <w:t>40 CFR §122.5</w:t>
      </w:r>
      <w:r>
        <w:rPr>
          <w:rFonts w:ascii="Times New Roman" w:hAnsi="Times New Roman"/>
          <w:b w:val="false"/>
          <w:i w:val="false"/>
          <w:color w:val="000000"/>
          <w:sz w:val="22"/>
        </w:rPr>
        <w:t xml:space="preserve"> is adopted by reference. Compliance with a permit during its term constitutes compliance, for purposes of enforcement, with equivalent limitations and standards set out in 567—Chapters </w:t>
      </w:r>
      <w:hyperlink r:id="rId70">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567—60.5</w:t>
      </w:r>
      <w:r>
        <w:rPr>
          <w:rFonts w:ascii="Times New Roman" w:hAnsi="Times New Roman"/>
          <w:b/>
          <w:i w:val="false"/>
          <w:color w:val="000000"/>
          <w:sz w:val="22"/>
        </w:rPr>
        <w:t xml:space="preserve">(455B) </w:t>
      </w:r>
      <w:r>
        <w:rPr>
          <w:rFonts w:ascii="Times New Roman" w:hAnsi="Times New Roman"/>
          <w:b/>
          <w:i w:val="false"/>
          <w:color w:val="000000"/>
          <w:sz w:val="22"/>
        </w:rPr>
        <w:t xml:space="preserve">Notice and public participation in the individual permit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color w:val="000000"/>
          <w:sz w:val="22"/>
        </w:rPr>
        <w:t xml:space="preserve">Formulation of tentative determination. </w:t>
      </w:r>
      <w:r>
        <w:rPr>
          <w:rFonts w:ascii="Times New Roman" w:hAnsi="Times New Roman"/>
          <w:b w:val="false"/>
          <w:i w:val="false"/>
          <w:color w:val="000000"/>
          <w:sz w:val="22"/>
        </w:rPr>
        <w:t xml:space="preserve">The department shall make a tentative determination to issue or deny an operation or NPDES permit for the discharge described in a permit application in advance of the PN (described in </w:t>
      </w:r>
      <w:hyperlink r:id="rId72">
        <w:r>
          <w:rPr>
            <w:rStyle w:val="Hyperlink"/>
            <w:rFonts w:ascii="Times New Roman" w:hAnsi="Times New Roman"/>
            <w:b w:val="false"/>
            <w:i w:val="false"/>
            <w:color w:val="000000"/>
            <w:sz w:val="22"/>
          </w:rPr>
          <w:t>60.5(2)</w:t>
        </w:r>
      </w:hyperlink>
      <w:r>
        <w:rPr>
          <w:rFonts w:ascii="Times New Roman" w:hAnsi="Times New Roman"/>
          <w:b w:val="false"/>
          <w:i w:val="false"/>
          <w:color w:val="000000"/>
          <w:sz w:val="22"/>
        </w:rPr>
        <w:t>). If the tentative determination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NPDES permit, the department shall prepare a permit rationale pursuant to </w:t>
      </w:r>
      <w:hyperlink r:id="rId73">
        <w:r>
          <w:rPr>
            <w:rStyle w:val="Hyperlink"/>
            <w:rFonts w:ascii="Times New Roman" w:hAnsi="Times New Roman"/>
            <w:b w:val="false"/>
            <w:i w:val="false"/>
            <w:color w:val="000000"/>
            <w:sz w:val="22"/>
          </w:rPr>
          <w:t>60.5(3)</w:t>
        </w:r>
      </w:hyperlink>
      <w:r>
        <w:rPr>
          <w:rFonts w:ascii="Times New Roman" w:hAnsi="Times New Roman"/>
          <w:b w:val="false"/>
          <w:i w:val="false"/>
          <w:color w:val="000000"/>
          <w:sz w:val="22"/>
        </w:rPr>
        <w:t xml:space="preserve"> and a draft permit. The draft permit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Effluent limitations identified pursuant to </w:t>
      </w:r>
      <w:hyperlink r:id="rId74">
        <w:r>
          <w:rPr>
            <w:rStyle w:val="Hyperlink"/>
            <w:rFonts w:ascii="Times New Roman" w:hAnsi="Times New Roman"/>
            <w:b w:val="false"/>
            <w:i w:val="false"/>
            <w:color w:val="000000"/>
            <w:sz w:val="22"/>
          </w:rPr>
          <w:t>60.7(2)</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60.7(3)</w:t>
        </w:r>
      </w:hyperlink>
      <w:r>
        <w:rPr>
          <w:rFonts w:ascii="Times New Roman" w:hAnsi="Times New Roman"/>
          <w:b w:val="false"/>
          <w:i w:val="false"/>
          <w:color w:val="000000"/>
          <w:sz w:val="22"/>
        </w:rPr>
        <w:t xml:space="preserve"> for those pollutants proposed to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necessary, a proposed compliance schedule, pursuant to </w:t>
      </w:r>
      <w:hyperlink r:id="rId76">
        <w:r>
          <w:rPr>
            <w:rStyle w:val="Hyperlink"/>
            <w:rFonts w:ascii="Times New Roman" w:hAnsi="Times New Roman"/>
            <w:b w:val="false"/>
            <w:i w:val="false"/>
            <w:color w:val="000000"/>
            <w:sz w:val="22"/>
          </w:rPr>
          <w:t>60.7(4)</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60.7(5)</w:t>
        </w:r>
      </w:hyperlink>
      <w:r>
        <w:rPr>
          <w:rFonts w:ascii="Times New Roman" w:hAnsi="Times New Roman"/>
          <w:b w:val="false"/>
          <w:i w:val="false"/>
          <w:color w:val="000000"/>
          <w:sz w:val="22"/>
        </w:rPr>
        <w:t xml:space="preserve"> that includes interim dates and requirements for meeting the effluent limitations and other permit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special conditions (other than those required in </w:t>
      </w:r>
      <w:hyperlink r:id="rId78">
        <w:r>
          <w:rPr>
            <w:rStyle w:val="Hyperlink"/>
            <w:rFonts w:ascii="Times New Roman" w:hAnsi="Times New Roman"/>
            <w:b w:val="false"/>
            <w:i w:val="false"/>
            <w:color w:val="000000"/>
            <w:sz w:val="22"/>
          </w:rPr>
          <w:t>60.7(7)</w:t>
        </w:r>
      </w:hyperlink>
      <w:r>
        <w:rPr>
          <w:rFonts w:ascii="Times New Roman" w:hAnsi="Times New Roman"/>
          <w:b w:val="false"/>
          <w:i w:val="false"/>
          <w:color w:val="000000"/>
          <w:sz w:val="22"/>
        </w:rPr>
        <w:t>) that will have a significant impact upon the discharge described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an NPDES permit, the department shall prepare a notice to deny the permit application and place it on PN as described in </w:t>
      </w:r>
      <w:hyperlink r:id="rId79">
        <w:r>
          <w:rPr>
            <w:rStyle w:val="Hyperlink"/>
            <w:rFonts w:ascii="Times New Roman" w:hAnsi="Times New Roman"/>
            <w:b w:val="false"/>
            <w:i w:val="false"/>
            <w:color w:val="000000"/>
            <w:sz w:val="22"/>
          </w:rPr>
          <w:t>60.5(2)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an operation permit (non-NPDES permit), the department shall prepare a final permit and transmit it to the applicant. The applicant will have 60 days to appeal the final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Deny an operation permit (non-NPDES permit), no PN is required. The department shall send written notice of the denial to the applicant. The applicant will have 60 days to appeal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color w:val="000000"/>
          <w:sz w:val="22"/>
        </w:rPr>
        <w:t xml:space="preserve">Public notice (PN) for individual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an NPDES permit, a major NPDES permit amendment, or the denial of a permit application for an NPDES permit, a PN shall be circulated in a manner designed to inform interested and potentially interested persons of the proposed discharge and of the tentative determination to issue or deny an NPDES permit for the proposed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PN shall be transmitted by the department to the persons noted in </w:t>
      </w:r>
      <w:r>
        <w:rPr>
          <w:rFonts w:ascii="Times New Roman" w:hAnsi="Times New Roman"/>
          <w:b w:val="false"/>
          <w:i w:val="false"/>
          <w:color w:val="000000"/>
          <w:sz w:val="22"/>
        </w:rPr>
        <w:t>40 CFR §124.10(c)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PN shall be transmitted by the department to any person upon request. Any person or group may request to receive copies of any PNs concerning the tentative determinations with respect to the permit applications within the state or within a certain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periodically notify the public of the opportunity to receive PNs. The director may update the PN distribution list from time to time by requesting written indication of continued interest from those listed. The director may delete from the list the name of any person or group who fails to respond to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publish all notices of activities described in </w:t>
      </w:r>
      <w:hyperlink r:id="rId80">
        <w:r>
          <w:rPr>
            <w:rStyle w:val="Hyperlink"/>
            <w:rFonts w:ascii="Times New Roman" w:hAnsi="Times New Roman"/>
            <w:b w:val="false"/>
            <w:i w:val="false"/>
            <w:color w:val="000000"/>
            <w:sz w:val="22"/>
          </w:rPr>
          <w:t>60.5(2)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department’s website. If this option is selected for a draft permit, the director must post the draft permit and permit rationale on the website for the duration of the public comment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not less than 30 days following the PN date during which time interested persons may submit their written views on the tentative determinations with respect to the permit application and request a public hearing pursuant to </w:t>
      </w:r>
      <w:hyperlink r:id="rId81">
        <w:r>
          <w:rPr>
            <w:rStyle w:val="Hyperlink"/>
            <w:rFonts w:ascii="Times New Roman" w:hAnsi="Times New Roman"/>
            <w:b w:val="false"/>
            <w:i w:val="false"/>
            <w:color w:val="000000"/>
            <w:sz w:val="22"/>
          </w:rPr>
          <w:t>60.5(4)</w:t>
        </w:r>
      </w:hyperlink>
      <w:r>
        <w:rPr>
          <w:rFonts w:ascii="Times New Roman" w:hAnsi="Times New Roman"/>
          <w:b w:val="false"/>
          <w:i w:val="false"/>
          <w:color w:val="000000"/>
          <w:sz w:val="22"/>
        </w:rPr>
        <w:t xml:space="preserve">. Written comments may be submitted by paper or electronic means. All pertinent comments submitted during the 30-day comment period shall be retained by the department and considered by the director in the formulation of the final determinations with respect to the permit application. The comment period may be extended at the department’s discretion. Pertinent and significant comments received during either the original comment period or an extended comment period shall be responded to in a responsiveness summary pursuant to </w:t>
      </w:r>
      <w:hyperlink r:id="rId82">
        <w:r>
          <w:rPr>
            <w:rStyle w:val="Hyperlink"/>
            <w:rFonts w:ascii="Times New Roman" w:hAnsi="Times New Roman"/>
            <w:b w:val="false"/>
            <w:i w:val="false"/>
            <w:color w:val="000000"/>
            <w:sz w:val="22"/>
          </w:rPr>
          <w:t>60.5(5)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PN of a draft NPDES permit, a major permit amendment, or the denial of a permit application for an NPDES permit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email address, and telephone number of the permit writer.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applicants’ activities or operations that result in the discharge described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waterway to which each discharge of the applicant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department’s tentative determination to issue, amend, or deny an NPDES permit for the discharge or discharges described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description of the procedures for the formulation of final determinations, including the 30-day comment period required by </w:t>
      </w:r>
      <w:hyperlink r:id="rId83">
        <w:r>
          <w:rPr>
            <w:rStyle w:val="Hyperlink"/>
            <w:rFonts w:ascii="Times New Roman" w:hAnsi="Times New Roman"/>
            <w:b w:val="false"/>
            <w:i w:val="false"/>
            <w:color w:val="000000"/>
            <w:sz w:val="22"/>
          </w:rPr>
          <w:t>60.5(2)</w:t>
        </w:r>
      </w:hyperlink>
      <w:r>
        <w:rPr>
          <w:rFonts w:ascii="Times New Roman" w:hAnsi="Times New Roman"/>
          <w:b w:val="false"/>
          <w:i/>
          <w:color w:val="000000"/>
          <w:sz w:val="22"/>
        </w:rPr>
        <w:t>“c,”</w:t>
      </w:r>
      <w:r>
        <w:rPr>
          <w:rFonts w:ascii="Times New Roman" w:hAnsi="Times New Roman"/>
          <w:b w:val="false"/>
          <w:i w:val="false"/>
          <w:color w:val="000000"/>
          <w:sz w:val="22"/>
        </w:rPr>
        <w:t xml:space="preserve"> procedures for requesting a public hearing and any other means by which interested persons may influence or comment upon those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address, telephone number, email address, and website of places at which interested persons may obtain further information and request copies of, or inspect and copy the tentative determination, permit rationale, and any associated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PN is required for a minor permit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PN is required when a request for a permit amendment or permit termination is denied. The department shall send written notice of the denial to the requester and the permittee only. No PN is required if an applicant withdraws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color w:val="000000"/>
          <w:sz w:val="22"/>
        </w:rPr>
        <w:t xml:space="preserve">Permit rationales and notices of intent to issue or deny.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made a determination to issue or deny an NPDES or operation permit as described in </w:t>
      </w:r>
      <w:hyperlink r:id="rId84">
        <w:r>
          <w:rPr>
            <w:rStyle w:val="Hyperlink"/>
            <w:rFonts w:ascii="Times New Roman" w:hAnsi="Times New Roman"/>
            <w:b w:val="false"/>
            <w:i w:val="false"/>
            <w:color w:val="000000"/>
            <w:sz w:val="22"/>
          </w:rPr>
          <w:t>60.5(1)</w:t>
        </w:r>
      </w:hyperlink>
      <w:r>
        <w:rPr>
          <w:rFonts w:ascii="Times New Roman" w:hAnsi="Times New Roman"/>
          <w:b w:val="false"/>
          <w:i w:val="false"/>
          <w:color w:val="000000"/>
          <w:sz w:val="22"/>
        </w:rPr>
        <w:t>, it shall prepare and send the following information, specific to each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NPDES permit issuance. For a determination to issue an NPDES permit, the department shall prepare and, upon request, shall send to any person a permit rationale with respect to the application described in the PN. Permit rationales shall include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discharge described in the permit application, a detailed description of the discharge location and a quantitative description of the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citation, including a brief identification of the uses for which the receiving waters have been classified, of the WQS applicable to the receiving waters, and of the effluent standards and limitations applicable to the proposed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principal facts and the significant factual, legal, methodological, and policy questions considered in the preparation of the draft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calculations or other necessary explanation of the derivation of effluent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NPDES permit application denial. For a determination to deny an application for an NPDES permit, the department shall prepare and, upon request, shall send a notice to deny with respect to the application described in the PN. A notice to deny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of the discharge;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reasons supporting the tentative decision to deny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Operation permit issuance. For a determination to issue an operation permit, the department shall prepare and issue a permit. The reasons supporting the decision to issue an operation permit can be sent to the operation permit applicant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Operation permit application denial. For a determination to deny an application for an operation permit, the department shall prepare and send written notice of the denial to the applicant only. The written denial shall include a description of the reasons supporting the decision to deny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shall add the name of any person or group to a distribution list to receive copies of permit rationales and notices to deny and shall make copies of all permit rationales and notices to deny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w:t>
      </w:r>
      <w:r>
        <w:rPr>
          <w:rFonts w:ascii="Times New Roman" w:hAnsi="Times New Roman"/>
          <w:b w:val="false"/>
          <w:i w:val="false"/>
          <w:color w:val="000000"/>
          <w:sz w:val="22"/>
        </w:rPr>
        <w:t> </w:t>
      </w:r>
      <w:r>
        <w:rPr>
          <w:rFonts w:ascii="Times New Roman" w:hAnsi="Times New Roman"/>
          <w:b w:val="false"/>
          <w:i/>
          <w:color w:val="000000"/>
          <w:sz w:val="22"/>
        </w:rPr>
        <w:t xml:space="preserve">Public hearings on proposed NPDES permits. </w:t>
      </w:r>
      <w:r>
        <w:rPr>
          <w:rFonts w:ascii="Times New Roman" w:hAnsi="Times New Roman"/>
          <w:b w:val="false"/>
          <w:i w:val="false"/>
          <w:color w:val="000000"/>
          <w:sz w:val="22"/>
        </w:rPr>
        <w:t>The applicant, any affected state, the regional administrator, or any interested agency, person, or group of persons may request a public hearing with respect to a tentative determination to issue or deny an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hearing requests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Clearly state issues and topics to be addressed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with the director within the 30-day period prescribed in </w:t>
      </w:r>
      <w:hyperlink r:id="rId85">
        <w:r>
          <w:rPr>
            <w:rStyle w:val="Hyperlink"/>
            <w:rFonts w:ascii="Times New Roman" w:hAnsi="Times New Roman"/>
            <w:b w:val="false"/>
            <w:i w:val="false"/>
            <w:color w:val="000000"/>
            <w:sz w:val="22"/>
          </w:rPr>
          <w:t>60.5(2)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Indicate the interest of the party filing the request and the reasons why a hearing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hold an informal and noncontested case hearing if there is a significant public interest in holding a hearing. Frivolous or insubstantial requests for hearing may be denied by the director. Instances of doubt should be resolved in favor of holding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hearing held pursuant to this subrule shall be held in the geographical area of the proposed discharge when possible or other appropriate area at the director’s discretion. Web-based hearings may also be held at the director’s discretion. In addition, any hearing held pursuant to this subrule may, as appropriate, consider related groups of permit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PN of any hearing held pursuant to this subrule shall be circulated at least as widely as was the notice of the tentative determination with respect to the permit application. Notice pursuant to this paragraph shall be made at least 30 days in advance of the hearing. Notice shall be transmitted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persons and government agencies that received a copy of the notice for the permit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person or group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contents of a PN of any hearing held pursuant to this subrule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email address, and telephone number of the permit writer;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 whose application will be considered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waterbody to which each discharge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reference to the PN issued for each NPDES application, including the date of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time and location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purpose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issues raised by the person or persons requesting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address, telephone number, email address, and website where interested persons may obtain further information and request copies of, or inspect and copy the draft NPDES permit, permit rationale, and any associated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nature of the hearing, including the rules and procedures to be followed;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final date for submission of comments regarding the tentative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w:t>
      </w:r>
      <w:r>
        <w:rPr>
          <w:rFonts w:ascii="Times New Roman" w:hAnsi="Times New Roman"/>
          <w:b w:val="false"/>
          <w:i w:val="false"/>
          <w:color w:val="000000"/>
          <w:sz w:val="22"/>
        </w:rPr>
        <w:t> </w:t>
      </w:r>
      <w:r>
        <w:rPr>
          <w:rFonts w:ascii="Times New Roman" w:hAnsi="Times New Roman"/>
          <w:b w:val="false"/>
          <w:i/>
          <w:color w:val="000000"/>
          <w:sz w:val="22"/>
        </w:rPr>
        <w:t xml:space="preserve">Response to comments. </w:t>
      </w:r>
      <w:r>
        <w:rPr>
          <w:rFonts w:ascii="Times New Roman" w:hAnsi="Times New Roman"/>
          <w:b w:val="false"/>
          <w:i w:val="false"/>
          <w:color w:val="000000"/>
          <w:sz w:val="22"/>
        </w:rPr>
        <w:t>At the time a final NPDES permit is issued, the director shall respond to significant and pertinent comments in the form of a responsiveness summary. A copy of the responsiveness summary shall be sent to the permit applicant and made available on the department’s website. The responsiveness summary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which provisions, if any, of the draft permit have been changed in the final permit decision and the reasons for the changes;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Briefly describe and respond to all significant and pertinent comments on the draft permit raised during the public comment period provided for in the PN or during any hearing. Comments on a draft permit may be submitted by paper or electronic means or orally at a public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Completing a Notice of Intent (NOI) for coverage under a GP.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color w:val="000000"/>
          <w:sz w:val="22"/>
        </w:rPr>
        <w:t xml:space="preserve">Contents of a complete NOI. </w:t>
      </w:r>
      <w:r>
        <w:rPr>
          <w:rFonts w:ascii="Times New Roman" w:hAnsi="Times New Roman"/>
          <w:b w:val="false"/>
          <w:i w:val="false"/>
          <w:color w:val="000000"/>
          <w:sz w:val="22"/>
        </w:rPr>
        <w:t>An applicant proposing to conduct activities covered by a GP shall file a complete NOI by submitting to the department materials required in this subrule, as applicable. An NOI is not required for discharges authorized under GPs No. 6 or No. 7, for certain discharges under GP No. 8, or for certain discharges under GP No.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NOI Form. </w:t>
      </w:r>
      <w:r>
        <w:rPr>
          <w:rFonts w:ascii="Times New Roman" w:hAnsi="Times New Roman"/>
          <w:b w:val="false"/>
          <w:i w:val="false"/>
          <w:color w:val="000000"/>
          <w:sz w:val="22"/>
        </w:rPr>
        <w:t>Electronic NOI forms provided by the department must be completed in full and may be obtained on the department’s website. Paper NOI forms, when provided, must be completed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GP fee. </w:t>
      </w:r>
      <w:r>
        <w:rPr>
          <w:rFonts w:ascii="Times New Roman" w:hAnsi="Times New Roman"/>
          <w:b w:val="false"/>
          <w:i w:val="false"/>
          <w:color w:val="000000"/>
          <w:sz w:val="22"/>
        </w:rPr>
        <w:t xml:space="preserve">The applicable GP fees are listed in </w:t>
      </w:r>
      <w:hyperlink r:id="rId86">
        <w:r>
          <w:rPr>
            <w:rStyle w:val="Hyperlink"/>
            <w:rFonts w:ascii="Times New Roman" w:hAnsi="Times New Roman"/>
            <w:b w:val="false"/>
            <w:i w:val="false"/>
            <w:color w:val="000000"/>
            <w:sz w:val="22"/>
          </w:rPr>
          <w:t>60.14(2)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notice (PN) for GPs No. 1, No. 2, and No. 3. </w:t>
      </w:r>
      <w:r>
        <w:rPr>
          <w:rFonts w:ascii="Times New Roman" w:hAnsi="Times New Roman"/>
          <w:b w:val="false"/>
          <w:i w:val="false"/>
          <w:color w:val="000000"/>
          <w:sz w:val="22"/>
        </w:rPr>
        <w:t xml:space="preserve">Applicants for GPs No. 1, No. 2 and No. 3 must publish a PN in accordance with Iowa Code section </w:t>
      </w:r>
      <w:hyperlink r:id="rId87">
        <w:r>
          <w:rPr>
            <w:rStyle w:val="Hyperlink"/>
            <w:rFonts w:ascii="Times New Roman" w:hAnsi="Times New Roman"/>
            <w:b w:val="false"/>
            <w:i w:val="false"/>
            <w:color w:val="000000"/>
            <w:sz w:val="22"/>
          </w:rPr>
          <w:t>455B.103A</w:t>
        </w:r>
      </w:hyperlink>
      <w:r>
        <w:rPr>
          <w:rFonts w:ascii="Times New Roman" w:hAnsi="Times New Roman"/>
          <w:b w:val="false"/>
          <w:i w:val="false"/>
          <w:color w:val="000000"/>
          <w:sz w:val="22"/>
        </w:rPr>
        <w:t>.The newspaper notice shall, at the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applicants’ activities or operations that result in the discharge described in the NOI;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waterway to which each discharge of the applicant is made and a short description of the location of each discharge of the applicant on the waterway;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telephone number, email address, and website of places at which interested persons may obtain further information or inspect and copy the NOI.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discharge under a GP.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submittal of an NOI in accordance with </w:t>
      </w:r>
      <w:hyperlink r:id="rId88">
        <w:r>
          <w:rPr>
            <w:rStyle w:val="Hyperlink"/>
            <w:rFonts w:ascii="Times New Roman" w:hAnsi="Times New Roman"/>
            <w:b w:val="false"/>
            <w:i w:val="false"/>
            <w:color w:val="000000"/>
            <w:sz w:val="22"/>
          </w:rPr>
          <w:t>60.3(2)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60.6(1)</w:t>
        </w:r>
      </w:hyperlink>
      <w:r>
        <w:rPr>
          <w:rFonts w:ascii="Times New Roman" w:hAnsi="Times New Roman"/>
          <w:b w:val="false"/>
          <w:i w:val="false"/>
          <w:color w:val="000000"/>
          <w:sz w:val="22"/>
        </w:rPr>
        <w:t xml:space="preserve">, an applicant is authorized to discharge after the department has determined that the contents of the NOI satisfy the requirements of this chapter and of a GP. The department will notify the applicant of coverage under a GP. If any of the items required for filing an NOI specified in </w:t>
      </w:r>
      <w:hyperlink r:id="rId90">
        <w:r>
          <w:rPr>
            <w:rStyle w:val="Hyperlink"/>
            <w:rFonts w:ascii="Times New Roman" w:hAnsi="Times New Roman"/>
            <w:b w:val="false"/>
            <w:i w:val="false"/>
            <w:color w:val="000000"/>
            <w:sz w:val="22"/>
          </w:rPr>
          <w:t>60.6(1)</w:t>
        </w:r>
      </w:hyperlink>
      <w:r>
        <w:rPr>
          <w:rFonts w:ascii="Times New Roman" w:hAnsi="Times New Roman"/>
          <w:b w:val="false"/>
          <w:i w:val="false"/>
          <w:color w:val="000000"/>
          <w:sz w:val="22"/>
        </w:rPr>
        <w:t xml:space="preserve"> are missing, the department will consider the NOI incomplete and will notify the applicant of the incomplete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discharge described in the NOI does not meet the requirements of a GP, an NOI may be denied. The department will notify applicants of denial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Authorization to discharge is automatic only for the GPs that do not require an NOI under </w:t>
      </w:r>
      <w:hyperlink r:id="rId91">
        <w:r>
          <w:rPr>
            <w:rStyle w:val="Hyperlink"/>
            <w:rFonts w:ascii="Times New Roman" w:hAnsi="Times New Roman"/>
            <w:b w:val="false"/>
            <w:i w:val="false"/>
            <w:color w:val="000000"/>
            <w:sz w:val="22"/>
          </w:rPr>
          <w:t>60.3(2)</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provided the discharge is a covered activity and the permittee complies with all applicable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60.6(3)</w:t>
      </w:r>
      <w:r>
        <w:rPr>
          <w:rFonts w:ascii="Times New Roman" w:hAnsi="Times New Roman"/>
          <w:b w:val="false"/>
          <w:i w:val="false"/>
          <w:color w:val="000000"/>
          <w:sz w:val="22"/>
        </w:rPr>
        <w:t> </w:t>
      </w:r>
      <w:r>
        <w:rPr>
          <w:rFonts w:ascii="Times New Roman" w:hAnsi="Times New Roman"/>
          <w:b w:val="false"/>
          <w:i/>
          <w:color w:val="000000"/>
          <w:sz w:val="22"/>
        </w:rPr>
        <w:t xml:space="preserve">GP suspension or revocation. </w:t>
      </w:r>
      <w:r>
        <w:rPr>
          <w:rFonts w:ascii="Times New Roman" w:hAnsi="Times New Roman"/>
          <w:b w:val="false"/>
          <w:i w:val="false"/>
          <w:color w:val="000000"/>
          <w:sz w:val="22"/>
        </w:rPr>
        <w:t xml:space="preserve">In addition to the causes for suspension or revocation listed in </w:t>
      </w:r>
      <w:hyperlink r:id="rId92">
        <w:r>
          <w:rPr>
            <w:rStyle w:val="Hyperlink"/>
            <w:rFonts w:ascii="Times New Roman" w:hAnsi="Times New Roman"/>
            <w:b w:val="false"/>
            <w:i w:val="false"/>
            <w:color w:val="000000"/>
            <w:sz w:val="22"/>
          </w:rPr>
          <w:t>60.3(6)</w:t>
        </w:r>
      </w:hyperlink>
      <w:r>
        <w:rPr>
          <w:rFonts w:ascii="Times New Roman" w:hAnsi="Times New Roman"/>
          <w:b w:val="false"/>
          <w:i w:val="false"/>
          <w:color w:val="000000"/>
          <w:sz w:val="22"/>
        </w:rPr>
        <w:t xml:space="preserve">, the director may suspend or revoke coverage under a GP and require the applicant to apply for an individual NPDES permit in accordance with </w:t>
      </w:r>
      <w:hyperlink r:id="rId93">
        <w:r>
          <w:rPr>
            <w:rStyle w:val="Hyperlink"/>
            <w:rFonts w:ascii="Times New Roman" w:hAnsi="Times New Roman"/>
            <w:b w:val="false"/>
            <w:i w:val="false"/>
            <w:color w:val="000000"/>
            <w:sz w:val="22"/>
          </w:rPr>
          <w:t>60.3(2)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will notify the affected discharger and establish a deadline, not longer than one year, for submitting an individual permit application. Coverage may be suspended or revoked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discharge would not comply with Iowa’s WQS pursuant to </w:t>
      </w:r>
      <w:hyperlink r:id="rId94">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the activities associated with an NOI do not meet the conditions of the applicable GP,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any discharge covered under a GP is not consistent with the conditions specified in the applicable GP.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individual NPDES permit holders. </w:t>
      </w:r>
      <w:r>
        <w:rPr>
          <w:rFonts w:ascii="Times New Roman" w:hAnsi="Times New Roman"/>
          <w:b w:val="false"/>
          <w:i w:val="false"/>
          <w:color w:val="000000"/>
          <w:sz w:val="22"/>
        </w:rPr>
        <w:t xml:space="preserve">A person holding an individual NPDES permit for an activity covered by a GP may apply for coverage under a GP by filing an NOI according to the procedures described in </w:t>
      </w:r>
      <w:hyperlink r:id="rId95">
        <w:r>
          <w:rPr>
            <w:rStyle w:val="Hyperlink"/>
            <w:rFonts w:ascii="Times New Roman" w:hAnsi="Times New Roman"/>
            <w:b w:val="false"/>
            <w:i w:val="false"/>
            <w:color w:val="000000"/>
            <w:sz w:val="22"/>
          </w:rPr>
          <w:t>60.3(2)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this rule. In addition to these requirements, the permittee must submit a written request, with the NOI, to either terminate the individual NPDES permit or to amend the individual NPDES permit to remove the GP-covered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 NOI and request for individual NPDES permit termination or amendment, the applicant shall be authorized to discharge under the GP in accordance with </w:t>
      </w:r>
      <w:hyperlink r:id="rId96">
        <w:r>
          <w:rPr>
            <w:rStyle w:val="Hyperlink"/>
            <w:rFonts w:ascii="Times New Roman" w:hAnsi="Times New Roman"/>
            <w:b w:val="false"/>
            <w:i w:val="false"/>
            <w:color w:val="000000"/>
            <w:sz w:val="22"/>
          </w:rPr>
          <w:t>60.6(2)</w:t>
        </w:r>
      </w:hyperlink>
      <w:r>
        <w:rPr>
          <w:rFonts w:ascii="Times New Roman" w:hAnsi="Times New Roman"/>
          <w:b w:val="false"/>
          <w:i w:val="false"/>
          <w:color w:val="000000"/>
          <w:sz w:val="22"/>
        </w:rPr>
        <w:t>. The applicant will receive notification from the department of coverage under the GP and of the termination or amendment of the individual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Authorization to discharge under a GP that does not require an NOI will be automatic in accordance with </w:t>
      </w:r>
      <w:hyperlink r:id="rId97">
        <w:r>
          <w:rPr>
            <w:rStyle w:val="Hyperlink"/>
            <w:rFonts w:ascii="Times New Roman" w:hAnsi="Times New Roman"/>
            <w:b w:val="false"/>
            <w:i w:val="false"/>
            <w:color w:val="000000"/>
            <w:sz w:val="22"/>
          </w:rPr>
          <w:t>60.6(2)</w:t>
        </w:r>
      </w:hyperlink>
      <w:r>
        <w:rPr>
          <w:rFonts w:ascii="Times New Roman" w:hAnsi="Times New Roman"/>
          <w:b w:val="false"/>
          <w:i w:val="false"/>
          <w:color w:val="000000"/>
          <w:sz w:val="22"/>
        </w:rPr>
        <w:t xml:space="preserve"> and shall commence upon completion of individual NPDES permit termination 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NPDES permit amendments under this subrule shall follow the applicable PN procedures in rule </w:t>
      </w:r>
      <w:hyperlink r:id="rId98">
        <w:r>
          <w:rPr>
            <w:rStyle w:val="Hyperlink"/>
            <w:rFonts w:ascii="Times New Roman" w:hAnsi="Times New Roman"/>
            <w:b w:val="false"/>
            <w:i w:val="false"/>
            <w:color w:val="000000"/>
            <w:sz w:val="22"/>
          </w:rPr>
          <w:t>567—60.5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w:t>
      </w:r>
      <w:r>
        <w:rPr>
          <w:rFonts w:ascii="Times New Roman" w:hAnsi="Times New Roman"/>
          <w:b w:val="false"/>
          <w:i w:val="false"/>
          <w:color w:val="000000"/>
          <w:sz w:val="22"/>
        </w:rPr>
        <w:t> </w:t>
      </w:r>
      <w:r>
        <w:rPr>
          <w:rFonts w:ascii="Times New Roman" w:hAnsi="Times New Roman"/>
          <w:b w:val="false"/>
          <w:i/>
          <w:color w:val="000000"/>
          <w:sz w:val="22"/>
        </w:rPr>
        <w:t xml:space="preserve">Filing a Notice of Discontinuation (NOD). </w:t>
      </w:r>
      <w:r>
        <w:rPr>
          <w:rFonts w:ascii="Times New Roman" w:hAnsi="Times New Roman"/>
          <w:b w:val="false"/>
          <w:i w:val="false"/>
          <w:color w:val="000000"/>
          <w:sz w:val="22"/>
        </w:rPr>
        <w:t>A notice to discontinue discharge associated with an activity covered by a GP shall be made electronically or in writing to the department in accordance with the conditions established in each GP.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567—60.7</w:t>
      </w:r>
      <w:r>
        <w:rPr>
          <w:rFonts w:ascii="Times New Roman" w:hAnsi="Times New Roman"/>
          <w:b/>
          <w:i w:val="false"/>
          <w:color w:val="000000"/>
          <w:sz w:val="22"/>
        </w:rPr>
        <w:t xml:space="preserve">(455B) </w:t>
      </w:r>
      <w:r>
        <w:rPr>
          <w:rFonts w:ascii="Times New Roman" w:hAnsi="Times New Roman"/>
          <w:b/>
          <w:i w:val="false"/>
          <w:color w:val="000000"/>
          <w:sz w:val="22"/>
        </w:rPr>
        <w:t xml:space="preserve">Terms and conditions of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w:t>
      </w:r>
      <w:r>
        <w:rPr>
          <w:rFonts w:ascii="Times New Roman" w:hAnsi="Times New Roman"/>
          <w:b w:val="false"/>
          <w:i w:val="false"/>
          <w:color w:val="000000"/>
          <w:sz w:val="22"/>
        </w:rPr>
        <w:t> </w:t>
      </w:r>
      <w:r>
        <w:rPr>
          <w:rFonts w:ascii="Times New Roman" w:hAnsi="Times New Roman"/>
          <w:b w:val="false"/>
          <w:i/>
          <w:color w:val="000000"/>
          <w:sz w:val="22"/>
        </w:rPr>
        <w:t xml:space="preserve">Prohibited discharges. </w:t>
      </w:r>
      <w:r>
        <w:rPr>
          <w:rFonts w:ascii="Times New Roman" w:hAnsi="Times New Roman"/>
          <w:b w:val="false"/>
          <w:i w:val="false"/>
          <w:color w:val="000000"/>
          <w:sz w:val="22"/>
        </w:rPr>
        <w:t xml:space="preserve">No NPDES permit may authorize any of the discharges prohibited by rule </w:t>
      </w:r>
      <w:hyperlink r:id="rId99">
        <w:r>
          <w:rPr>
            <w:rStyle w:val="Hyperlink"/>
            <w:rFonts w:ascii="Times New Roman" w:hAnsi="Times New Roman"/>
            <w:b w:val="false"/>
            <w:i w:val="false"/>
            <w:color w:val="000000"/>
            <w:sz w:val="22"/>
          </w:rPr>
          <w:t>567—62.1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effluent and pretreatment standards, WQS, and other requirements. </w:t>
      </w:r>
      <w:r>
        <w:rPr>
          <w:rFonts w:ascii="Times New Roman" w:hAnsi="Times New Roman"/>
          <w:b w:val="false"/>
          <w:i w:val="false"/>
          <w:color w:val="000000"/>
          <w:sz w:val="22"/>
        </w:rPr>
        <w:t>Each NPDES permit shall include any of the following that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effluent limitation guideline; a standard of performance for a new source; or an effluent standard, effluent prohibition, or pretreatment standard promulgated by the administrator under Sections 301, 304, 306, or 307 of the CWA and adopted by reference in </w:t>
      </w:r>
      <w:hyperlink r:id="rId100">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water quality-based effluent limitation established by the administrator pursuant to Section 302 of the CWA.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promulgation of applicable effluent and pretreatment standards under Sections 301, 302, 306, and 307 of the CWA, such conditions as the director determines are necessary to carry out the provisions of the CWA.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limitation, including those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or implement any applicable WQS, treatment or pretreatment standards, or compliance schedules established pursuant to any Iowa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 any other federal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 total maximum daily loads established pursuant to Section 303(d) of the CWA;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antidegradation policy requirements of </w:t>
      </w:r>
      <w:hyperlink r:id="rId101">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 xml:space="preserve"> implemented according to the “Iowa Antidegradation Implementation Procedure,” effective February 17, 2010, hereby incorporated by reference, and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Limitations pursuant to </w:t>
      </w:r>
      <w:r>
        <w:rPr>
          <w:rFonts w:ascii="Times New Roman" w:hAnsi="Times New Roman"/>
          <w:b w:val="false"/>
          <w:i w:val="false"/>
          <w:color w:val="000000"/>
          <w:sz w:val="22"/>
        </w:rPr>
        <w:t>40 CFR §122.44(d)</w:t>
      </w:r>
      <w:r>
        <w:rPr>
          <w:rFonts w:ascii="Times New Roman" w:hAnsi="Times New Roman"/>
          <w:b w:val="false"/>
          <w:i w:val="false"/>
          <w:color w:val="000000"/>
          <w:sz w:val="22"/>
        </w:rPr>
        <w:t>(1)(i), (ii), and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in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application of effluent standards and limitations, WQS, and other legally applicable requirements, pursuant to </w:t>
      </w:r>
      <w:r>
        <w:rPr>
          <w:rFonts w:ascii="Times New Roman" w:hAnsi="Times New Roman"/>
          <w:b w:val="false"/>
          <w:i w:val="false"/>
          <w:color w:val="000000"/>
          <w:sz w:val="22"/>
        </w:rPr>
        <w:t>60.7(2)</w:t>
      </w:r>
      <w:r>
        <w:rPr>
          <w:rFonts w:ascii="Times New Roman" w:hAnsi="Times New Roman"/>
          <w:b w:val="false"/>
          <w:i w:val="false"/>
          <w:color w:val="000000"/>
          <w:sz w:val="22"/>
        </w:rPr>
        <w:t>, the director shall, unless impracticable, specify average and maximum daily quantitative limitations for the level of pollutants in the authorized discharge in terms of weight (except pH, temperature, radiation, and any other pollutants not appropriately expressed by weight). The director may, in addition to the specification of daily quantitative limitations by weight, specify other limitations for the level of pollutants authorized in the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manner in which effluent limitations are expressed will depend upon the nature of the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 discharges shall be limited by daily loading figures and, where appropriate, may be limited as to concentration or discharge rate (e.g., for toxic or highly variable continuous discharges).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Noncontinuous discharges should be more particularly described and limited in accordance with </w:t>
      </w:r>
      <w:r>
        <w:rPr>
          <w:rFonts w:ascii="Times New Roman" w:hAnsi="Times New Roman"/>
          <w:b w:val="false"/>
          <w:i w:val="false"/>
          <w:color w:val="000000"/>
          <w:sz w:val="22"/>
        </w:rPr>
        <w:t>40 CFR §122.45(e)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schedules in NPDES permits. </w:t>
      </w:r>
      <w:r>
        <w:rPr>
          <w:rFonts w:ascii="Times New Roman" w:hAnsi="Times New Roman"/>
          <w:b w:val="false"/>
          <w:i w:val="false"/>
          <w:color w:val="000000"/>
          <w:sz w:val="22"/>
        </w:rPr>
        <w:t xml:space="preserve">An NPDES permit may specify a compliance schedule in accordance with </w:t>
      </w:r>
      <w:r>
        <w:rPr>
          <w:rFonts w:ascii="Times New Roman" w:hAnsi="Times New Roman"/>
          <w:b w:val="false"/>
          <w:i w:val="false"/>
          <w:color w:val="000000"/>
          <w:sz w:val="22"/>
        </w:rPr>
        <w:t>40 CFR §122.47</w:t>
      </w:r>
      <w:r>
        <w:rPr>
          <w:rFonts w:ascii="Times New Roman" w:hAnsi="Times New Roman"/>
          <w:b w:val="false"/>
          <w:i w:val="false"/>
          <w:color w:val="000000"/>
          <w:sz w:val="22"/>
        </w:rPr>
        <w:t xml:space="preserve">. Compliance shall be achieved as soon as possible, consistent with the guidelines and requirements of the CWA and with the provisions of Iowa Code sections </w:t>
      </w:r>
      <w:hyperlink r:id="rId102">
        <w:r>
          <w:rPr>
            <w:rStyle w:val="Hyperlink"/>
            <w:rFonts w:ascii="Times New Roman" w:hAnsi="Times New Roman"/>
            <w:b w:val="false"/>
            <w:i w:val="false"/>
            <w:color w:val="000000"/>
            <w:sz w:val="22"/>
          </w:rPr>
          <w:t>455B.173(2)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455B.173(3)</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permittee fails or refuses to comply with an interim or final requirement in an NPDES permit, such noncompliance shall constitute a violation of the permit for which the director may, pursuant to this chapter and </w:t>
      </w:r>
      <w:hyperlink r:id="rId104">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modify, suspend or terminate the permit or take direct enforcement action. Compliance schedules shall not relieve the permittee of the duty to obtain a construction permit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schedules in NPDES permits for disadvantaged communities (DCs). </w:t>
      </w:r>
      <w:r>
        <w:rPr>
          <w:rFonts w:ascii="Times New Roman" w:hAnsi="Times New Roman"/>
          <w:b w:val="false"/>
          <w:i w:val="false"/>
          <w:color w:val="000000"/>
          <w:sz w:val="22"/>
        </w:rPr>
        <w:t>If compliance with applicable federal or state regulations or an order of the department will result in substantial and widespread economic and social impact (SWESI) to ratepayers and an affected community, the director may establish in an NPDES permit a compliance schedule that will result in an improvement of water quality and reasonable progress toward complying with the applicable requirements but does not result in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DC status. </w:t>
      </w:r>
      <w:r>
        <w:rPr>
          <w:rFonts w:ascii="Times New Roman" w:hAnsi="Times New Roman"/>
          <w:b w:val="false"/>
          <w:i w:val="false"/>
          <w:color w:val="000000"/>
          <w:sz w:val="22"/>
        </w:rPr>
        <w:t xml:space="preserve">The director shall find that a regulated entity and the affected community are a DC according to Iowa Code section </w:t>
      </w:r>
      <w:hyperlink r:id="rId105">
        <w:r>
          <w:rPr>
            <w:rStyle w:val="Hyperlink"/>
            <w:rFonts w:ascii="Times New Roman" w:hAnsi="Times New Roman"/>
            <w:b w:val="false"/>
            <w:i w:val="false"/>
            <w:color w:val="000000"/>
            <w:sz w:val="22"/>
          </w:rPr>
          <w:t>455B.199B(2)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DC analysis (DCA). </w:t>
      </w:r>
      <w:r>
        <w:rPr>
          <w:rFonts w:ascii="Times New Roman" w:hAnsi="Times New Roman"/>
          <w:b w:val="false"/>
          <w:i w:val="false"/>
          <w:color w:val="000000"/>
          <w:sz w:val="22"/>
        </w:rPr>
        <w:t>A regulated entity or affected community must submit a DCA to the director to be considered for disadvantaged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new requirements in a proposed or reissued NPDES permit may result in SWESI, a DCA may be submitted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POTW or semipublic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wastewater DS for the treatment or disposal of domestic sewage that is not a semipublic DS or a PSDS and that is not owned by a city or sanitary sewer district;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owner of a wastewater DS that is not a PSDS and does not discharge industrial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DCA may be submitted prior to the issuance of an initial NPDES permit if the facility does not discharge industrial wastes and is not a new source or new discharger.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DCA 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DCA must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TAPC as defined in </w:t>
      </w:r>
      <w:hyperlink r:id="rId106">
        <w:r>
          <w:rPr>
            <w:rStyle w:val="Hyperlink"/>
            <w:rFonts w:ascii="Times New Roman" w:hAnsi="Times New Roman"/>
            <w:b w:val="false"/>
            <w:i w:val="false"/>
            <w:color w:val="000000"/>
            <w:sz w:val="22"/>
          </w:rPr>
          <w:t>60.7(5)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households or ratepayers in the affected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bond rating of the affected community over the last year,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user rates,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municipality or other community, the current sewer rate ordinances, including the sewer rates of any industrial users;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water treatment facility, the water rate schedules or tables;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any other entity, the monthly ratepayer charge for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regulated entity or affected community believes that compliance with the proposed requirements will result in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DCA is submitted by or for an entity other than a municipality, community, or water treatment facility, the DCA must also contain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entities with more than ten households or ratepayers, the MHI or ratepayer income, as determined by an income survey conducted by the regulated entity;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entities with ten or fewer households or ratepayers, an estimate of MHI or ratepayer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Definition of total annual project costs (TAPC). </w:t>
      </w:r>
      <w:r>
        <w:rPr>
          <w:rFonts w:ascii="Times New Roman" w:hAnsi="Times New Roman"/>
          <w:b w:val="false"/>
          <w:i w:val="false"/>
          <w:color w:val="000000"/>
          <w:sz w:val="22"/>
        </w:rPr>
        <w:t>“Total annual project costs” means the current costs of wastewater treatment in the community (if any) plus the future costs of proposed wastewater system improvements that will meet or exceed all applicable federal or state regulations or requirements of an order of the department. The TAPC shall include any current and proposed facility O&amp;M costs and any existing and proposed system debt, as expressed in current and proposed sewer rates. The costs shall be amortized for a 30-year loan period at an interest rate equal to the current state revolving fund interest rate. Awarded grant funding must be subtracted from the TAPC.</w:t>
      </w:r>
    </w:p>
    <w:p>
      <w:pPr>
        <w:spacing w:before="0" w:after="0"/>
        <w:ind w:left="120"/>
        <w:jc w:val="both"/>
      </w:pPr>
      <w:r>
        <w:rPr>
          <w:rFonts w:ascii="Times New Roman" w:hAnsi="Times New Roman"/>
          <w:b w:val="false"/>
          <w:i w:val="false"/>
          <w:color w:val="000000"/>
          <w:sz w:val="22"/>
        </w:rPr>
        <w:t>The TAPC formula is: TAPC = [(Estimated costs to design and build proposed project - Awarded grant funding) amortized over 30 years] + Current annual system budget, including O&amp;M and existing debt service + Future annual O&amp;M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DC matrix (DCM). </w:t>
      </w:r>
      <w:r>
        <w:rPr>
          <w:rFonts w:ascii="Times New Roman" w:hAnsi="Times New Roman"/>
          <w:b w:val="false"/>
          <w:i w:val="false"/>
          <w:color w:val="000000"/>
          <w:sz w:val="22"/>
        </w:rPr>
        <w:t>Upon receipt of a complete DCA, the director shall use the DCM to evaluate the disadvantaged status of an entity or community. A regulated entity or affected community shall be considered a DC if the point total derived in the DCM is equal to or greater than 12. The following data sources shall be used to derive the point total in the DCM: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TAPC, the number of households or ratepayers in a community, and the bond rating of the community, as stated in the 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MHI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community, as found in the most recent American Community Survey or United States Census or as stated in an income survey conducted by the regulated entity or community;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ratepayer group, as stated in an income survey conducted by the regulated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unemployment rate of the local county and of the state as found in the most recent Iowa Workforce Information Network unemployment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Ratio and determination. </w:t>
      </w:r>
      <w:r>
        <w:rPr>
          <w:rFonts w:ascii="Times New Roman" w:hAnsi="Times New Roman"/>
          <w:b w:val="false"/>
          <w:i w:val="false"/>
          <w:color w:val="000000"/>
          <w:sz w:val="22"/>
        </w:rPr>
        <w:t>The ratio of the TAPC per household or per ratepayer to MHI shall be calculated in the DCM as follows: the TAPC shall be divided by the number of households or ratepayers to obtain the costs per household or ratepayer, and the costs per household or ratepayer shall be divided by the MHI to obtain the ratio. If the ratio of compliance costs to MHI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 percent, the entity or community is not considered disadvantaged.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2 percent, the entity or community is considered a 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1 percent and less than 2 percent, the director shall use the point total in the DCM to determine if the entity or community is disadvantaged.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DC compliance schedule—first part. </w:t>
      </w:r>
      <w:r>
        <w:rPr>
          <w:rFonts w:ascii="Times New Roman" w:hAnsi="Times New Roman"/>
          <w:b w:val="false"/>
          <w:i w:val="false"/>
          <w:color w:val="000000"/>
          <w:sz w:val="22"/>
        </w:rPr>
        <w:t>A compliance schedule established in an NPDES permit for a DC as a result of SWESI may contain one or two parts. The first part of a DC compliance schedule shall encompass one five-year NPDES permit cycle and require the permittee to submit an alternatives report, an alternatives implementation compliance plan (AICP), and annual progress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Alternatives report. An alternatives report shall be submitted no later than two years after permit issuance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 the alternative pollution control measures that will be investigated and contain an examination of all other appropriate measures that may achieve compliance with applicable federal or state regulations or an order of the department without creating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 which measures will be evaluated for feasibility and affordability during the next portion of the compliance schedule;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plan for pursuing funding options, including grants and low-interest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Alternatives implementation compliance plan (AICP). An AICP shall be submitted no later than 4½ years after permit issuance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results of the investigation detailed in the alternatives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any feasible and affordable alternative(s) that will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of the time necessary to implement the alternative(s);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updated 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DC compliance schedule—second part. </w:t>
      </w:r>
      <w:r>
        <w:rPr>
          <w:rFonts w:ascii="Times New Roman" w:hAnsi="Times New Roman"/>
          <w:b w:val="false"/>
          <w:i w:val="false"/>
          <w:color w:val="000000"/>
          <w:sz w:val="22"/>
        </w:rPr>
        <w:t>If the entity or community continues to qualify as disadvantaged according to the DCM evaluation of the DCA submitted with the AICP, the entity or community may receive a second compliance schedule as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AICP schedule. </w:t>
      </w:r>
      <w:r>
        <w:rPr>
          <w:rFonts w:ascii="Times New Roman" w:hAnsi="Times New Roman"/>
          <w:b w:val="false"/>
          <w:i w:val="false"/>
          <w:color w:val="000000"/>
          <w:sz w:val="22"/>
        </w:rPr>
        <w:t>If the AICP proposes an implementation schedule, the proposed schedule shall be included in the community’s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Future compliance plan (FCP). </w:t>
      </w:r>
      <w:r>
        <w:rPr>
          <w:rFonts w:ascii="Times New Roman" w:hAnsi="Times New Roman"/>
          <w:b w:val="false"/>
          <w:i w:val="false"/>
          <w:color w:val="000000"/>
          <w:sz w:val="22"/>
        </w:rPr>
        <w:t>The submittal of an FCP will be necessary only if the AICP concludes that the DC cannot feasibly implement any alternatives and if the community is still disadvantaged according to the DCM evaluation of the DCA submitted with the AICP. An FCP shall be submitted no later than three years after permit issuance. A compliance schedule requiring an FCP shall also require annual progress reports, including an updated DCA. If a DCM evaluation determines that an entity or community is no longer disadvantaged based on the most recent DCA, the NPDES permit may be amended to change the compliance schedule. An FCP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 how the DC will meet the applicable federal or state regulations or an order of the department and the period necessary to do so,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the types of technology capable of treating the pollutant of concern and the costs of installing and operating each technology. All technically feasible alternatives shall be explored.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extension. </w:t>
      </w:r>
      <w:r>
        <w:rPr>
          <w:rFonts w:ascii="Times New Roman" w:hAnsi="Times New Roman"/>
          <w:b w:val="false"/>
          <w:i w:val="false"/>
          <w:color w:val="000000"/>
          <w:sz w:val="22"/>
        </w:rPr>
        <w:t>The second part of a DC compliance schedule may be extended at the director’s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schedules issued in accordance with this subrule shall comply with </w:t>
      </w:r>
      <w:hyperlink r:id="rId107">
        <w:r>
          <w:rPr>
            <w:rStyle w:val="Hyperlink"/>
            <w:rFonts w:ascii="Times New Roman" w:hAnsi="Times New Roman"/>
            <w:b w:val="false"/>
            <w:i w:val="false"/>
            <w:color w:val="000000"/>
            <w:sz w:val="22"/>
          </w:rPr>
          <w:t>60.7(4)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60.7(6)</w:t>
      </w:r>
      <w:r>
        <w:rPr>
          <w:rFonts w:ascii="Times New Roman" w:hAnsi="Times New Roman"/>
          <w:b w:val="false"/>
          <w:i w:val="false"/>
          <w:color w:val="000000"/>
          <w:sz w:val="22"/>
        </w:rPr>
        <w:t> </w:t>
      </w:r>
      <w:r>
        <w:rPr>
          <w:rFonts w:ascii="Times New Roman" w:hAnsi="Times New Roman"/>
          <w:b w:val="false"/>
          <w:i/>
          <w:color w:val="000000"/>
          <w:sz w:val="22"/>
        </w:rPr>
        <w:t xml:space="preserve">Disadvantaged unsewered communities (DUCs). </w:t>
      </w:r>
      <w:r>
        <w:rPr>
          <w:rFonts w:ascii="Times New Roman" w:hAnsi="Times New Roman"/>
          <w:b w:val="false"/>
          <w:i w:val="false"/>
          <w:color w:val="000000"/>
          <w:sz w:val="22"/>
        </w:rPr>
        <w:t>If compliance with applicable federal or state regulations or an order of the department will result in SWESI to the ratepayers of an unsewered community, the director may negotiate a compliance agreement that will result in an improvement of water quality and reasonable progress toward complying with the applicable regulations but does not result in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DUC status. </w:t>
      </w:r>
      <w:r>
        <w:rPr>
          <w:rFonts w:ascii="Times New Roman" w:hAnsi="Times New Roman"/>
          <w:b w:val="false"/>
          <w:i w:val="false"/>
          <w:color w:val="000000"/>
          <w:sz w:val="22"/>
        </w:rPr>
        <w:t xml:space="preserve">The director shall find that an unsewered community is a DUC according to Iowa Code section </w:t>
      </w:r>
      <w:hyperlink r:id="rId108">
        <w:r>
          <w:rPr>
            <w:rStyle w:val="Hyperlink"/>
            <w:rFonts w:ascii="Times New Roman" w:hAnsi="Times New Roman"/>
            <w:b w:val="false"/>
            <w:i w:val="false"/>
            <w:color w:val="000000"/>
            <w:sz w:val="22"/>
          </w:rPr>
          <w:t>455B.199B(3)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DUC analysis (DUCA).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unsewered community must submit a DUCA to the director to be considered for DUC status. Only unsewered communities may submit a DUCA under this subrule. For the purposes of this subrule, an unsewered community is defined as a grouping of ten or more residential houses with a density of one house or more per acre and with either no wastewater treatment or inadequate wastewater treatment. An entity defined in </w:t>
      </w:r>
      <w:r>
        <w:rPr>
          <w:rFonts w:ascii="Times New Roman" w:hAnsi="Times New Roman"/>
          <w:b w:val="false"/>
          <w:i w:val="false"/>
          <w:color w:val="000000"/>
          <w:sz w:val="22"/>
        </w:rPr>
        <w:t>60.1(2)</w:t>
      </w:r>
      <w:r>
        <w:rPr>
          <w:rFonts w:ascii="Times New Roman" w:hAnsi="Times New Roman"/>
          <w:b w:val="false"/>
          <w:i w:val="false"/>
          <w:color w:val="000000"/>
          <w:sz w:val="22"/>
        </w:rPr>
        <w:t xml:space="preserve"> as a PSDS may not submit a DUCA or qualify for a DUC compliance agreement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unsewered community may submit a DUCA to the director prior to the issuance of or amendment to an administrative order with requirements that could result in SWESI and that are based on applicable federal or state regulations or an order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DUCA contents. </w:t>
      </w:r>
      <w:r>
        <w:rPr>
          <w:rFonts w:ascii="Times New Roman" w:hAnsi="Times New Roman"/>
          <w:b w:val="false"/>
          <w:i w:val="false"/>
          <w:color w:val="000000"/>
          <w:sz w:val="22"/>
        </w:rPr>
        <w:t>A DUCA must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TAPC as defined in </w:t>
      </w:r>
      <w:hyperlink r:id="rId109">
        <w:r>
          <w:rPr>
            <w:rStyle w:val="Hyperlink"/>
            <w:rFonts w:ascii="Times New Roman" w:hAnsi="Times New Roman"/>
            <w:b w:val="false"/>
            <w:i w:val="false"/>
            <w:color w:val="000000"/>
            <w:sz w:val="22"/>
          </w:rPr>
          <w:t>60.7(6)</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households in the unsewered community and source of household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amount of any awarded grant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MHI or ratepayer income information. If no MHI information is available for the unsewered community, the community should conduct a rate survey to determine the MHI;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unsewered community believes that compliance with the proposed requirements will result in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Definition of total annual project costs (TAPC). </w:t>
      </w:r>
      <w:r>
        <w:rPr>
          <w:rFonts w:ascii="Times New Roman" w:hAnsi="Times New Roman"/>
          <w:b w:val="false"/>
          <w:i w:val="false"/>
          <w:color w:val="000000"/>
          <w:sz w:val="22"/>
        </w:rPr>
        <w:t>“Total annual project costs” means the future costs of proposed wastewater system installation or improvements that will meet or exceed all applicable federal or state regulations or requirements of an order of the department. The TAPC shall include the proposed facility O&amp;M costs and the proposed debt of the system as expressed in the proposed sewer rates. The costs shall be amortized over a 30-year loan period at an interest rate equal to the current state revolving fund interest rate. Awarded grant funding must be subtracted from the TAPC.</w:t>
      </w:r>
    </w:p>
    <w:p>
      <w:pPr>
        <w:spacing w:before="0" w:after="0"/>
        <w:ind w:left="120"/>
        <w:jc w:val="both"/>
      </w:pPr>
      <w:r>
        <w:rPr>
          <w:rFonts w:ascii="Times New Roman" w:hAnsi="Times New Roman"/>
          <w:b w:val="false"/>
          <w:i w:val="false"/>
          <w:color w:val="000000"/>
          <w:sz w:val="22"/>
        </w:rPr>
        <w:t>The TAPC formula for an unsewered community is: TAPC = [(Estimated costs to design and build proposed project - Awarded grant funding) amortized over 30 years] + Future annual O&amp;M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DUC matrix (DUCM). </w:t>
      </w:r>
      <w:r>
        <w:rPr>
          <w:rFonts w:ascii="Times New Roman" w:hAnsi="Times New Roman"/>
          <w:b w:val="false"/>
          <w:i w:val="false"/>
          <w:color w:val="000000"/>
          <w:sz w:val="22"/>
        </w:rPr>
        <w:t>Upon receipt of a complete DUCA, the director shall use the DUCM to evaluate the disadvantaged status of an unsewered community. An unsewered community shall be considered a DUC if the point total derived from the DUCM is equal to or greater than 10. The following data sources shall be used to derive the point total in the DUCM: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TAPC and number of households in the unsewered community, as stated in the DUCA;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MHI of the unsewered community as found in the most recent American Community Survey or United States Census or as stated in an income survey conducted by the unsewered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unemployment rate of the local county and of the state as found in the most recent Iowa Workforce Information Network unemployment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Ratio and determination. </w:t>
      </w:r>
      <w:r>
        <w:rPr>
          <w:rFonts w:ascii="Times New Roman" w:hAnsi="Times New Roman"/>
          <w:b w:val="false"/>
          <w:i w:val="false"/>
          <w:color w:val="000000"/>
          <w:sz w:val="22"/>
        </w:rPr>
        <w:t xml:space="preserve">The director shall not require installation of a wastewater DS by an unsewered community if the director determines that such installation would create SWESI, in accordance with Iowa Code section </w:t>
      </w:r>
      <w:hyperlink r:id="rId110">
        <w:r>
          <w:rPr>
            <w:rStyle w:val="Hyperlink"/>
            <w:rFonts w:ascii="Times New Roman" w:hAnsi="Times New Roman"/>
            <w:b w:val="false"/>
            <w:i w:val="false"/>
            <w:color w:val="000000"/>
            <w:sz w:val="22"/>
          </w:rPr>
          <w:t>455B.199B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ratio of TAPC per household to MHI shall be calculated in the DUCM as follows: the TAPC shall be divided by the number of households to obtain the costs per household, and the costs per household shall be divided by the MHI to obtain the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ratio of compliance costs to MHI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 percent, the unsewered community is not considered disadvantaged.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2 percent, the unsewered community is considered a DUC.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1 percent and less than 2 percent, the director shall use the point total in the DUCM to determine if the unsewered community is disadvantaged.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DUC compliance agreement. </w:t>
      </w:r>
      <w:r>
        <w:rPr>
          <w:rFonts w:ascii="Times New Roman" w:hAnsi="Times New Roman"/>
          <w:b w:val="false"/>
          <w:i w:val="false"/>
          <w:color w:val="000000"/>
          <w:sz w:val="22"/>
        </w:rPr>
        <w:t>A compliance agreement negotiated with a DUC as a result of SWESI shall require the unsewered community to submit an alternatives report and an AICP.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Alternatives report. An alternatives report shall be submitted no later than two years after a DUC determination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 the alternative pollution control measures that will be investigated and contain an examination of all other appropriate measures that may achieve compliance with the WQS without creating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 which measures will be evaluated for feasibility and affordability after the report submittal;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plan for pursuing funding options, including grants and low-interest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Alternatives implementation compliance plan (AICP). An AICP shall be submitted no later than 4½ years after a DUC determination. An AICP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results of the investigation detailed in the alternatives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any feasible and affordable alternative(s) that will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of the time necessary to implement the alternative(s),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updated DUCA.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AICP schedule. If the AICP proposes an implementation schedule of one or more feasible alternatives, the proposed schedule shall be included in an administrative order between the department and the unsewered community. If the feasible alternative that will be implemented requires a construction, operation, or NPDES permit, the unsewered community shall comply with the rules regarding those permits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Future compliance plan (FCP). The submittal of an FCP will be necessary only if the AICP concludes that the unsewered community cannot feasibly implement any alternatives and if the community is still disadvantaged according to the DUCM evaluation of the DUCA submitted with the AICP. An FCP shall be submitted no later than seven years after a DUC determination. An administrative order requiring an FCP shall also require the submittal of biennial progress reports containing an updated DUCA. If the DUCM evaluation determines that an unsewered community is no longer disadvantaged based on the most recent DUCA, the order may be amended at the director’s discretion. An FCP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 how the unsewered community will meet the WQS and the period necessary to do so;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the types of technology capable of treating the pollutant of concern and the costs of installing and operating each type of technology. All technically feasible alternatives shall be explored.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w:t>
      </w:r>
      <w:r>
        <w:rPr>
          <w:rFonts w:ascii="Times New Roman" w:hAnsi="Times New Roman"/>
          <w:b w:val="false"/>
          <w:i w:val="false"/>
          <w:color w:val="000000"/>
          <w:sz w:val="22"/>
        </w:rPr>
        <w:t> </w:t>
      </w:r>
      <w:r>
        <w:rPr>
          <w:rFonts w:ascii="Times New Roman" w:hAnsi="Times New Roman"/>
          <w:b w:val="false"/>
          <w:i/>
          <w:color w:val="000000"/>
          <w:sz w:val="22"/>
        </w:rPr>
        <w:t xml:space="preserve">Other terms and conditions of NPDES permits. </w:t>
      </w:r>
      <w:r>
        <w:rPr>
          <w:rFonts w:ascii="Times New Roman" w:hAnsi="Times New Roman"/>
          <w:b w:val="false"/>
          <w:i w:val="false"/>
          <w:color w:val="000000"/>
          <w:sz w:val="22"/>
        </w:rPr>
        <w:t>Each NPDES permit shall provide for and ensure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all discharges authorized by the NPDES permit shall be consistent with the terms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facility expansions, production increases, or process modifications that result in new or increased pollutant discharges will be reported by submission of a new permit application or, if such discharge does not violate effluent limitations specified in the NPDES permit, by submission to the director of notice of such new or increased discharges of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discharge of any pollutant more frequently than or at a level in excess of that identified and authorized by the permit shall constitute a violation of the terms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if the terms and conditions of a GP are no longer applicable to a discharge, the applicant shall apply for an individual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permit may be amended, revoked and reissued, or terminated in whole or in part for the causes provided in </w:t>
      </w:r>
      <w:hyperlink r:id="rId111">
        <w:r>
          <w:rPr>
            <w:rStyle w:val="Hyperlink"/>
            <w:rFonts w:ascii="Times New Roman" w:hAnsi="Times New Roman"/>
            <w:b w:val="false"/>
            <w:i w:val="false"/>
            <w:color w:val="000000"/>
            <w:sz w:val="22"/>
          </w:rPr>
          <w:t>60.3(6)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permittee allows for facility inspection and entry pursuant to </w:t>
      </w:r>
      <w:r>
        <w:rPr>
          <w:rFonts w:ascii="Times New Roman" w:hAnsi="Times New Roman"/>
          <w:b w:val="false"/>
          <w:i w:val="false"/>
          <w:color w:val="000000"/>
          <w:sz w:val="22"/>
        </w:rPr>
        <w:t>40 CFR §122.41(i)</w:t>
      </w:r>
      <w:r>
        <w:rPr>
          <w:rFonts w:ascii="Times New Roman" w:hAnsi="Times New Roman"/>
          <w:b w:val="false"/>
          <w:i w:val="false"/>
          <w:color w:val="000000"/>
          <w:sz w:val="22"/>
        </w:rPr>
        <w:t>, which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if the permit is for a discharge from a POTW, the permittee shall provide notice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180 days in advance of any new introduction of pollutants into the POTW from a new source if such source was discharging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days in advance of any substantial change in the volume or character of pollutants being introduced into the POTW by a source introducing pollutants into the POTW at the time of permit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112">
        <w:r>
          <w:rPr>
            <w:rStyle w:val="Hyperlink"/>
            <w:rFonts w:ascii="Times New Roman" w:hAnsi="Times New Roman"/>
            <w:b w:val="false"/>
            <w:i w:val="false"/>
            <w:color w:val="000000"/>
            <w:sz w:val="22"/>
          </w:rPr>
          <w:t>60.3(3)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Such notice shall include information on the quality and quantity of effluent to be introduced into the POTW and any anticipated impact of such change on the quantity or quality of effluent to be discharged from the POTW.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That, if the permit is for a discharge from a POTW, the permittee shall require any industrial user to comply with the requirements of Sections 204(b), 307, and 308 of the CWA.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facility is properly operated and maintained pursuant to </w:t>
      </w:r>
      <w:r>
        <w:rPr>
          <w:rFonts w:ascii="Times New Roman" w:hAnsi="Times New Roman"/>
          <w:b w:val="false"/>
          <w:i w:val="false"/>
          <w:color w:val="000000"/>
          <w:sz w:val="22"/>
        </w:rPr>
        <w:t>40 CFR §122.41(e)</w:t>
      </w:r>
      <w:r>
        <w:rPr>
          <w:rFonts w:ascii="Times New Roman" w:hAnsi="Times New Roman"/>
          <w:b w:val="false"/>
          <w:i w:val="false"/>
          <w:color w:val="000000"/>
          <w:sz w:val="22"/>
        </w:rPr>
        <w:t>, which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permit will be modified upon the establishment of a toxic effluent standard or prohibition pursuant to </w:t>
      </w:r>
      <w:r>
        <w:rPr>
          <w:rFonts w:ascii="Times New Roman" w:hAnsi="Times New Roman"/>
          <w:b w:val="false"/>
          <w:i w:val="false"/>
          <w:color w:val="000000"/>
          <w:sz w:val="22"/>
        </w:rPr>
        <w:t>40 CFR §122.44(b)</w:t>
      </w:r>
      <w:r>
        <w:rPr>
          <w:rFonts w:ascii="Times New Roman" w:hAnsi="Times New Roman"/>
          <w:b w:val="false"/>
          <w:i w:val="false"/>
          <w:color w:val="000000"/>
          <w:sz w:val="22"/>
        </w:rPr>
        <w:t>(1), which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That the permittee shall take all reasonable steps to minimize or prevent any discharge in violation of the permit that has a reasonable likelihood of adversely affecting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need to halt or reduce the permitted activity is not a defense in an enforcement action pursuant to </w:t>
      </w:r>
      <w:r>
        <w:rPr>
          <w:rFonts w:ascii="Times New Roman" w:hAnsi="Times New Roman"/>
          <w:b w:val="false"/>
          <w:i w:val="false"/>
          <w:color w:val="000000"/>
          <w:sz w:val="22"/>
        </w:rPr>
        <w:t>40 CFR §122.41(c)</w:t>
      </w:r>
      <w:r>
        <w:rPr>
          <w:rFonts w:ascii="Times New Roman" w:hAnsi="Times New Roman"/>
          <w:b w:val="false"/>
          <w:i w:val="false"/>
          <w:color w:val="000000"/>
          <w:sz w:val="22"/>
        </w:rPr>
        <w:t>, which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w:t>
      </w:r>
      <w:r>
        <w:rPr>
          <w:rFonts w:ascii="Times New Roman" w:hAnsi="Times New Roman"/>
          <w:b w:val="false"/>
          <w:i w:val="false"/>
          <w:color w:val="000000"/>
          <w:sz w:val="22"/>
        </w:rPr>
        <w:t> </w:t>
      </w:r>
      <w:r>
        <w:rPr>
          <w:rFonts w:ascii="Times New Roman" w:hAnsi="Times New Roman"/>
          <w:b w:val="false"/>
          <w:i/>
          <w:color w:val="000000"/>
          <w:sz w:val="22"/>
        </w:rPr>
        <w:t xml:space="preserve">POTW compliance—plan of action (POA). </w:t>
      </w:r>
      <w:r>
        <w:rPr>
          <w:rFonts w:ascii="Times New Roman" w:hAnsi="Times New Roman"/>
          <w:b w:val="false"/>
          <w:i w:val="false"/>
          <w:color w:val="000000"/>
          <w:sz w:val="22"/>
        </w:rPr>
        <w:t>The owner of a POTW must prepare and implement a POA to achieve and maintain compliance with final effluent limitations in its NPDES permit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notify a POTW owner of the POA requirement and of an opportunity to meet with department staff to discuss the plan requirements. The POTW owner shall submit the POA to the appropriate regional department field office within six months of such notice unless a longer time is needed and is authorized in writing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POA must identify the deficiencies and needs of the system, describe the causes of such deficiencies or needs, propose specific measures and a schedule to correct the deficiencies or meet the needs, and discuss the method of financing the proposed improvements. A POA may include the submittal of a DCA in accordance with </w:t>
      </w:r>
      <w:hyperlink r:id="rId113">
        <w:r>
          <w:rPr>
            <w:rStyle w:val="Hyperlink"/>
            <w:rFonts w:ascii="Times New Roman" w:hAnsi="Times New Roman"/>
            <w:b w:val="false"/>
            <w:i w:val="false"/>
            <w:color w:val="000000"/>
            <w:sz w:val="22"/>
          </w:rPr>
          <w:t>60.7(5)</w:t>
        </w:r>
      </w:hyperlink>
      <w:r>
        <w:rPr>
          <w:rFonts w:ascii="Times New Roman" w:hAnsi="Times New Roman"/>
          <w:b w:val="false"/>
          <w:i w:val="false"/>
          <w:color w:val="000000"/>
          <w:sz w:val="22"/>
        </w:rPr>
        <w:t xml:space="preserve"> or may provide for a phased construction approach to meet interim and final limitations.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1 (Iowa Code sections </w:t>
      </w:r>
      <w:hyperlink r:id="rId115">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through </w:t>
      </w:r>
      <w:hyperlink r:id="rId116">
        <w:r>
          <w:rPr>
            <w:rStyle w:val="Hyperlink"/>
            <w:rFonts w:ascii="Times New Roman" w:hAnsi="Times New Roman"/>
            <w:b w:val="false"/>
            <w:i w:val="false"/>
            <w:color w:val="000000"/>
            <w:sz w:val="22"/>
          </w:rPr>
          <w:t>455B.187</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455B.199B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567—60.8</w:t>
      </w:r>
      <w:r>
        <w:rPr>
          <w:rFonts w:ascii="Times New Roman" w:hAnsi="Times New Roman"/>
          <w:b/>
          <w:i w:val="false"/>
          <w:color w:val="000000"/>
          <w:sz w:val="22"/>
        </w:rPr>
        <w:t xml:space="preserve">(455B) </w:t>
      </w:r>
      <w:r>
        <w:rPr>
          <w:rFonts w:ascii="Times New Roman" w:hAnsi="Times New Roman"/>
          <w:b/>
          <w:i w:val="false"/>
          <w:color w:val="000000"/>
          <w:sz w:val="22"/>
        </w:rPr>
        <w:t xml:space="preserve">Reissuance of operation and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color w:val="000000"/>
          <w:sz w:val="22"/>
        </w:rPr>
        <w:t xml:space="preserve">Individual operation and NPDES permit reissuance. </w:t>
      </w:r>
      <w:r>
        <w:rPr>
          <w:rFonts w:ascii="Times New Roman" w:hAnsi="Times New Roman"/>
          <w:b w:val="false"/>
          <w:i w:val="false"/>
          <w:color w:val="000000"/>
          <w:sz w:val="22"/>
        </w:rPr>
        <w:t xml:space="preserve">Any operation or NPDES permittee who wishes to continue to discharge after the expiration date of the permit shall file an application for reissuance pursuant to </w:t>
      </w:r>
      <w:hyperlink r:id="rId118">
        <w:r>
          <w:rPr>
            <w:rStyle w:val="Hyperlink"/>
            <w:rFonts w:ascii="Times New Roman" w:hAnsi="Times New Roman"/>
            <w:b w:val="false"/>
            <w:i w:val="false"/>
            <w:color w:val="000000"/>
            <w:sz w:val="22"/>
          </w:rPr>
          <w:t>60.3(2)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color w:val="000000"/>
          <w:sz w:val="22"/>
        </w:rPr>
        <w:t xml:space="preserve">Renewal of coverage under a GP. </w:t>
      </w:r>
      <w:r>
        <w:rPr>
          <w:rFonts w:ascii="Times New Roman" w:hAnsi="Times New Roman"/>
          <w:b w:val="false"/>
          <w:i w:val="false"/>
          <w:color w:val="000000"/>
          <w:sz w:val="22"/>
        </w:rPr>
        <w:t>A permittee authorized to discharge under a GP is subject to the permit terms until coverage is obtained under an individual permit or the permitted discharge has ceased and, if required, an NOD is submitted in accordance with the 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permittee continues the activity beyond the expiration date of a GP and the permit will be reissued, the conditions of the expired GP will remain in effect until the effective date of the reissued 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permittee continues the activity beyond the expiration date of a GP and the permit will not be reissued or renewed, the discharge must be permitted with an individual NPDES permit in accordance with </w:t>
      </w:r>
      <w:r>
        <w:rPr>
          <w:rFonts w:ascii="Times New Roman" w:hAnsi="Times New Roman"/>
          <w:b w:val="false"/>
          <w:i w:val="false"/>
          <w:color w:val="000000"/>
          <w:sz w:val="22"/>
        </w:rPr>
        <w:t>60.3(2)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expiring operation and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conditions of an expired operation or NPDES permit will continue in force until the effective date of a new permit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permittee has submitted a timely and complete application under </w:t>
      </w:r>
      <w:hyperlink r:id="rId119">
        <w:r>
          <w:rPr>
            <w:rStyle w:val="Hyperlink"/>
            <w:rFonts w:ascii="Times New Roman" w:hAnsi="Times New Roman"/>
            <w:b w:val="false"/>
            <w:i w:val="false"/>
            <w:color w:val="000000"/>
            <w:sz w:val="22"/>
          </w:rPr>
          <w:t>60.3(2)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issue a new permit with an effective date on or before the expiration date of the previous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Operation and NPDES permits continued under this subrule remain fully effective and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permittee is not in compliance with the conditions of the expiring or continued permit, the department may choose to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Initiate enforcement action on a permit that has been continued or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 notice of intent to deny a permit under </w:t>
      </w:r>
      <w:hyperlink r:id="rId120">
        <w:r>
          <w:rPr>
            <w:rStyle w:val="Hyperlink"/>
            <w:rFonts w:ascii="Times New Roman" w:hAnsi="Times New Roman"/>
            <w:b w:val="false"/>
            <w:i w:val="false"/>
            <w:color w:val="000000"/>
            <w:sz w:val="22"/>
          </w:rPr>
          <w:t>60.5(3)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Reissue a permit with appropriate conditions in accordance with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Take other actions authorized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567—60.9</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recordkeeping and reporting by operation permit holders. </w:t>
      </w:r>
      <w:r>
        <w:rPr>
          <w:rFonts w:ascii="Times New Roman" w:hAnsi="Times New Roman"/>
          <w:b w:val="false"/>
          <w:i w:val="false"/>
          <w:color w:val="000000"/>
          <w:sz w:val="22"/>
        </w:rPr>
        <w:t xml:space="preserve">Operation permit holders are subject to the applicable requirements and provisions specified in </w:t>
      </w:r>
      <w:hyperlink r:id="rId121">
        <w:r>
          <w:rPr>
            <w:rStyle w:val="Hyperlink"/>
            <w:rFonts w:ascii="Times New Roman" w:hAnsi="Times New Roman"/>
            <w:b w:val="false"/>
            <w:i w:val="false"/>
            <w:color w:val="000000"/>
            <w:sz w:val="22"/>
          </w:rPr>
          <w:t>567—Chapter 63</w:t>
        </w:r>
      </w:hyperlink>
      <w:r>
        <w:rPr>
          <w:rFonts w:ascii="Times New Roman" w:hAnsi="Times New Roman"/>
          <w:b w:val="false"/>
          <w:i w:val="false"/>
          <w:color w:val="000000"/>
          <w:sz w:val="22"/>
        </w:rPr>
        <w:t xml:space="preserve"> and those specified in the operation permit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567—60.10</w:t>
      </w:r>
      <w:r>
        <w:rPr>
          <w:rFonts w:ascii="Times New Roman" w:hAnsi="Times New Roman"/>
          <w:b/>
          <w:i w:val="false"/>
          <w:color w:val="000000"/>
          <w:sz w:val="22"/>
        </w:rPr>
        <w:t xml:space="preserve">(455B) </w:t>
      </w:r>
      <w:r>
        <w:rPr>
          <w:rFonts w:ascii="Times New Roman" w:hAnsi="Times New Roman"/>
          <w:b/>
          <w:i w:val="false"/>
          <w:color w:val="000000"/>
          <w:sz w:val="22"/>
        </w:rPr>
        <w:t xml:space="preserve">Silvicultural activities. </w:t>
      </w:r>
      <w:r>
        <w:rPr>
          <w:rFonts w:ascii="Times New Roman" w:hAnsi="Times New Roman"/>
          <w:b w:val="false"/>
          <w:i w:val="false"/>
          <w:color w:val="000000"/>
          <w:sz w:val="22"/>
        </w:rPr>
        <w:t xml:space="preserve">The following is adopted by reference: </w:t>
      </w:r>
      <w:r>
        <w:rPr>
          <w:rFonts w:ascii="Times New Roman" w:hAnsi="Times New Roman"/>
          <w:b w:val="false"/>
          <w:i w:val="false"/>
          <w:color w:val="000000"/>
          <w:sz w:val="22"/>
        </w:rPr>
        <w:t>40 CFR §122.27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567—60.11</w:t>
      </w:r>
      <w:r>
        <w:rPr>
          <w:rFonts w:ascii="Times New Roman" w:hAnsi="Times New Roman"/>
          <w:b/>
          <w:i w:val="false"/>
          <w:color w:val="000000"/>
          <w:sz w:val="22"/>
        </w:rPr>
        <w:t xml:space="preserve">(455B) </w:t>
      </w:r>
      <w:r>
        <w:rPr>
          <w:rFonts w:ascii="Times New Roman" w:hAnsi="Times New Roman"/>
          <w:b/>
          <w:i w:val="false"/>
          <w:color w:val="000000"/>
          <w:sz w:val="22"/>
        </w:rPr>
        <w:t xml:space="preserve">Stormwater discharges.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w:t>
      </w:r>
      <w:r>
        <w:rPr>
          <w:rFonts w:ascii="Times New Roman" w:hAnsi="Times New Roman"/>
          <w:b w:val="false"/>
          <w:i w:val="false"/>
          <w:color w:val="000000"/>
          <w:sz w:val="22"/>
        </w:rPr>
        <w:t> </w:t>
      </w:r>
      <w:r>
        <w:rPr>
          <w:rFonts w:ascii="Times New Roman" w:hAnsi="Times New Roman"/>
          <w:b w:val="false"/>
          <w:i w:val="false"/>
          <w:color w:val="000000"/>
          <w:sz w:val="22"/>
        </w:rPr>
        <w:t>The following are adopted by reference: 40 CFR §§122.26, 122.32, 122.33, 122.34, and 122.35.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60.11(2)</w:t>
      </w:r>
      <w:r>
        <w:rPr>
          <w:rFonts w:ascii="Times New Roman" w:hAnsi="Times New Roman"/>
          <w:b w:val="false"/>
          <w:i w:val="false"/>
          <w:color w:val="000000"/>
          <w:sz w:val="22"/>
        </w:rPr>
        <w:t> </w:t>
      </w:r>
      <w:r>
        <w:rPr>
          <w:rFonts w:ascii="Times New Roman" w:hAnsi="Times New Roman"/>
          <w:b w:val="false"/>
          <w:i w:val="false"/>
          <w:color w:val="000000"/>
          <w:sz w:val="22"/>
        </w:rPr>
        <w:t>Small municipal separate storm sewer systems (MS4s).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municipal MS4s that are not qualified as medium or large MS4s, in accordance with </w:t>
      </w:r>
      <w:r>
        <w:rPr>
          <w:rFonts w:ascii="Times New Roman" w:hAnsi="Times New Roman"/>
          <w:b w:val="false"/>
          <w:i w:val="false"/>
          <w:color w:val="000000"/>
          <w:sz w:val="22"/>
        </w:rPr>
        <w:t>40 CFR §122.26</w:t>
      </w:r>
      <w:r>
        <w:rPr>
          <w:rFonts w:ascii="Times New Roman" w:hAnsi="Times New Roman"/>
          <w:b w:val="false"/>
          <w:i w:val="false"/>
          <w:color w:val="000000"/>
          <w:sz w:val="22"/>
        </w:rPr>
        <w:t>, are considered regulated small MS4s: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MS4s located in urban areas with a population of at least 50,000 people as defined by the latest decennial census,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MS4s located outside urbanized areas that serve 10,000 people or more where the average population density is 1,000 people/square mile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NPDES permit applications for small MS4s. </w:t>
      </w:r>
      <w:r>
        <w:rPr>
          <w:rFonts w:ascii="Times New Roman" w:hAnsi="Times New Roman"/>
          <w:b w:val="false"/>
          <w:i w:val="false"/>
          <w:color w:val="000000"/>
          <w:sz w:val="22"/>
        </w:rPr>
        <w:t>An NPDES permit application shall be submitted for any discharge from a regulated small MS4 designated under this subrule. The first permit application submitted by a small MS4 shall demonstrate how the applicant will develop, implement, and enforce a stormwater management program designed to reduce the discharge of pollutants from the small MS4 to the maximum extent practicable, in order to protect water quality and to comply with the CWA. Renewal applications shall demonstrate how the existing stormwater management program is being implemented and enforced. An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 the manner in which the permittee will or has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education and outreach on stormwater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involvement and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Illicit discharge detection and elimination;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Construction site stormwater runoff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Post construction stormwater management in new development and redevelopment;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Pollution prevention for municipal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measurable goals that the applicant intends to meet and dates by which the goals will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 coverage waivers for small MS4s.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 coverage for small MS4s located in urbanized areas that serve 1,000 people or more and fewer than 10,000 people may be waived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small MS4 discharges any pollutants of concern that have been identified as a cause of an impairment of any waterbody to which the MS4 discharges, the department has determined that stormwater controls are not needed based on a wasteload allocation that is part of an EPA-approved TMDL that addresses the pollutants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small MS4 discharges any pollutants of concern to an unimpaired waterbody or to a waterbody for which a TMDL has not been approved, the department has determined that stormwater controls are not needed based on an analysis equivalent to a TMDL that determines sources and allocations for the pollutants of concern. The pollutants of concern are BOD, sediment or a parameter that addresses sediment, pathogens, or oil and grease.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that future discharges from the small MS4 do not have the potential to result in exceedances of WQS, including impairments or other significant water quality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coverage for small MS4s located in urbanized areas that serve fewer than 1,000 people may be waived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small MS4 discharges any pollutants of concern that have been identified as a cause of an impairment of any waterbody to which the MS4 discharges, the department has determined that stormwater controls are not needed based on a wasteload allocation that is a part of an EPA-approved TMDL that addresses the pollutants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is not contributing substantially to the pollutant loadings of a physically interconnected MS4 that is regulated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Permit coverage for small MS4s located outside of urbanized areas that serve 10,000 people or more where the average population density is 1,000 people/square mile or more may be waived if the MS4 is not discharging pollutants that are the cause of an impairment of any waterbody to which the MS4 discharges.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conditions under which a waiver was granted change, the waiver may be rescinded by the department and permit coverage may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567—60.12</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of title and owner or operator address change.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60.12(1)</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If title to any DS or part thereof for which a permit has been issued under this chapter is transferred, the new owner or owners shall be subject to all terms and conditions of the permit. Whenever title to a DS or part thereof is changed, the department shall be notified in writing of such change within 30 days of the occurrence. No transfer of the authorization to discharge from the facility represented by the permit shall take place prior to notification of the department of the transfer of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60.12(2)</w:t>
      </w:r>
      <w:r>
        <w:rPr>
          <w:rFonts w:ascii="Times New Roman" w:hAnsi="Times New Roman"/>
          <w:b w:val="false"/>
          <w:i w:val="false"/>
          <w:color w:val="000000"/>
          <w:sz w:val="22"/>
        </w:rPr>
        <w:t> </w:t>
      </w:r>
      <w:r>
        <w:rPr>
          <w:rFonts w:ascii="Times New Roman" w:hAnsi="Times New Roman"/>
          <w:b w:val="false"/>
          <w:i/>
          <w:color w:val="000000"/>
          <w:sz w:val="22"/>
        </w:rPr>
        <w:t xml:space="preserve">Address change. </w:t>
      </w:r>
      <w:r>
        <w:rPr>
          <w:rFonts w:ascii="Times New Roman" w:hAnsi="Times New Roman"/>
          <w:b w:val="false"/>
          <w:i w:val="false"/>
          <w:color w:val="000000"/>
          <w:sz w:val="22"/>
        </w:rPr>
        <w:t>Whenever the address of the owner is changed, the department shall be notified in writing within 30 days of the address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Rules </w:t>
      </w:r>
      <w:hyperlink r:id="rId122">
        <w:r>
          <w:rPr>
            <w:rStyle w:val="Hyperlink"/>
            <w:rFonts w:ascii="Times New Roman" w:hAnsi="Times New Roman"/>
            <w:b w:val="false"/>
            <w:i w:val="false"/>
            <w:color w:val="000000"/>
            <w:sz w:val="22"/>
          </w:rPr>
          <w:t>567—60.3</w:t>
        </w:r>
      </w:hyperlink>
      <w:r>
        <w:rPr>
          <w:rFonts w:ascii="Times New Roman" w:hAnsi="Times New Roman"/>
          <w:b w:val="false"/>
          <w:i w:val="false"/>
          <w:color w:val="000000"/>
          <w:sz w:val="22"/>
        </w:rPr>
        <w:t xml:space="preserve">(455B) through </w:t>
      </w:r>
      <w:hyperlink r:id="rId123">
        <w:r>
          <w:rPr>
            <w:rStyle w:val="Hyperlink"/>
            <w:rFonts w:ascii="Times New Roman" w:hAnsi="Times New Roman"/>
            <w:b w:val="false"/>
            <w:i w:val="false"/>
            <w:color w:val="000000"/>
            <w:sz w:val="22"/>
          </w:rPr>
          <w:t>567—60.12</w:t>
        </w:r>
      </w:hyperlink>
      <w:r>
        <w:rPr>
          <w:rFonts w:ascii="Times New Roman" w:hAnsi="Times New Roman"/>
          <w:b w:val="false"/>
          <w:i w:val="false"/>
          <w:color w:val="000000"/>
          <w:sz w:val="22"/>
        </w:rPr>
        <w:t xml:space="preserve">(455B) are intended to implement Iowa Code section </w:t>
      </w:r>
      <w:hyperlink r:id="rId124">
        <w:r>
          <w:rPr>
            <w:rStyle w:val="Hyperlink"/>
            <w:rFonts w:ascii="Times New Roman" w:hAnsi="Times New Roman"/>
            <w:b w:val="false"/>
            <w:i w:val="false"/>
            <w:color w:val="000000"/>
            <w:sz w:val="22"/>
          </w:rPr>
          <w:t>455B.173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567—60.13</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permits (GPs) issued by the department. </w:t>
      </w:r>
      <w:r>
        <w:rPr>
          <w:rFonts w:ascii="Times New Roman" w:hAnsi="Times New Roman"/>
          <w:b w:val="false"/>
          <w:i w:val="false"/>
          <w:color w:val="000000"/>
          <w:sz w:val="22"/>
        </w:rPr>
        <w:t xml:space="preserve">The following is a list of GPs adopted by the department through the Administrative Procedure Act, Iowa Code chapter </w:t>
      </w:r>
      <w:hyperlink r:id="rId1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and the term of each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NPDES General Permit No. 1, effective March 1, 2023, to February 29,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for Construction Activities,” NPDES General Permit No. 2, effective March 1, 2023, to February 29,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60.13(3)</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from Asphalt Plants, Concrete Batch Plants, Rock Crushing Plants, and Construction Sand and Gravel Facilities,” NPDES General Permit No. 3, effective March 1, 2023, to February 29,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60.13(4)</w:t>
      </w:r>
      <w:r>
        <w:rPr>
          <w:rFonts w:ascii="Times New Roman" w:hAnsi="Times New Roman"/>
          <w:b w:val="false"/>
          <w:i w:val="false"/>
          <w:color w:val="000000"/>
          <w:sz w:val="22"/>
        </w:rPr>
        <w:t> </w:t>
      </w:r>
      <w:r>
        <w:rPr>
          <w:rFonts w:ascii="Times New Roman" w:hAnsi="Times New Roman"/>
          <w:b w:val="false"/>
          <w:i w:val="false"/>
          <w:color w:val="000000"/>
          <w:sz w:val="22"/>
        </w:rPr>
        <w:t>“Discharge from Private Sewage Disposal Systems,” NPDES General Permit No. 4, effective March 1, 2023, to February 29,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60.13(5)</w:t>
      </w:r>
      <w:r>
        <w:rPr>
          <w:rFonts w:ascii="Times New Roman" w:hAnsi="Times New Roman"/>
          <w:b w:val="false"/>
          <w:i w:val="false"/>
          <w:color w:val="000000"/>
          <w:sz w:val="22"/>
        </w:rPr>
        <w:t> </w:t>
      </w:r>
      <w:r>
        <w:rPr>
          <w:rFonts w:ascii="Times New Roman" w:hAnsi="Times New Roman"/>
          <w:b w:val="false"/>
          <w:i w:val="false"/>
          <w:color w:val="000000"/>
          <w:sz w:val="22"/>
        </w:rPr>
        <w:t>“Discharge from Mining and Processing Facilities,” NPDES General Permit No. 5,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60.13(6)</w:t>
      </w:r>
      <w:r>
        <w:rPr>
          <w:rFonts w:ascii="Times New Roman" w:hAnsi="Times New Roman"/>
          <w:b w:val="false"/>
          <w:i w:val="false"/>
          <w:color w:val="000000"/>
          <w:sz w:val="22"/>
        </w:rPr>
        <w:t> </w:t>
      </w:r>
      <w:r>
        <w:rPr>
          <w:rFonts w:ascii="Times New Roman" w:hAnsi="Times New Roman"/>
          <w:b w:val="false"/>
          <w:i w:val="false"/>
          <w:color w:val="000000"/>
          <w:sz w:val="22"/>
        </w:rPr>
        <w:t>“Discharge Associated with Well Construction Activities,” NPDES General Permit No. 6,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60.13(7)</w:t>
      </w:r>
      <w:r>
        <w:rPr>
          <w:rFonts w:ascii="Times New Roman" w:hAnsi="Times New Roman"/>
          <w:b w:val="false"/>
          <w:i w:val="false"/>
          <w:color w:val="000000"/>
          <w:sz w:val="22"/>
        </w:rPr>
        <w:t> </w:t>
      </w:r>
      <w:r>
        <w:rPr>
          <w:rFonts w:ascii="Times New Roman" w:hAnsi="Times New Roman"/>
          <w:b w:val="false"/>
          <w:i w:val="false"/>
          <w:color w:val="000000"/>
          <w:sz w:val="22"/>
        </w:rPr>
        <w:t>“Pesticide General Permit (PGP) for Point Source Discharges to Waters of the United States from the Application of Pesticides,” NPDES General Permit No. 7,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60.13(8)</w:t>
      </w:r>
      <w:r>
        <w:rPr>
          <w:rFonts w:ascii="Times New Roman" w:hAnsi="Times New Roman"/>
          <w:b w:val="false"/>
          <w:i w:val="false"/>
          <w:color w:val="000000"/>
          <w:sz w:val="22"/>
        </w:rPr>
        <w:t> </w:t>
      </w:r>
      <w:r>
        <w:rPr>
          <w:rFonts w:ascii="Times New Roman" w:hAnsi="Times New Roman"/>
          <w:b w:val="false"/>
          <w:i w:val="false"/>
          <w:color w:val="000000"/>
          <w:sz w:val="22"/>
        </w:rPr>
        <w:t>“Discharge from Hydrostatic Testing, Tank Ballasting and Water Lines,” NPDES General Permit No. 8,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60.13(9)</w:t>
      </w:r>
      <w:r>
        <w:rPr>
          <w:rFonts w:ascii="Times New Roman" w:hAnsi="Times New Roman"/>
          <w:b w:val="false"/>
          <w:i w:val="false"/>
          <w:color w:val="000000"/>
          <w:sz w:val="22"/>
        </w:rPr>
        <w:t> </w:t>
      </w:r>
      <w:r>
        <w:rPr>
          <w:rFonts w:ascii="Times New Roman" w:hAnsi="Times New Roman"/>
          <w:b w:val="false"/>
          <w:i w:val="false"/>
          <w:color w:val="000000"/>
          <w:sz w:val="22"/>
        </w:rPr>
        <w:t>“Discharge from Dewatering and Residential Geothermal Systems,” NPDES General Permit No. 9, effective July 1, 2023, to June 30, 2028.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567—60.14</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60.14(1)</w:t>
      </w:r>
      <w:r>
        <w:rPr>
          <w:rFonts w:ascii="Times New Roman" w:hAnsi="Times New Roman"/>
          <w:b w:val="false"/>
          <w:i w:val="false"/>
          <w:color w:val="000000"/>
          <w:sz w:val="22"/>
        </w:rPr>
        <w:t> </w:t>
      </w:r>
      <w:r>
        <w:rPr>
          <w:rFonts w:ascii="Times New Roman" w:hAnsi="Times New Roman"/>
          <w:b w:val="false"/>
          <w:i/>
          <w:color w:val="000000"/>
          <w:sz w:val="22"/>
        </w:rPr>
        <w:t xml:space="preserve">Fee types.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and NOI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individual nonstormwater NPDES and operation permits, an application fee must be submitted with the application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authorization under GPs Nos. 1, 2, 3 and 5, an applicant has the option of paying an annual permit fee or a multiyear permit fee when the NOI is submitted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MS4 permits and individual stormwater permits, a one-time, multiyear permit fee must be submitted at the time of application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facility needs coverage under more than one NPDES or operation permit, fees for each permit must be submitted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fees. Certain individual nonstormwater facilities covered by NPDES and operation permits must submit annual fees on a yearly basis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are nontransferable. Failure to submit the appropriate fee at the time of application renders the application incomplete, and the department shall suspend application processing until the fee is received. Failure to submit the appropriate annual fee may result in permit revocation or suspension as noted in </w:t>
      </w:r>
      <w:hyperlink r:id="rId126">
        <w:r>
          <w:rPr>
            <w:rStyle w:val="Hyperlink"/>
            <w:rFonts w:ascii="Times New Roman" w:hAnsi="Times New Roman"/>
            <w:b w:val="false"/>
            <w:i w:val="false"/>
            <w:color w:val="000000"/>
            <w:sz w:val="22"/>
          </w:rPr>
          <w:t>60.3(6)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60.14(2)</w:t>
      </w:r>
      <w:r>
        <w:rPr>
          <w:rFonts w:ascii="Times New Roman" w:hAnsi="Times New Roman"/>
          <w:b w:val="false"/>
          <w:i w:val="false"/>
          <w:color w:val="000000"/>
          <w:sz w:val="22"/>
        </w:rPr>
        <w:t> </w:t>
      </w:r>
      <w:r>
        <w:rPr>
          <w:rFonts w:ascii="Times New Roman" w:hAnsi="Times New Roman"/>
          <w:b w:val="false"/>
          <w:i/>
          <w:color w:val="000000"/>
          <w:sz w:val="22"/>
        </w:rPr>
        <w:t xml:space="preserve">Fee payment. </w:t>
      </w:r>
      <w:r>
        <w:rPr>
          <w:rFonts w:ascii="Times New Roman" w:hAnsi="Times New Roman"/>
          <w:b w:val="false"/>
          <w:i w:val="false"/>
          <w:color w:val="000000"/>
          <w:sz w:val="22"/>
        </w:rPr>
        <w:t>Fees shall be paid by check, credit card, electronic payment, or money order made payable to the “Iowa Department of Natural Resources.” For facilities needing coverage under more than one permit (e.g., general, individual stormwater, individual nonstormwater), separate payments shall be made according to the fee schedule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60.14(3)</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The following fees have been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GP fees. </w:t>
      </w:r>
      <w:r>
        <w:rPr>
          <w:rFonts w:ascii="Times New Roman" w:hAnsi="Times New Roman"/>
          <w:b w:val="false"/>
          <w:i w:val="false"/>
          <w:color w:val="000000"/>
          <w:sz w:val="22"/>
        </w:rPr>
        <w:t>No fees shall be assessed for coverage under GPs not listed in this paragraph. The following fees are applicable to the described GPs: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Storm Water Discharges Associated with Industrial Activity, NPDES General Permit No. 1; Storm Water Discharge Associated with Industrial Activity for Construction Activities, NPDES General Permit No. 2; and Storm Water Discharge Associated with Industrial Activity from Asphalt Plants, Concrete Batch Plants, Rock Crushing Plants, and Construction Sand and Gravel Facilities, NPDES General Permit No. 3.</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Annual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$175 (per year)</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or</w:t>
            </w:r>
          </w:p>
        </w:tc>
      </w:tr>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Five-year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Four-year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$525</w:t>
            </w:r>
          </w:p>
        </w:tc>
      </w:tr>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Three-year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w:t>
            </w:r>
          </w:p>
        </w:tc>
      </w:tr>
    </w:tbl>
    <w:p>
      <w:pPr>
        <w:spacing w:before="0" w:after="0"/>
        <w:ind w:left="120"/>
        <w:jc w:val="both"/>
      </w:pPr>
      <w:r>
        <w:rPr>
          <w:rFonts w:ascii="Times New Roman" w:hAnsi="Times New Roman"/>
          <w:b w:val="false"/>
          <w:i w:val="false"/>
          <w:color w:val="000000"/>
          <w:sz w:val="22"/>
        </w:rPr>
        <w:t>All fees are to be submitted with the NOI.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Discharge from Mining and Processing Facilities, NPDES General Permit No. 5.</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Annual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 (per year)</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or</w:t>
            </w:r>
          </w:p>
        </w:tc>
      </w:tr>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Five-year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Four-year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Three-year permit fee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w:t>
            </w:r>
          </w:p>
        </w:tc>
      </w:tr>
    </w:tbl>
    <w:p>
      <w:pPr>
        <w:spacing w:before="0" w:after="0"/>
        <w:ind w:left="120"/>
        <w:jc w:val="both"/>
      </w:pPr>
      <w:r>
        <w:rPr>
          <w:rFonts w:ascii="Times New Roman" w:hAnsi="Times New Roman"/>
          <w:b w:val="false"/>
          <w:i w:val="false"/>
          <w:color w:val="000000"/>
          <w:sz w:val="22"/>
        </w:rPr>
        <w:t xml:space="preserve"> New facilities seeking GP No. 5 coverage shall submit fees with the NOI. Maximum coverage is for five years. Coverage may also be obtained for four years, three years, or one year as shown in the fee schedule above. Existing facilities shall submit annual fees by August 30 of every year unless a multiyear fee payment was received in an earlier year. In the event a facility is no longer eligible to be covered under GP No. 5, the remainder of the fees previously paid by the facility shall be applied toward its individual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NPDES and operation permit fees. </w:t>
      </w:r>
      <w:r>
        <w:rPr>
          <w:rFonts w:ascii="Times New Roman" w:hAnsi="Times New Roman"/>
          <w:b w:val="false"/>
          <w:i w:val="false"/>
          <w:color w:val="000000"/>
          <w:sz w:val="22"/>
        </w:rPr>
        <w:t>The following fees are applicable for the described individual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individual stormwater permits, the following fees are due at the time of application, in accordance with whether or not the discharge will reach an OIW identified in the “Iowa Antidegradation Implementation Procedure” (incorporated by reference in </w:t>
      </w:r>
      <w:hyperlink r:id="rId127">
        <w:r>
          <w:rPr>
            <w:rStyle w:val="Hyperlink"/>
            <w:rFonts w:ascii="Times New Roman" w:hAnsi="Times New Roman"/>
            <w:b w:val="false"/>
            <w:i w:val="false"/>
            <w:color w:val="000000"/>
            <w:sz w:val="22"/>
          </w:rPr>
          <w:t>60.7(2)</w:t>
        </w:r>
      </w:hyperlink>
      <w:r>
        <w:rPr>
          <w:rFonts w:ascii="Times New Roman" w:hAnsi="Times New Roman"/>
          <w:b w:val="false"/>
          <w:i/>
          <w:color w:val="000000"/>
          <w:sz w:val="22"/>
        </w:rPr>
        <w:t>“d”</w:t>
      </w:r>
      <w:r>
        <w:rPr>
          <w:rFonts w:ascii="Times New Roman" w:hAnsi="Times New Roman"/>
          <w:b w:val="false"/>
          <w:i w:val="false"/>
          <w:color w:val="000000"/>
          <w:sz w:val="22"/>
        </w:rPr>
        <w:t>(4)),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discharge will not reach an OIW: a five-year permit fee of $1,250.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discharge will reach an OIW: a two-year permit fee of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permits that authorize the discharge of only stormwater from MS4s and any allowable nonstormwater, a five-year permit fee of $1,250 must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individual nonstormwater NPDES and operation permits, a single application fee of $85 as established in Iowa Code section </w:t>
      </w:r>
      <w:hyperlink r:id="rId128">
        <w:r>
          <w:rPr>
            <w:rStyle w:val="Hyperlink"/>
            <w:rFonts w:ascii="Times New Roman" w:hAnsi="Times New Roman"/>
            <w:b w:val="false"/>
            <w:i w:val="false"/>
            <w:color w:val="000000"/>
            <w:sz w:val="22"/>
          </w:rPr>
          <w:t>455B.197</w:t>
        </w:r>
      </w:hyperlink>
      <w:r>
        <w:rPr>
          <w:rFonts w:ascii="Times New Roman" w:hAnsi="Times New Roman"/>
          <w:b w:val="false"/>
          <w:i w:val="false"/>
          <w:color w:val="000000"/>
          <w:sz w:val="22"/>
        </w:rPr>
        <w:t xml:space="preserve"> is due at the time of a new application, renewal application, or amendment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$1,250 fee in </w:t>
      </w:r>
      <w:hyperlink r:id="rId129">
        <w:r>
          <w:rPr>
            <w:rStyle w:val="Hyperlink"/>
            <w:rFonts w:ascii="Times New Roman" w:hAnsi="Times New Roman"/>
            <w:b w:val="false"/>
            <w:i w:val="false"/>
            <w:color w:val="000000"/>
            <w:sz w:val="22"/>
          </w:rPr>
          <w:t>60.14(3)</w:t>
        </w:r>
      </w:hyperlink>
      <w:r>
        <w:rPr>
          <w:rFonts w:ascii="Times New Roman" w:hAnsi="Times New Roman"/>
          <w:b w:val="false"/>
          <w:i/>
          <w:color w:val="000000"/>
          <w:sz w:val="22"/>
        </w:rPr>
        <w:t>“b”</w:t>
      </w:r>
      <w:r>
        <w:rPr>
          <w:rFonts w:ascii="Times New Roman" w:hAnsi="Times New Roman"/>
          <w:b w:val="false"/>
          <w:i w:val="false"/>
          <w:color w:val="000000"/>
          <w:sz w:val="22"/>
        </w:rPr>
        <w:t>(1) and (2) is not required for individual nonstormwater permits that authorize stormwater discharges along with other wastewater discharges.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 approved amendment request submitted by a facility holding a nonstormwater NPDES or operation permit can be processed by the department, the $85 fee must be submitted, except when an amendment is initiated by the director, when the requested amendment will correct an error in the permit, when the amendment is for a DC compliance schedule or the Iowa nutrient reduction strategy, or when there is a transfer of title or change in the address of the owner as noted in rule </w:t>
      </w:r>
      <w:hyperlink r:id="rId130">
        <w:r>
          <w:rPr>
            <w:rStyle w:val="Hyperlink"/>
            <w:rFonts w:ascii="Times New Roman" w:hAnsi="Times New Roman"/>
            <w:b w:val="false"/>
            <w:i w:val="false"/>
            <w:color w:val="000000"/>
            <w:sz w:val="22"/>
          </w:rPr>
          <w:t>567—60.12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individual nonstormwater NPDES and operation permits, the following annual fees as established in Iowa Code section </w:t>
      </w:r>
      <w:hyperlink r:id="rId131">
        <w:r>
          <w:rPr>
            <w:rStyle w:val="Hyperlink"/>
            <w:rFonts w:ascii="Times New Roman" w:hAnsi="Times New Roman"/>
            <w:b w:val="false"/>
            <w:i w:val="false"/>
            <w:color w:val="000000"/>
            <w:sz w:val="22"/>
          </w:rPr>
          <w:t>455B.197(3)</w:t>
        </w:r>
      </w:hyperlink>
      <w:r>
        <w:rPr>
          <w:rFonts w:ascii="Times New Roman" w:hAnsi="Times New Roman"/>
          <w:b w:val="false"/>
          <w:i w:val="false"/>
          <w:color w:val="000000"/>
          <w:sz w:val="22"/>
        </w:rPr>
        <w:t xml:space="preserve"> are due by August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municipal facility: $1,275.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 municipal facility: $210. For a city with a population of 250 or less, the maximum fee shall be $210 regardless of how many individual nonstormwater NPDES permits the city 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Semipublic facility: $340.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Major industrial facility: $3,400.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Minor industrial facility: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Facilities that hold an operation permit: $170.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Animal feeding operations covered by a nonstormwater NPDES permit: $340.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municipal water treatment facility with an individual nonstormwater NPDES permit, no fees shall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a new facility covered by an individual nonstormwater NPDES or operating permit, a prorated annual fee, calculated by taking the annual fee amount multiplied by the number of months remaining before the next annual fee due date divided by 12, is due 30 days after the new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60.14(4)</w:t>
      </w:r>
      <w:r>
        <w:rPr>
          <w:rFonts w:ascii="Times New Roman" w:hAnsi="Times New Roman"/>
          <w:b w:val="false"/>
          <w:i w:val="false"/>
          <w:color w:val="000000"/>
          <w:sz w:val="22"/>
        </w:rPr>
        <w:t> </w:t>
      </w:r>
      <w:r>
        <w:rPr>
          <w:rFonts w:ascii="Times New Roman" w:hAnsi="Times New Roman"/>
          <w:b w:val="false"/>
          <w:i/>
          <w:color w:val="000000"/>
          <w:sz w:val="22"/>
        </w:rPr>
        <w:t xml:space="preserve">Fee refunds.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and general permit application, permit, and annual fees may be refunded, completely or in part, at the director’s discretion. Permittees who wish to receive fee refunds should notify the department electronically or in writing. Fees may be refunded under various circumstances,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Submission of a duplicate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Overpayment of a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fee was submitted but is not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returns an application to the applicant without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shall not be refunded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permit or permit coverage is suspended, revoked, or modified, or if an activity is discontinued or 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permit is amended;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permit application is withdrawn by the applicant or denied by the department pursuant to </w:t>
      </w:r>
      <w:hyperlink r:id="rId132">
        <w:r>
          <w:rPr>
            <w:rStyle w:val="Hyperlink"/>
            <w:rFonts w:ascii="Times New Roman" w:hAnsi="Times New Roman"/>
            <w:b w:val="false"/>
            <w:i w:val="false"/>
            <w:color w:val="000000"/>
            <w:sz w:val="22"/>
          </w:rPr>
          <w:t>60.5(1)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455B.197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567—60.15</w:t>
      </w:r>
      <w:r>
        <w:rPr>
          <w:rFonts w:ascii="Times New Roman" w:hAnsi="Times New Roman"/>
          <w:b/>
          <w:i w:val="false"/>
          <w:color w:val="000000"/>
          <w:sz w:val="22"/>
        </w:rPr>
        <w:t xml:space="preserve">(455B) </w:t>
      </w:r>
      <w:r>
        <w:rPr>
          <w:rFonts w:ascii="Times New Roman" w:hAnsi="Times New Roman"/>
          <w:b/>
          <w:i w:val="false"/>
          <w:color w:val="000000"/>
          <w:sz w:val="22"/>
        </w:rPr>
        <w:t xml:space="preserve">Nutrient reduction exchange. </w:t>
      </w:r>
      <w:r>
        <w:rPr>
          <w:rFonts w:ascii="Times New Roman" w:hAnsi="Times New Roman"/>
          <w:b w:val="false"/>
          <w:i w:val="false"/>
          <w:color w:val="000000"/>
          <w:sz w:val="22"/>
        </w:rPr>
        <w:t>The department shall maintain a registry of nonpoint source nutrient reduction practices installed by permittees. Practices listed in the registry may be eligible for future regulatory incentives.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567—60.16</w:t>
      </w:r>
      <w:r>
        <w:rPr>
          <w:rFonts w:ascii="Times New Roman" w:hAnsi="Times New Roman"/>
          <w:b/>
          <w:i w:val="false"/>
          <w:color w:val="000000"/>
          <w:sz w:val="22"/>
        </w:rPr>
        <w:t xml:space="preserve">(455B) </w:t>
      </w:r>
      <w:r>
        <w:rPr>
          <w:rFonts w:ascii="Times New Roman" w:hAnsi="Times New Roman"/>
          <w:b/>
          <w:i w:val="false"/>
          <w:color w:val="000000"/>
          <w:sz w:val="22"/>
        </w:rPr>
        <w:t xml:space="preserve">Validity of rules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If any section, paragraph, sentence, clause, phrase or word of these rules, or any part thereof, be declared unconstitutional or invalid for any reason, the remainder of said rules shall not be affected thereby and shall remain in full force and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chapter shall apply to all waste DSs treating or intending to treat sewage, industrial waste, or other waste except waste resulting from livestock or poultry operations. All livestock and poultry operations constituting animal feeding operations as defined in </w:t>
      </w:r>
      <w:hyperlink r:id="rId134">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shall be governed by the requirements in </w:t>
      </w:r>
      <w:hyperlink r:id="rId135">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However, the provisions of this chapter concerning NPDES permits that relate to notice and public participation, permit terms and conditions, permit reissuance, and monitoring, reporting and recordkeeping activities shall apply to animal feeding operations that are required to apply for and obtain an NPDES permit to the extent that such requirements are not inconsistent with </w:t>
      </w:r>
      <w:hyperlink r:id="rId136">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7">
        <w:r>
          <w:rPr>
            <w:rStyle w:val="Hyperlink"/>
            <w:rFonts w:ascii="Times New Roman" w:hAnsi="Times New Roman"/>
            <w:b w:val="false"/>
            <w:i w:val="false"/>
            <w:color w:val="000000"/>
            <w:sz w:val="22"/>
          </w:rPr>
          <w:t>455B, subchapter III</w:t>
        </w:r>
      </w:hyperlink>
      <w:r>
        <w:rPr>
          <w:rFonts w:ascii="Times New Roman" w:hAnsi="Times New Roman"/>
          <w:b w:val="false"/>
          <w:i w:val="false"/>
          <w:color w:val="000000"/>
          <w:sz w:val="22"/>
        </w:rPr>
        <w:t>, part 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12/2/83, Notice 6/22/83—published 12/21/83, effective 1/25/84]</w:t>
      </w:r>
    </w:p>
    <w:p>
      <w:pPr>
        <w:spacing w:before="0" w:after="0"/>
        <w:ind w:left="120"/>
        <w:jc w:val="center"/>
      </w:pPr>
      <w:r>
        <w:rPr>
          <w:rFonts w:ascii="Times New Roman" w:hAnsi="Times New Roman"/>
          <w:b w:val="false"/>
          <w:i w:val="false"/>
          <w:color w:val="000000"/>
          <w:sz w:val="21"/>
        </w:rPr>
        <w:t>[Filed 7/12/85, Notice 3/13/85—published 7/31/85, effective 9/4/85]</w:t>
      </w:r>
    </w:p>
    <w:p>
      <w:pPr>
        <w:spacing w:before="0" w:after="0"/>
        <w:ind w:left="120"/>
        <w:jc w:val="center"/>
      </w:pPr>
      <w:r>
        <w:rPr>
          <w:rFonts w:ascii="Times New Roman" w:hAnsi="Times New Roman"/>
          <w:b w:val="false"/>
          <w:i w:val="false"/>
          <w:color w:val="000000"/>
          <w:sz w:val="21"/>
        </w:rPr>
        <w:t>[Filed 4/30/86, Notice 9/11/85—published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3/30/90, Notice 8/9/89—published 4/18/90, effective 5/23/90]</w:t>
      </w:r>
    </w:p>
    <w:p>
      <w:pPr>
        <w:spacing w:before="0" w:after="0"/>
        <w:ind w:left="120"/>
        <w:jc w:val="center"/>
      </w:pPr>
      <w:r>
        <w:rPr>
          <w:rFonts w:ascii="Times New Roman" w:hAnsi="Times New Roman"/>
          <w:b w:val="false"/>
          <w:i w:val="false"/>
          <w:color w:val="000000"/>
          <w:sz w:val="21"/>
        </w:rPr>
        <w:t>[Filed 10/26/90, Notice 7/11/90—published 11/14/90, effective 12/19/90]</w:t>
      </w:r>
    </w:p>
    <w:p>
      <w:pPr>
        <w:spacing w:before="0" w:after="0"/>
        <w:ind w:left="120"/>
        <w:jc w:val="center"/>
      </w:pPr>
      <w:r>
        <w:rPr>
          <w:rFonts w:ascii="Times New Roman" w:hAnsi="Times New Roman"/>
          <w:b w:val="false"/>
          <w:i w:val="false"/>
          <w:color w:val="000000"/>
          <w:sz w:val="21"/>
        </w:rPr>
        <w:t>[Filed 10/26/90, Notice 8/8/90—published 11/14/90, effective 12/19/90]</w:t>
      </w:r>
    </w:p>
    <w:p>
      <w:pPr>
        <w:spacing w:before="0" w:after="0"/>
        <w:ind w:left="120"/>
        <w:jc w:val="center"/>
      </w:pPr>
      <w:r>
        <w:rPr>
          <w:rFonts w:ascii="Times New Roman" w:hAnsi="Times New Roman"/>
          <w:b w:val="false"/>
          <w:i w:val="false"/>
          <w:color w:val="000000"/>
          <w:sz w:val="21"/>
        </w:rPr>
        <w:t>[Filed 4/26/91, Notice 10/17/90—published 5/15/91, effective 6/19/91]</w:t>
      </w:r>
    </w:p>
    <w:p>
      <w:pPr>
        <w:spacing w:before="0" w:after="0"/>
        <w:ind w:left="120"/>
        <w:jc w:val="center"/>
      </w:pPr>
      <w:r>
        <w:rPr>
          <w:rFonts w:ascii="Times New Roman" w:hAnsi="Times New Roman"/>
          <w:b w:val="false"/>
          <w:i w:val="false"/>
          <w:color w:val="000000"/>
          <w:sz w:val="21"/>
        </w:rPr>
        <w:t>[Filed 5/24/91, Notice 3/20/91—published 6/12/91, effective 7/17/91]</w:t>
      </w:r>
    </w:p>
    <w:p>
      <w:pPr>
        <w:spacing w:before="0" w:after="0"/>
        <w:ind w:left="120"/>
        <w:jc w:val="center"/>
      </w:pPr>
      <w:r>
        <w:rPr>
          <w:rFonts w:ascii="Times New Roman" w:hAnsi="Times New Roman"/>
          <w:b w:val="false"/>
          <w:i w:val="false"/>
          <w:color w:val="000000"/>
          <w:sz w:val="21"/>
        </w:rPr>
        <w:t>[Filed without Notice 6/21/91—published 7/10/91, effective 8/14/91]</w:t>
      </w:r>
    </w:p>
    <w:p>
      <w:pPr>
        <w:spacing w:before="0" w:after="0"/>
        <w:ind w:left="120"/>
        <w:jc w:val="center"/>
      </w:pPr>
      <w:r>
        <w:rPr>
          <w:rFonts w:ascii="Times New Roman" w:hAnsi="Times New Roman"/>
          <w:b w:val="false"/>
          <w:i w:val="false"/>
          <w:color w:val="000000"/>
          <w:sz w:val="21"/>
        </w:rPr>
        <w:t>[Filed 6/19/92, Notice 12/11/91—published 7/8/92, effective 8/12/92]</w:t>
      </w:r>
    </w:p>
    <w:p>
      <w:pPr>
        <w:spacing w:before="0" w:after="0"/>
        <w:ind w:left="120"/>
        <w:jc w:val="center"/>
      </w:pPr>
      <w:r>
        <w:rPr>
          <w:rFonts w:ascii="Times New Roman" w:hAnsi="Times New Roman"/>
          <w:b w:val="false"/>
          <w:i w:val="false"/>
          <w:color w:val="000000"/>
          <w:sz w:val="21"/>
        </w:rPr>
        <w:t>[Filed without Notice 8/28/92—published 9/16/92, effective 10/21/92]</w:t>
      </w:r>
    </w:p>
    <w:p>
      <w:pPr>
        <w:spacing w:before="0" w:after="0"/>
        <w:ind w:left="120"/>
        <w:jc w:val="center"/>
      </w:pPr>
      <w:r>
        <w:rPr>
          <w:rFonts w:ascii="Times New Roman" w:hAnsi="Times New Roman"/>
          <w:b w:val="false"/>
          <w:i w:val="false"/>
          <w:color w:val="000000"/>
          <w:sz w:val="21"/>
        </w:rPr>
        <w:t>[Filed without Notice 8/27/93—published 9/15/93, effective 10/20/93]</w:t>
      </w:r>
    </w:p>
    <w:p>
      <w:pPr>
        <w:spacing w:before="0" w:after="0"/>
        <w:ind w:left="120"/>
        <w:jc w:val="center"/>
      </w:pPr>
      <w:r>
        <w:rPr>
          <w:rFonts w:ascii="Times New Roman" w:hAnsi="Times New Roman"/>
          <w:b w:val="false"/>
          <w:i w:val="false"/>
          <w:color w:val="000000"/>
          <w:sz w:val="21"/>
        </w:rPr>
        <w:t>[Filed without Notice 8/26/94—published 9/14/94, effective 10/19/94]</w:t>
      </w:r>
    </w:p>
    <w:p>
      <w:pPr>
        <w:spacing w:before="0" w:after="0"/>
        <w:ind w:left="120"/>
        <w:jc w:val="center"/>
      </w:pPr>
      <w:r>
        <w:rPr>
          <w:rFonts w:ascii="Times New Roman" w:hAnsi="Times New Roman"/>
          <w:b w:val="false"/>
          <w:i w:val="false"/>
          <w:color w:val="000000"/>
          <w:sz w:val="21"/>
        </w:rPr>
        <w:t>[Filed without Notice 9/22/95—published 10/11/95, effective 11/15/95]</w:t>
      </w:r>
    </w:p>
    <w:p>
      <w:pPr>
        <w:spacing w:before="0" w:after="0"/>
        <w:ind w:left="120"/>
        <w:jc w:val="center"/>
      </w:pPr>
      <w:r>
        <w:rPr>
          <w:rFonts w:ascii="Times New Roman" w:hAnsi="Times New Roman"/>
          <w:b w:val="false"/>
          <w:i w:val="false"/>
          <w:color w:val="000000"/>
          <w:sz w:val="21"/>
        </w:rPr>
        <w:t>[Filed without Notice 9/20/96—published 10/9/96, effective 11/13/96]</w:t>
      </w:r>
    </w:p>
    <w:p>
      <w:pPr>
        <w:spacing w:before="0" w:after="0"/>
        <w:ind w:left="120"/>
        <w:jc w:val="center"/>
      </w:pPr>
      <w:r>
        <w:rPr>
          <w:rFonts w:ascii="Times New Roman" w:hAnsi="Times New Roman"/>
          <w:b w:val="false"/>
          <w:i w:val="false"/>
          <w:color w:val="000000"/>
          <w:sz w:val="21"/>
        </w:rPr>
        <w:t>[Filed without Notice 9/19/97—published 10/8/97, effective 11/12/97]</w:t>
      </w:r>
    </w:p>
    <w:p>
      <w:pPr>
        <w:spacing w:before="0" w:after="0"/>
        <w:ind w:left="120"/>
        <w:jc w:val="center"/>
      </w:pPr>
      <w:r>
        <w:rPr>
          <w:rFonts w:ascii="Times New Roman" w:hAnsi="Times New Roman"/>
          <w:b w:val="false"/>
          <w:i w:val="false"/>
          <w:color w:val="000000"/>
          <w:sz w:val="21"/>
        </w:rPr>
        <w:t>[Filed 3/19/98, Notice 11/19/97—published 4/8/98, effective 5/13/98]</w:t>
      </w:r>
    </w:p>
    <w:p>
      <w:pPr>
        <w:spacing w:before="0" w:after="0"/>
        <w:ind w:left="120"/>
        <w:jc w:val="center"/>
      </w:pPr>
      <w:r>
        <w:rPr>
          <w:rFonts w:ascii="Times New Roman" w:hAnsi="Times New Roman"/>
          <w:b w:val="false"/>
          <w:i w:val="false"/>
          <w:color w:val="000000"/>
          <w:sz w:val="21"/>
        </w:rPr>
        <w:t>[Filed without Notice 2/5/99—published 2/24/99, effective 3/31/99]</w:t>
      </w:r>
    </w:p>
    <w:p>
      <w:pPr>
        <w:spacing w:before="0" w:after="0"/>
        <w:ind w:left="120"/>
        <w:jc w:val="center"/>
      </w:pPr>
      <w:r>
        <w:rPr>
          <w:rFonts w:ascii="Times New Roman" w:hAnsi="Times New Roman"/>
          <w:b w:val="false"/>
          <w:i w:val="false"/>
          <w:color w:val="000000"/>
          <w:sz w:val="21"/>
        </w:rPr>
        <w:t>[Filed without Notice 10/28/99—published 11/17/99, effective 12/22/99]</w:t>
      </w:r>
    </w:p>
    <w:p>
      <w:pPr>
        <w:spacing w:before="0" w:after="0"/>
        <w:ind w:left="120"/>
        <w:jc w:val="center"/>
      </w:pPr>
      <w:r>
        <w:rPr>
          <w:rFonts w:ascii="Times New Roman" w:hAnsi="Times New Roman"/>
          <w:b w:val="false"/>
          <w:i w:val="false"/>
          <w:color w:val="000000"/>
          <w:sz w:val="21"/>
        </w:rPr>
        <w:t>[Filed without Notice 10/27/00—published 11/15/00, effective 12/20/00]</w:t>
      </w:r>
    </w:p>
    <w:p>
      <w:pPr>
        <w:spacing w:before="0" w:after="0"/>
        <w:ind w:left="120"/>
        <w:jc w:val="center"/>
      </w:pPr>
      <w:r>
        <w:rPr>
          <w:rFonts w:ascii="Times New Roman" w:hAnsi="Times New Roman"/>
          <w:b w:val="false"/>
          <w:i w:val="false"/>
          <w:color w:val="000000"/>
          <w:sz w:val="21"/>
        </w:rPr>
        <w:t>[Filed 5/25/01, Notice 3/21/01—published 6/13/01, effective 7/18/01]</w:t>
      </w:r>
    </w:p>
    <w:p>
      <w:pPr>
        <w:spacing w:before="0" w:after="0"/>
        <w:ind w:left="120"/>
        <w:jc w:val="center"/>
      </w:pPr>
      <w:r>
        <w:rPr>
          <w:rFonts w:ascii="Times New Roman" w:hAnsi="Times New Roman"/>
          <w:b w:val="false"/>
          <w:i w:val="false"/>
          <w:color w:val="000000"/>
          <w:sz w:val="21"/>
        </w:rPr>
        <w:t>[Filed without Notice 9/27/01—published 10/17/01, effective 11/21/01]</w:t>
      </w:r>
    </w:p>
    <w:p>
      <w:pPr>
        <w:spacing w:before="0" w:after="0"/>
        <w:ind w:left="120"/>
        <w:jc w:val="center"/>
      </w:pPr>
      <w:r>
        <w:rPr>
          <w:rFonts w:ascii="Times New Roman" w:hAnsi="Times New Roman"/>
          <w:b w:val="false"/>
          <w:i w:val="false"/>
          <w:color w:val="000000"/>
          <w:sz w:val="21"/>
        </w:rPr>
        <w:t>[Filed 3/27/02, Notice 11/14/01—published 4/17/02, effective 5/22/02]</w:t>
      </w:r>
    </w:p>
    <w:p>
      <w:pPr>
        <w:spacing w:before="0" w:after="0"/>
        <w:ind w:left="120"/>
        <w:jc w:val="center"/>
      </w:pPr>
      <w:r>
        <w:rPr>
          <w:rFonts w:ascii="Times New Roman" w:hAnsi="Times New Roman"/>
          <w:b w:val="false"/>
          <w:i w:val="false"/>
          <w:color w:val="000000"/>
          <w:sz w:val="21"/>
        </w:rPr>
        <w:t>[Filed 6/18/02, Notice 2/6/02—published 7/10/02, effective 8/14/02]</w:t>
      </w:r>
    </w:p>
    <w:p>
      <w:pPr>
        <w:spacing w:before="0" w:after="0"/>
        <w:ind w:left="120"/>
        <w:jc w:val="center"/>
      </w:pPr>
      <w:r>
        <w:rPr>
          <w:rFonts w:ascii="Times New Roman" w:hAnsi="Times New Roman"/>
          <w:b w:val="false"/>
          <w:i w:val="false"/>
          <w:color w:val="000000"/>
          <w:sz w:val="21"/>
        </w:rPr>
        <w:t>[Filed 9/25/02, Notice 7/10/02—published 10/16/02, effective 11/20/02]</w:t>
      </w:r>
    </w:p>
    <w:p>
      <w:pPr>
        <w:spacing w:before="0" w:after="0"/>
        <w:ind w:left="120"/>
        <w:jc w:val="center"/>
      </w:pPr>
      <w:r>
        <w:rPr>
          <w:rFonts w:ascii="Times New Roman" w:hAnsi="Times New Roman"/>
          <w:b w:val="false"/>
          <w:i w:val="false"/>
          <w:color w:val="000000"/>
          <w:sz w:val="21"/>
        </w:rPr>
        <w:t>[Filed without Notice 9/25/02—published 10/16/02, effective 11/20/02]</w:t>
      </w:r>
    </w:p>
    <w:p>
      <w:pPr>
        <w:spacing w:before="0" w:after="0"/>
        <w:ind w:left="120"/>
        <w:jc w:val="center"/>
      </w:pPr>
      <w:r>
        <w:rPr>
          <w:rFonts w:ascii="Times New Roman" w:hAnsi="Times New Roman"/>
          <w:b w:val="false"/>
          <w:i w:val="false"/>
          <w:color w:val="000000"/>
          <w:sz w:val="21"/>
        </w:rPr>
        <w:t>[Filed without Notice 9/25/03—published 10/15/03, effective 11/19/03]</w:t>
      </w:r>
    </w:p>
    <w:p>
      <w:pPr>
        <w:spacing w:before="0" w:after="0"/>
        <w:ind w:left="120"/>
        <w:jc w:val="center"/>
      </w:pPr>
      <w:r>
        <w:rPr>
          <w:rFonts w:ascii="Times New Roman" w:hAnsi="Times New Roman"/>
          <w:b w:val="false"/>
          <w:i w:val="false"/>
          <w:color w:val="000000"/>
          <w:sz w:val="21"/>
        </w:rPr>
        <w:t>[Filed without Notice 11/17/04—published 12/8/04, effective 1/12/05]</w:t>
      </w:r>
    </w:p>
    <w:p>
      <w:pPr>
        <w:spacing w:before="0" w:after="0"/>
        <w:ind w:left="120"/>
        <w:jc w:val="center"/>
      </w:pPr>
      <w:r>
        <w:rPr>
          <w:rFonts w:ascii="Times New Roman" w:hAnsi="Times New Roman"/>
          <w:b w:val="false"/>
          <w:i w:val="false"/>
          <w:color w:val="000000"/>
          <w:sz w:val="21"/>
        </w:rPr>
        <w:t>[Filed without Notice 10/21/05—published 11/9/05, effective 12/14/05]</w:t>
      </w:r>
    </w:p>
    <w:p>
      <w:pPr>
        <w:spacing w:before="0" w:after="0"/>
        <w:ind w:left="120"/>
        <w:jc w:val="center"/>
      </w:pPr>
      <w:r>
        <w:rPr>
          <w:rFonts w:ascii="Times New Roman" w:hAnsi="Times New Roman"/>
          <w:b w:val="false"/>
          <w:i w:val="false"/>
          <w:color w:val="000000"/>
          <w:sz w:val="21"/>
        </w:rPr>
        <w:t>[Filed without Notice 9/21/06—published 10/11/06, effective 11/15/06]</w:t>
      </w:r>
    </w:p>
    <w:p>
      <w:pPr>
        <w:spacing w:before="0" w:after="0"/>
        <w:ind w:left="120"/>
        <w:jc w:val="center"/>
      </w:pPr>
      <w:r>
        <w:rPr>
          <w:rFonts w:ascii="Times New Roman" w:hAnsi="Times New Roman"/>
          <w:b w:val="false"/>
          <w:i w:val="false"/>
          <w:color w:val="000000"/>
          <w:sz w:val="21"/>
        </w:rPr>
        <w:t>[Filed without Notice 11/14/07—published 12/5/07, effective 1/9/08]</w:t>
      </w:r>
    </w:p>
    <w:p>
      <w:pPr>
        <w:spacing w:before="0" w:after="0"/>
        <w:ind w:left="120"/>
        <w:jc w:val="center"/>
      </w:pPr>
      <w:r>
        <w:rPr>
          <w:rFonts w:ascii="Times New Roman" w:hAnsi="Times New Roman"/>
          <w:b w:val="false"/>
          <w:i w:val="false"/>
          <w:color w:val="000000"/>
          <w:sz w:val="21"/>
        </w:rPr>
        <w:t>[Filed ARC 7625B</w:t>
      </w:r>
      <w:r>
        <w:rPr>
          <w:rFonts w:ascii="Times New Roman" w:hAnsi="Times New Roman"/>
          <w:b w:val="false"/>
          <w:i w:val="false"/>
          <w:color w:val="000000"/>
          <w:sz w:val="21"/>
        </w:rPr>
        <w:t xml:space="preserve"> (Notice ARC 7152B, IAB 9/10/08)</w:t>
      </w:r>
      <w:r>
        <w:rPr>
          <w:rFonts w:ascii="Times New Roman" w:hAnsi="Times New Roman"/>
          <w:b w:val="false"/>
          <w:i w:val="false"/>
          <w:color w:val="000000"/>
          <w:sz w:val="21"/>
        </w:rPr>
        <w:t>, IAB 3/11/09, effective 4/15/09]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4/22/09]</w:t>
      </w:r>
    </w:p>
    <w:p>
      <w:pPr>
        <w:spacing w:before="0" w:after="0"/>
        <w:ind w:left="120"/>
        <w:jc w:val="center"/>
      </w:pPr>
      <w:r>
        <w:rPr>
          <w:rFonts w:ascii="Times New Roman" w:hAnsi="Times New Roman"/>
          <w:b w:val="false"/>
          <w:i w:val="false"/>
          <w:color w:val="000000"/>
          <w:sz w:val="21"/>
        </w:rPr>
        <w:t>[Editorial change: IAC Supplement 5/20/09]</w:t>
      </w:r>
    </w:p>
    <w:p>
      <w:pPr>
        <w:spacing w:before="0" w:after="0"/>
        <w:ind w:left="120"/>
        <w:jc w:val="center"/>
      </w:pPr>
      <w:r>
        <w:rPr>
          <w:rFonts w:ascii="Times New Roman" w:hAnsi="Times New Roman"/>
          <w:b w:val="false"/>
          <w:i w:val="false"/>
          <w:color w:val="000000"/>
          <w:sz w:val="21"/>
        </w:rPr>
        <w:t>[Filed ARC 9365B</w:t>
      </w:r>
      <w:r>
        <w:rPr>
          <w:rFonts w:ascii="Times New Roman" w:hAnsi="Times New Roman"/>
          <w:b w:val="false"/>
          <w:i w:val="false"/>
          <w:color w:val="000000"/>
          <w:sz w:val="21"/>
        </w:rPr>
        <w:t xml:space="preserve"> (Notice ARC 9056B, IAB 9/8/10)</w:t>
      </w:r>
      <w:r>
        <w:rPr>
          <w:rFonts w:ascii="Times New Roman" w:hAnsi="Times New Roman"/>
          <w:b w:val="false"/>
          <w:i w:val="false"/>
          <w:color w:val="000000"/>
          <w:sz w:val="21"/>
        </w:rPr>
        <w:t>, IAB 2/9/11, effective 3/30/11]</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5679C</w:t>
      </w:r>
      <w:r>
        <w:rPr>
          <w:rFonts w:ascii="Times New Roman" w:hAnsi="Times New Roman"/>
          <w:b w:val="false"/>
          <w:i w:val="false"/>
          <w:color w:val="000000"/>
          <w:sz w:val="21"/>
        </w:rPr>
        <w:t xml:space="preserve"> (Amended Notice ARC 5508C, IAB 3/10/21; </w:t>
      </w:r>
      <w:r>
        <w:rPr>
          <w:rFonts w:ascii="Times New Roman" w:hAnsi="Times New Roman"/>
          <w:b w:val="false"/>
          <w:i w:val="false"/>
          <w:color w:val="000000"/>
          <w:sz w:val="21"/>
        </w:rPr>
        <w:t>Notice ARC 5134C, IAB 8/12/20)</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6734C</w:t>
      </w:r>
      <w:r>
        <w:rPr>
          <w:rFonts w:ascii="Times New Roman" w:hAnsi="Times New Roman"/>
          <w:b w:val="false"/>
          <w:i w:val="false"/>
          <w:color w:val="000000"/>
          <w:sz w:val="21"/>
        </w:rPr>
        <w:t xml:space="preserve"> (Notice ARC 6501C, IAB 9/7/22)</w:t>
      </w:r>
      <w:r>
        <w:rPr>
          <w:rFonts w:ascii="Times New Roman" w:hAnsi="Times New Roman"/>
          <w:b w:val="false"/>
          <w:i w:val="false"/>
          <w:color w:val="000000"/>
          <w:sz w:val="21"/>
        </w:rPr>
        <w:t>, IAB 12/14/22, effective 3/1/23]</w:t>
      </w:r>
    </w:p>
    <w:p>
      <w:pPr>
        <w:spacing w:before="0" w:after="0"/>
        <w:ind w:left="120"/>
        <w:jc w:val="center"/>
      </w:pPr>
      <w:r>
        <w:rPr>
          <w:rFonts w:ascii="Times New Roman" w:hAnsi="Times New Roman"/>
          <w:b w:val="false"/>
          <w:i w:val="false"/>
          <w:color w:val="000000"/>
          <w:sz w:val="21"/>
        </w:rPr>
        <w:t>[Filed ARC 9203C</w:t>
      </w:r>
      <w:r>
        <w:rPr>
          <w:rFonts w:ascii="Times New Roman" w:hAnsi="Times New Roman"/>
          <w:b w:val="false"/>
          <w:i w:val="false"/>
          <w:color w:val="000000"/>
          <w:sz w:val="21"/>
        </w:rPr>
        <w:t xml:space="preserve"> (Notice ARC 8629C,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April 15, 2009, effective date of Item 2 of ARC 7625B delayed 70 days by the Administrative Rules Review Committee at its meeting held April 8, 2009; at its meeting held April 28, 2009, the Committee voted to lift the delay, effective April 29, 2009.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1.pdf" Type="http://schemas.openxmlformats.org/officeDocument/2006/relationships/hyperlink" Id="rId5"/>
    <Relationship TargetMode="External" Target="https://www.legis.iowa.gov/docs/iac/chapter/567.69.pdf" Type="http://schemas.openxmlformats.org/officeDocument/2006/relationships/hyperlink" Id="rId6"/>
    <Relationship TargetMode="External" Target="https://www.legis.iowa.gov/docs/ico/chapter/206.2.pdf" Type="http://schemas.openxmlformats.org/officeDocument/2006/relationships/hyperlink" Id="rId7"/>
    <Relationship TargetMode="External" Target="http://www.astm.org" Type="http://schemas.openxmlformats.org/officeDocument/2006/relationships/hyperlink" Id="rId8"/>
    <Relationship TargetMode="External" Target="https://www.legis.iowa.gov/docs/iac/chapter/567.61.pdf" Type="http://schemas.openxmlformats.org/officeDocument/2006/relationships/hyperlink" Id="rId9"/>
    <Relationship TargetMode="External" Target="https://www.legis.iowa.gov/docs/iac/chapter/567.69.pdf" Type="http://schemas.openxmlformats.org/officeDocument/2006/relationships/hyperlink" Id="rId10"/>
    <Relationship TargetMode="External" Target="https://www.legis.iowa.gov/docs/ico/chapter/455B.171.pdf" Type="http://schemas.openxmlformats.org/officeDocument/2006/relationships/hyperlink" Id="rId11"/>
    <Relationship TargetMode="External" Target="https://www.legis.iowa.gov/docs/iac/rule/567.61.2.pdf" Type="http://schemas.openxmlformats.org/officeDocument/2006/relationships/hyperlink" Id="rId12"/>
    <Relationship TargetMode="External" Target="https://www.legis.iowa.gov/docs/ico/chapter/388.pdf" Type="http://schemas.openxmlformats.org/officeDocument/2006/relationships/hyperlink" Id="rId13"/>
    <Relationship TargetMode="External" Target="https://www.legis.iowa.gov/docs/ico/chapter/358.pdf" Type="http://schemas.openxmlformats.org/officeDocument/2006/relationships/hyperlink" Id="rId14"/>
    <Relationship TargetMode="External" Target="https://www.legis.iowa.gov/docs/iac/chapter/567.61.pdf" Type="http://schemas.openxmlformats.org/officeDocument/2006/relationships/hyperlink" Id="rId15"/>
    <Relationship TargetMode="External" Target="https://www.legis.iowa.gov/docs/iac/rule/567.61.3.pdf" Type="http://schemas.openxmlformats.org/officeDocument/2006/relationships/hyperlink" Id="rId16"/>
    <Relationship TargetMode="External" Target="https://www.legis.iowa.gov/docs/iac/chapter/567.61.pdf" Type="http://schemas.openxmlformats.org/officeDocument/2006/relationships/hyperlink" Id="rId17"/>
    <Relationship TargetMode="External" Target="https://www.legis.iowa.gov/docs/iac/rule/567.61.3.pdf" Type="http://schemas.openxmlformats.org/officeDocument/2006/relationships/hyperlink" Id="rId18"/>
    <Relationship TargetMode="External" Target="https://www.legis.iowa.gov/docs/ico/chapter/455B.101.pdf" Type="http://schemas.openxmlformats.org/officeDocument/2006/relationships/hyperlink" Id="rId19"/>
    <Relationship TargetMode="External" Target="https://www.legis.iowa.gov/docs/ico/chapter/455B.171.pdf" Type="http://schemas.openxmlformats.org/officeDocument/2006/relationships/hyperlink" Id="rId20"/>
    <Relationship TargetMode="External" Target="https://www.legis.iowa.gov/docs/ico/chapter/455B.171.pdf" Type="http://schemas.openxmlformats.org/officeDocument/2006/relationships/hyperlink" Id="rId21"/>
    <Relationship TargetMode="External" Target="https://www.legis.iowa.gov/docs/iac/rule/567.69.1.pdf" Type="http://schemas.openxmlformats.org/officeDocument/2006/relationships/hyperlink" Id="rId22"/>
    <Relationship TargetMode="External" Target="https://www.legis.iowa.gov/docs/ico/chapter/455B.171.pdf" Type="http://schemas.openxmlformats.org/officeDocument/2006/relationships/hyperlink" Id="rId23"/>
    <Relationship TargetMode="External" Target="https://www.legis.iowa.gov/docs/ico/chapter/206.2.pdf" Type="http://schemas.openxmlformats.org/officeDocument/2006/relationships/hyperlink" Id="rId24"/>
    <Relationship TargetMode="External" Target="https://www.legis.iowa.gov/docs/iac/rule/567.40.2.pdf" Type="http://schemas.openxmlformats.org/officeDocument/2006/relationships/hyperlink" Id="rId25"/>
    <Relationship TargetMode="External" Target="https://www.legis.iowa.gov/docs/iac/rule/567.60.1.pdf" Type="http://schemas.openxmlformats.org/officeDocument/2006/relationships/hyperlink" Id="rId26"/>
    <Relationship TargetMode="External" Target="https://www.legis.iowa.gov/docs/ico/chapter/455B.183.pdf" Type="http://schemas.openxmlformats.org/officeDocument/2006/relationships/hyperlink" Id="rId27"/>
    <Relationship TargetMode="External" Target="https://www.legis.iowa.gov/docs/iac/rule/567.60.2.pdf" Type="http://schemas.openxmlformats.org/officeDocument/2006/relationships/hyperlink" Id="rId28"/>
    <Relationship TargetMode="External" Target="http://www.health.state.mn.us/communities/environment/water/tenstates/standards.html" Type="http://schemas.openxmlformats.org/officeDocument/2006/relationships/hyperlink" Id="rId29"/>
    <Relationship TargetMode="External" Target="https://www.legis.iowa.gov/docs/iac/rule/567.43.3.pdf" Type="http://schemas.openxmlformats.org/officeDocument/2006/relationships/hyperlink" Id="rId30"/>
    <Relationship TargetMode="External" Target="https://www.legis.iowa.gov/docs/iac/chapter/567.69.pdf" Type="http://schemas.openxmlformats.org/officeDocument/2006/relationships/hyperlink" Id="rId31"/>
    <Relationship TargetMode="External" Target="https://www.legis.iowa.gov/docs/iac/rule/567.43.3.pdf" Type="http://schemas.openxmlformats.org/officeDocument/2006/relationships/hyperlink" Id="rId32"/>
    <Relationship TargetMode="External" Target="https://www.legis.iowa.gov/docs/iac/rule/567.43.3.pdf" Type="http://schemas.openxmlformats.org/officeDocument/2006/relationships/hyperlink" Id="rId33"/>
    <Relationship TargetMode="External" Target="https://www.legis.iowa.gov/docs/iac/chapter/567.67.pdf" Type="http://schemas.openxmlformats.org/officeDocument/2006/relationships/hyperlink" Id="rId34"/>
    <Relationship TargetMode="External" Target="https://www.legis.iowa.gov/docs/iac/chapter/567.68.pdf" Type="http://schemas.openxmlformats.org/officeDocument/2006/relationships/hyperlink" Id="rId35"/>
    <Relationship TargetMode="External" Target="https://www.legis.iowa.gov/docs/iac/rule/567.69.1.pdf" Type="http://schemas.openxmlformats.org/officeDocument/2006/relationships/hyperlink" Id="rId36"/>
    <Relationship TargetMode="External" Target="https://www.legis.iowa.gov/docs/iac/chapter/567.69.pdf" Type="http://schemas.openxmlformats.org/officeDocument/2006/relationships/hyperlink" Id="rId37"/>
    <Relationship TargetMode="External" Target="https://www.legis.iowa.gov/docs/iac/rule/567.43.3.pdf" Type="http://schemas.openxmlformats.org/officeDocument/2006/relationships/hyperlink" Id="rId38"/>
    <Relationship TargetMode="External" Target="https://www.legis.iowa.gov/docs/iac/rule/567.81.1.pdf" Type="http://schemas.openxmlformats.org/officeDocument/2006/relationships/hyperlink" Id="rId39"/>
    <Relationship TargetMode="External" Target="https://www.legis.iowa.gov/docs/iac/rule/567.81.1.pdf" Type="http://schemas.openxmlformats.org/officeDocument/2006/relationships/hyperlink" Id="rId40"/>
    <Relationship TargetMode="External" Target="https://www.legis.iowa.gov/docs/iac/rule/567.40.2.pdf" Type="http://schemas.openxmlformats.org/officeDocument/2006/relationships/hyperlink" Id="rId41"/>
    <Relationship TargetMode="External" Target="https://www.legis.iowa.gov/docs/iac/rule/567.65.15.pdf" Type="http://schemas.openxmlformats.org/officeDocument/2006/relationships/hyperlink" Id="rId42"/>
    <Relationship TargetMode="External" Target="https://www.legis.iowa.gov/docs/iac/rule/567.49.2.pdf" Type="http://schemas.openxmlformats.org/officeDocument/2006/relationships/hyperlink" Id="rId43"/>
    <Relationship TargetMode="External" Target="https://www.legis.iowa.gov/docs/iac/rule/567.69.1.pdf" Type="http://schemas.openxmlformats.org/officeDocument/2006/relationships/hyperlink" Id="rId44"/>
    <Relationship TargetMode="External" Target="https://www.legis.iowa.gov/docs/iac/rule/567.60.2.pdf" Type="http://schemas.openxmlformats.org/officeDocument/2006/relationships/hyperlink" Id="rId45"/>
    <Relationship TargetMode="External" Target="https://www.legis.iowa.gov/docs/ico/chapter/455B.197.pdf" Type="http://schemas.openxmlformats.org/officeDocument/2006/relationships/hyperlink" Id="rId46"/>
    <Relationship TargetMode="External" Target="https://www.legis.iowa.gov/docs/iac/rule/567.60.2.pdf" Type="http://schemas.openxmlformats.org/officeDocument/2006/relationships/hyperlink" Id="rId47"/>
    <Relationship TargetMode="External" Target="https://www.legis.iowa.gov/docs/iac/rule/567.60.7.pdf" Type="http://schemas.openxmlformats.org/officeDocument/2006/relationships/hyperlink" Id="rId48"/>
    <Relationship TargetMode="External" Target="https://www.legis.iowa.gov/docs/iac/chapter/561.10.pdf" Type="http://schemas.openxmlformats.org/officeDocument/2006/relationships/hyperlink" Id="rId49"/>
    <Relationship TargetMode="External" Target="https://www.legis.iowa.gov/docs/iac/rule/567.60.2.pdf" Type="http://schemas.openxmlformats.org/officeDocument/2006/relationships/hyperlink" Id="rId50"/>
    <Relationship TargetMode="External" Target="https://www.legis.iowa.gov/docs/iac/chapter/567.65.pdf" Type="http://schemas.openxmlformats.org/officeDocument/2006/relationships/hyperlink" Id="rId51"/>
    <Relationship TargetMode="External" Target="https://www.legis.iowa.gov/docs/iac/chapter/567.69.pdf" Type="http://schemas.openxmlformats.org/officeDocument/2006/relationships/hyperlink" Id="rId52"/>
    <Relationship TargetMode="External" Target="https://www.legis.iowa.gov/docs/iac/chapter/567.69.pdf" Type="http://schemas.openxmlformats.org/officeDocument/2006/relationships/hyperlink" Id="rId53"/>
    <Relationship TargetMode="External" Target="https://www.legis.iowa.gov/docs/ico/chapter/459.pdf" Type="http://schemas.openxmlformats.org/officeDocument/2006/relationships/hyperlink" Id="rId54"/>
    <Relationship TargetMode="External" Target="https://www.legis.iowa.gov/docs/ico/chapter/459A.pdf" Type="http://schemas.openxmlformats.org/officeDocument/2006/relationships/hyperlink" Id="rId55"/>
    <Relationship TargetMode="External" Target="https://www.legis.iowa.gov/docs/iac/rule/567.60.5.pdf" Type="http://schemas.openxmlformats.org/officeDocument/2006/relationships/hyperlink" Id="rId56"/>
    <Relationship TargetMode="External" Target="https://www.legis.iowa.gov/docs/iac/rule/567.60.6.pdf" Type="http://schemas.openxmlformats.org/officeDocument/2006/relationships/hyperlink" Id="rId57"/>
    <Relationship TargetMode="External" Target="https://www.legis.iowa.gov/docs/ico/chapter/455B.197.pdf" Type="http://schemas.openxmlformats.org/officeDocument/2006/relationships/hyperlink" Id="rId58"/>
    <Relationship TargetMode="External" Target="https://www.legis.iowa.gov/docs/iac/chapter/567.62.pdf" Type="http://schemas.openxmlformats.org/officeDocument/2006/relationships/hyperlink" Id="rId59"/>
    <Relationship TargetMode="External" Target="https://www.legis.iowa.gov/docs/iac/rule/567.60.3.pdf" Type="http://schemas.openxmlformats.org/officeDocument/2006/relationships/hyperlink" Id="rId60"/>
    <Relationship TargetMode="External" Target="https://www.legis.iowa.gov/docs/iac/rule/567.60.14.pdf" Type="http://schemas.openxmlformats.org/officeDocument/2006/relationships/hyperlink" Id="rId61"/>
    <Relationship TargetMode="External" Target="https://www.legis.iowa.gov/docs/iac/rule/567.60.7.pdf" Type="http://schemas.openxmlformats.org/officeDocument/2006/relationships/hyperlink" Id="rId62"/>
    <Relationship TargetMode="External" Target="https://www.legis.iowa.gov/docs/iac/chapter/567.63.pdf" Type="http://schemas.openxmlformats.org/officeDocument/2006/relationships/hyperlink" Id="rId63"/>
    <Relationship TargetMode="External" Target="https://www.legis.iowa.gov/docs/iac/rule/567.60.5.pdf" Type="http://schemas.openxmlformats.org/officeDocument/2006/relationships/hyperlink" Id="rId64"/>
    <Relationship TargetMode="External" Target="https://www.legis.iowa.gov/docs/ico/chapter/455B.103A.pdf" Type="http://schemas.openxmlformats.org/officeDocument/2006/relationships/hyperlink" Id="rId65"/>
    <Relationship TargetMode="External" Target="https://www.legis.iowa.gov/docs/ico/chapter/455B.173.pdf" Type="http://schemas.openxmlformats.org/officeDocument/2006/relationships/hyperlink" Id="rId66"/>
    <Relationship TargetMode="External" Target="https://www.legis.iowa.gov/docs/iac/chapter/567.2.pdf" Type="http://schemas.openxmlformats.org/officeDocument/2006/relationships/hyperlink" Id="rId67"/>
    <Relationship TargetMode="External" Target="https://www.legis.iowa.gov/docs/ico/chapter/17A.pdf" Type="http://schemas.openxmlformats.org/officeDocument/2006/relationships/hyperlink" Id="rId68"/>
    <Relationship TargetMode="External" Target="https://www.legis.iowa.gov/docs/iac/rule/567.60.13.pdf" Type="http://schemas.openxmlformats.org/officeDocument/2006/relationships/hyperlink" Id="rId69"/>
    <Relationship TargetMode="External" Target="https://www.legis.iowa.gov/docs/iac/chapter/567.61.pdf" Type="http://schemas.openxmlformats.org/officeDocument/2006/relationships/hyperlink" Id="rId70"/>
    <Relationship TargetMode="External" Target="https://www.legis.iowa.gov/docs/iac/chapter/567.62.pdf" Type="http://schemas.openxmlformats.org/officeDocument/2006/relationships/hyperlink" Id="rId71"/>
    <Relationship TargetMode="External" Target="https://www.legis.iowa.gov/docs/iac/rule/567.60.5.pdf" Type="http://schemas.openxmlformats.org/officeDocument/2006/relationships/hyperlink" Id="rId72"/>
    <Relationship TargetMode="External" Target="https://www.legis.iowa.gov/docs/iac/rule/567.60.5.pdf" Type="http://schemas.openxmlformats.org/officeDocument/2006/relationships/hyperlink" Id="rId73"/>
    <Relationship TargetMode="External" Target="https://www.legis.iowa.gov/docs/iac/rule/567.60.7.pdf" Type="http://schemas.openxmlformats.org/officeDocument/2006/relationships/hyperlink" Id="rId74"/>
    <Relationship TargetMode="External" Target="https://www.legis.iowa.gov/docs/iac/rule/567.60.7.pdf" Type="http://schemas.openxmlformats.org/officeDocument/2006/relationships/hyperlink" Id="rId75"/>
    <Relationship TargetMode="External" Target="https://www.legis.iowa.gov/docs/iac/rule/567.60.7.pdf" Type="http://schemas.openxmlformats.org/officeDocument/2006/relationships/hyperlink" Id="rId76"/>
    <Relationship TargetMode="External" Target="https://www.legis.iowa.gov/docs/iac/rule/567.60.7.pdf" Type="http://schemas.openxmlformats.org/officeDocument/2006/relationships/hyperlink" Id="rId77"/>
    <Relationship TargetMode="External" Target="https://www.legis.iowa.gov/docs/iac/rule/567.60.7.pdf" Type="http://schemas.openxmlformats.org/officeDocument/2006/relationships/hyperlink" Id="rId78"/>
    <Relationship TargetMode="External" Target="https://www.legis.iowa.gov/docs/iac/rule/567.60.5.pdf" Type="http://schemas.openxmlformats.org/officeDocument/2006/relationships/hyperlink" Id="rId79"/>
    <Relationship TargetMode="External" Target="https://www.legis.iowa.gov/docs/iac/rule/567.60.5.pdf" Type="http://schemas.openxmlformats.org/officeDocument/2006/relationships/hyperlink" Id="rId80"/>
    <Relationship TargetMode="External" Target="https://www.legis.iowa.gov/docs/iac/rule/567.60.5.pdf" Type="http://schemas.openxmlformats.org/officeDocument/2006/relationships/hyperlink" Id="rId81"/>
    <Relationship TargetMode="External" Target="https://www.legis.iowa.gov/docs/iac/rule/567.60.5.pdf" Type="http://schemas.openxmlformats.org/officeDocument/2006/relationships/hyperlink" Id="rId82"/>
    <Relationship TargetMode="External" Target="https://www.legis.iowa.gov/docs/iac/rule/567.60.5.pdf" Type="http://schemas.openxmlformats.org/officeDocument/2006/relationships/hyperlink" Id="rId83"/>
    <Relationship TargetMode="External" Target="https://www.legis.iowa.gov/docs/iac/rule/567.60.5.pdf" Type="http://schemas.openxmlformats.org/officeDocument/2006/relationships/hyperlink" Id="rId84"/>
    <Relationship TargetMode="External" Target="https://www.legis.iowa.gov/docs/iac/rule/567.60.5.pdf" Type="http://schemas.openxmlformats.org/officeDocument/2006/relationships/hyperlink" Id="rId85"/>
    <Relationship TargetMode="External" Target="https://www.legis.iowa.gov/docs/iac/rule/567.60.14.pdf" Type="http://schemas.openxmlformats.org/officeDocument/2006/relationships/hyperlink" Id="rId86"/>
    <Relationship TargetMode="External" Target="https://www.legis.iowa.gov/docs/ico/chapter/455B.103A.pdf" Type="http://schemas.openxmlformats.org/officeDocument/2006/relationships/hyperlink" Id="rId87"/>
    <Relationship TargetMode="External" Target="https://www.legis.iowa.gov/docs/iac/rule/567.60.3.pdf" Type="http://schemas.openxmlformats.org/officeDocument/2006/relationships/hyperlink" Id="rId88"/>
    <Relationship TargetMode="External" Target="https://www.legis.iowa.gov/docs/iac/rule/567.60.6.pdf" Type="http://schemas.openxmlformats.org/officeDocument/2006/relationships/hyperlink" Id="rId89"/>
    <Relationship TargetMode="External" Target="https://www.legis.iowa.gov/docs/iac/rule/567.60.6.pdf" Type="http://schemas.openxmlformats.org/officeDocument/2006/relationships/hyperlink" Id="rId90"/>
    <Relationship TargetMode="External" Target="https://www.legis.iowa.gov/docs/iac/rule/567.60.3.pdf" Type="http://schemas.openxmlformats.org/officeDocument/2006/relationships/hyperlink" Id="rId91"/>
    <Relationship TargetMode="External" Target="https://www.legis.iowa.gov/docs/iac/rule/567.60.3.pdf" Type="http://schemas.openxmlformats.org/officeDocument/2006/relationships/hyperlink" Id="rId92"/>
    <Relationship TargetMode="External" Target="https://www.legis.iowa.gov/docs/iac/rule/567.60.3.pdf" Type="http://schemas.openxmlformats.org/officeDocument/2006/relationships/hyperlink" Id="rId93"/>
    <Relationship TargetMode="External" Target="https://www.legis.iowa.gov/docs/iac/chapter/567.61.pdf" Type="http://schemas.openxmlformats.org/officeDocument/2006/relationships/hyperlink" Id="rId94"/>
    <Relationship TargetMode="External" Target="https://www.legis.iowa.gov/docs/iac/rule/567.60.3.pdf" Type="http://schemas.openxmlformats.org/officeDocument/2006/relationships/hyperlink" Id="rId95"/>
    <Relationship TargetMode="External" Target="https://www.legis.iowa.gov/docs/iac/rule/567.60.6.pdf" Type="http://schemas.openxmlformats.org/officeDocument/2006/relationships/hyperlink" Id="rId96"/>
    <Relationship TargetMode="External" Target="https://www.legis.iowa.gov/docs/iac/rule/567.60.6.pdf" Type="http://schemas.openxmlformats.org/officeDocument/2006/relationships/hyperlink" Id="rId97"/>
    <Relationship TargetMode="External" Target="https://www.legis.iowa.gov/docs/iac/rule/567.60.5.pdf" Type="http://schemas.openxmlformats.org/officeDocument/2006/relationships/hyperlink" Id="rId98"/>
    <Relationship TargetMode="External" Target="https://www.legis.iowa.gov/docs/iac/rule/567.62.1.pdf" Type="http://schemas.openxmlformats.org/officeDocument/2006/relationships/hyperlink" Id="rId99"/>
    <Relationship TargetMode="External" Target="https://www.legis.iowa.gov/docs/iac/chapter/567.62.pdf" Type="http://schemas.openxmlformats.org/officeDocument/2006/relationships/hyperlink" Id="rId100"/>
    <Relationship TargetMode="External" Target="https://www.legis.iowa.gov/docs/iac/rule/567.61.2.pdf" Type="http://schemas.openxmlformats.org/officeDocument/2006/relationships/hyperlink" Id="rId101"/>
    <Relationship TargetMode="External" Target="https://www.legis.iowa.gov/docs/ico/chapter/455B.173.pdf" Type="http://schemas.openxmlformats.org/officeDocument/2006/relationships/hyperlink" Id="rId102"/>
    <Relationship TargetMode="External" Target="https://www.legis.iowa.gov/docs/ico/chapter/455B.173.pdf" Type="http://schemas.openxmlformats.org/officeDocument/2006/relationships/hyperlink" Id="rId103"/>
    <Relationship TargetMode="External" Target="https://www.legis.iowa.gov/docs/iac/chapter/567.7.pdf" Type="http://schemas.openxmlformats.org/officeDocument/2006/relationships/hyperlink" Id="rId104"/>
    <Relationship TargetMode="External" Target="https://www.legis.iowa.gov/docs/ico/chapter/455B.199B.pdf" Type="http://schemas.openxmlformats.org/officeDocument/2006/relationships/hyperlink" Id="rId105"/>
    <Relationship TargetMode="External" Target="https://www.legis.iowa.gov/docs/iac/rule/567.60.7.pdf" Type="http://schemas.openxmlformats.org/officeDocument/2006/relationships/hyperlink" Id="rId106"/>
    <Relationship TargetMode="External" Target="https://www.legis.iowa.gov/docs/iac/rule/567.60.7.pdf" Type="http://schemas.openxmlformats.org/officeDocument/2006/relationships/hyperlink" Id="rId107"/>
    <Relationship TargetMode="External" Target="https://www.legis.iowa.gov/docs/ico/chapter/455B.199B.pdf" Type="http://schemas.openxmlformats.org/officeDocument/2006/relationships/hyperlink" Id="rId108"/>
    <Relationship TargetMode="External" Target="https://www.legis.iowa.gov/docs/iac/rule/567.60.7.pdf" Type="http://schemas.openxmlformats.org/officeDocument/2006/relationships/hyperlink" Id="rId109"/>
    <Relationship TargetMode="External" Target="https://www.legis.iowa.gov/docs/ico/chapter/455B.199B.pdf" Type="http://schemas.openxmlformats.org/officeDocument/2006/relationships/hyperlink" Id="rId110"/>
    <Relationship TargetMode="External" Target="https://www.legis.iowa.gov/docs/iac/rule/567.60.3.pdf" Type="http://schemas.openxmlformats.org/officeDocument/2006/relationships/hyperlink" Id="rId111"/>
    <Relationship TargetMode="External" Target="https://www.legis.iowa.gov/docs/iac/rule/567.60.3.pdf" Type="http://schemas.openxmlformats.org/officeDocument/2006/relationships/hyperlink" Id="rId112"/>
    <Relationship TargetMode="External" Target="https://www.legis.iowa.gov/docs/iac/rule/567.60.7.pdf" Type="http://schemas.openxmlformats.org/officeDocument/2006/relationships/hyperlink" Id="rId113"/>
    <Relationship TargetMode="External" Target="https://www.legis.iowa.gov/docs/ico/chapter/455B.pdf" Type="http://schemas.openxmlformats.org/officeDocument/2006/relationships/hyperlink" Id="rId114"/>
    <Relationship TargetMode="External" Target="https://www.legis.iowa.gov/docs/ico/chapter/455B.171.pdf" Type="http://schemas.openxmlformats.org/officeDocument/2006/relationships/hyperlink" Id="rId115"/>
    <Relationship TargetMode="External" Target="https://www.legis.iowa.gov/docs/ico/chapter/455B.187.pdf" Type="http://schemas.openxmlformats.org/officeDocument/2006/relationships/hyperlink" Id="rId116"/>
    <Relationship TargetMode="External" Target="https://www.legis.iowa.gov/docs/ico/chapter/455B.199B.pdf" Type="http://schemas.openxmlformats.org/officeDocument/2006/relationships/hyperlink" Id="rId117"/>
    <Relationship TargetMode="External" Target="https://www.legis.iowa.gov/docs/iac/rule/567.60.3.pdf" Type="http://schemas.openxmlformats.org/officeDocument/2006/relationships/hyperlink" Id="rId118"/>
    <Relationship TargetMode="External" Target="https://www.legis.iowa.gov/docs/iac/rule/567.60.3.pdf" Type="http://schemas.openxmlformats.org/officeDocument/2006/relationships/hyperlink" Id="rId119"/>
    <Relationship TargetMode="External" Target="https://www.legis.iowa.gov/docs/iac/rule/567.60.5.pdf" Type="http://schemas.openxmlformats.org/officeDocument/2006/relationships/hyperlink" Id="rId120"/>
    <Relationship TargetMode="External" Target="https://www.legis.iowa.gov/docs/iac/chapter/567.63.pdf" Type="http://schemas.openxmlformats.org/officeDocument/2006/relationships/hyperlink" Id="rId121"/>
    <Relationship TargetMode="External" Target="https://www.legis.iowa.gov/docs/iac/rule/567.60.3.pdf" Type="http://schemas.openxmlformats.org/officeDocument/2006/relationships/hyperlink" Id="rId122"/>
    <Relationship TargetMode="External" Target="https://www.legis.iowa.gov/docs/iac/rule/567.60.12.pdf" Type="http://schemas.openxmlformats.org/officeDocument/2006/relationships/hyperlink" Id="rId123"/>
    <Relationship TargetMode="External" Target="https://www.legis.iowa.gov/docs/ico/chapter/455B.173.pdf" Type="http://schemas.openxmlformats.org/officeDocument/2006/relationships/hyperlink" Id="rId124"/>
    <Relationship TargetMode="External" Target="https://www.legis.iowa.gov/docs/ico/chapter/17A.pdf" Type="http://schemas.openxmlformats.org/officeDocument/2006/relationships/hyperlink" Id="rId125"/>
    <Relationship TargetMode="External" Target="https://www.legis.iowa.gov/docs/iac/rule/567.60.3.pdf" Type="http://schemas.openxmlformats.org/officeDocument/2006/relationships/hyperlink" Id="rId126"/>
    <Relationship TargetMode="External" Target="https://www.legis.iowa.gov/docs/iac/rule/567.60.7.pdf" Type="http://schemas.openxmlformats.org/officeDocument/2006/relationships/hyperlink" Id="rId127"/>
    <Relationship TargetMode="External" Target="https://www.legis.iowa.gov/docs/ico/chapter/455B.197.pdf" Type="http://schemas.openxmlformats.org/officeDocument/2006/relationships/hyperlink" Id="rId128"/>
    <Relationship TargetMode="External" Target="https://www.legis.iowa.gov/docs/iac/rule/567.60.14.pdf" Type="http://schemas.openxmlformats.org/officeDocument/2006/relationships/hyperlink" Id="rId129"/>
    <Relationship TargetMode="External" Target="https://www.legis.iowa.gov/docs/iac/rule/567.60.12.pdf" Type="http://schemas.openxmlformats.org/officeDocument/2006/relationships/hyperlink" Id="rId130"/>
    <Relationship TargetMode="External" Target="https://www.legis.iowa.gov/docs/ico/chapter/455B.197.pdf" Type="http://schemas.openxmlformats.org/officeDocument/2006/relationships/hyperlink" Id="rId131"/>
    <Relationship TargetMode="External" Target="https://www.legis.iowa.gov/docs/iac/rule/567.60.5.pdf" Type="http://schemas.openxmlformats.org/officeDocument/2006/relationships/hyperlink" Id="rId132"/>
    <Relationship TargetMode="External" Target="https://www.legis.iowa.gov/docs/ico/chapter/455B.197.pdf" Type="http://schemas.openxmlformats.org/officeDocument/2006/relationships/hyperlink" Id="rId133"/>
    <Relationship TargetMode="External" Target="https://www.legis.iowa.gov/docs/iac/chapter/567.65.pdf" Type="http://schemas.openxmlformats.org/officeDocument/2006/relationships/hyperlink" Id="rId134"/>
    <Relationship TargetMode="External" Target="https://www.legis.iowa.gov/docs/iac/chapter/567.65.pdf" Type="http://schemas.openxmlformats.org/officeDocument/2006/relationships/hyperlink" Id="rId135"/>
    <Relationship TargetMode="External" Target="https://www.legis.iowa.gov/docs/iac/chapter/567.65.pdf" Type="http://schemas.openxmlformats.org/officeDocument/2006/relationships/hyperlink" Id="rId136"/>
    <Relationship TargetMode="External" Target="https://www.legis.iowa.gov/docs/ico/chapter/455B.pdf" Type="http://schemas.openxmlformats.org/officeDocument/2006/relationships/hyperlink" Id="rId1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