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AQUIFER STORAGE AND RECOVERY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567—55.1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for the department of natural resources to permit persons to inject, store, and recover treated water for potable use is given by Iowa Code sections </w:t>
      </w:r>
      <w:hyperlink r:id="rId5">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455B.269</w:t>
        </w:r>
      </w:hyperlink>
      <w:r>
        <w:rPr>
          <w:rFonts w:ascii="Times New Roman" w:hAnsi="Times New Roman"/>
          <w:b w:val="false"/>
          <w:i w:val="false"/>
          <w:color w:val="000000"/>
          <w:sz w:val="22"/>
        </w:rPr>
        <w:t>. This permit requirement applies to any aquifer storage and recovery (ASR) system. An entity seeking an ASR permit must review the permit criteria and contact the department if a permit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val="false"/>
          <w:color w:val="000000"/>
          <w:sz w:val="22"/>
        </w:rPr>
        <w:t>The ASR rules are intended to describe aquifer storage and recovery, including defining the affected area within the aquifer, creating a permit program with technical criteria for evaluating ASR projects, incorporating the practice of treated water recovery, and defining legal rights and obligations affecting ASR permit holders.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567—55.2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storage and recovery”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“ASR” </w:t>
      </w:r>
      <w:r>
        <w:rPr>
          <w:rFonts w:ascii="Times New Roman" w:hAnsi="Times New Roman"/>
          <w:b w:val="false"/>
          <w:i w:val="false"/>
          <w:color w:val="000000"/>
          <w:sz w:val="22"/>
        </w:rPr>
        <w:t>means the injection and storage of treated water in an aquifer through a permitted well during times when treated water is available and withdrawal of the treated water from the same aquifer through the same well during times when treated water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directly adjacent along all or part of one side of a legally defined piece of property. Tracts of land involved in the same water supply and separated only by separators such as roads, railroads, or bike trails are deemed contiguous 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“Displacement zone” </w:t>
      </w:r>
      <w:r>
        <w:rPr>
          <w:rFonts w:ascii="Times New Roman" w:hAnsi="Times New Roman"/>
          <w:b w:val="false"/>
          <w:i w:val="false"/>
          <w:color w:val="000000"/>
          <w:sz w:val="22"/>
        </w:rPr>
        <w:t>means the three-dimensional area of dispersion into which treated water is injected for storage, subject to later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registration” </w:t>
      </w:r>
      <w:r>
        <w:rPr>
          <w:rFonts w:ascii="Times New Roman" w:hAnsi="Times New Roman"/>
          <w:b w:val="false"/>
          <w:i w:val="false"/>
          <w:color w:val="000000"/>
          <w:sz w:val="22"/>
        </w:rPr>
        <w:t>means a two-year written authorization for a nonrecurring use of water for the purpose of forecasting and testing an ASR well system, including cyclic test pumping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integrity” </w:t>
      </w:r>
      <w:r>
        <w:rPr>
          <w:rFonts w:ascii="Times New Roman" w:hAnsi="Times New Roman"/>
          <w:b w:val="false"/>
          <w:i w:val="false"/>
          <w:color w:val="000000"/>
          <w:sz w:val="22"/>
        </w:rPr>
        <w:t>means any structural or material defect in an ASR well, well casing, or appurtenance that will prevent or materially impair the injection or pumping of water within an aquifer or contribute to aquifer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written department authorization issued to a permittee for the storage of treated water in an existing aquifer or the subsequent withdrawal of treated water from an existing aquifer. A permit specifies the quantity, duration, location, and instantaneous rate of this storage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 water supply system that obtains a permit authorizing the injection of and possession by storage of treated water in an aquifer, the withdrawal of this water at a later date, and the actual beneficial use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aquifer” </w:t>
      </w:r>
      <w:r>
        <w:rPr>
          <w:rFonts w:ascii="Times New Roman" w:hAnsi="Times New Roman"/>
          <w:b w:val="false"/>
          <w:i w:val="false"/>
          <w:color w:val="000000"/>
          <w:sz w:val="22"/>
        </w:rPr>
        <w:t>means the aquifer into which treated water is injected under the terms of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“Recovered water” </w:t>
      </w:r>
      <w:r>
        <w:rPr>
          <w:rFonts w:ascii="Times New Roman" w:hAnsi="Times New Roman"/>
          <w:b w:val="false"/>
          <w:i w:val="false"/>
          <w:color w:val="000000"/>
          <w:sz w:val="22"/>
        </w:rPr>
        <w:t>means water that is recovered from storage within a displacement zone under the terms of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“Stored water” </w:t>
      </w:r>
      <w:r>
        <w:rPr>
          <w:rFonts w:ascii="Times New Roman" w:hAnsi="Times New Roman"/>
          <w:b w:val="false"/>
          <w:i w:val="false"/>
          <w:color w:val="000000"/>
          <w:sz w:val="22"/>
        </w:rPr>
        <w:t>means injected, treated potable water that is stored in a receiving aquifer within the displacement zone under the terms of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“Treated water” </w:t>
      </w:r>
      <w:r>
        <w:rPr>
          <w:rFonts w:ascii="Times New Roman" w:hAnsi="Times New Roman"/>
          <w:b w:val="false"/>
          <w:i w:val="false"/>
          <w:color w:val="000000"/>
          <w:sz w:val="22"/>
        </w:rPr>
        <w:t xml:space="preserve">means water that has been physically, chemically, or biologically treated to meet national drinking water standards and is fit for human consumption as defined in </w:t>
      </w:r>
      <w:hyperlink r:id="rId8">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“Zone of influence” </w:t>
      </w:r>
      <w:r>
        <w:rPr>
          <w:rFonts w:ascii="Times New Roman" w:hAnsi="Times New Roman"/>
          <w:b w:val="false"/>
          <w:i w:val="false"/>
          <w:color w:val="000000"/>
          <w:sz w:val="22"/>
        </w:rPr>
        <w:t>means a circular area surrounding a pumping water well where the water table has been measurably lowered due to the action of the pump.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567—55.3</w:t>
      </w:r>
      <w:r>
        <w:rPr>
          <w:rFonts w:ascii="Times New Roman" w:hAnsi="Times New Roman"/>
          <w:b/>
          <w:i w:val="false"/>
          <w:color w:val="000000"/>
          <w:sz w:val="22"/>
        </w:rPr>
        <w:t xml:space="preserve">(455B) </w:t>
      </w:r>
      <w:r>
        <w:rPr>
          <w:rFonts w:ascii="Times New Roman" w:hAnsi="Times New Roman"/>
          <w:b/>
          <w:i w:val="false"/>
          <w:color w:val="000000"/>
          <w:sz w:val="22"/>
        </w:rPr>
        <w:t xml:space="preserve">ASR project application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An ASR permit shall be required for the storage of all treated water in an aquifer for later recovery for potable uses. An initial ASR permit application (a request for a new permit) shall be made on a form obtained from the department. An application must be submitted by or on behalf of the water system owner, lessee, or option holder of the area where the water is to be stored and recovered.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must be accompanied by a map portraying: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points of injection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immediate vicinity of the receiving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production, test, or other observation wells within the aquifer;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area of water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must include a description of the land where wells are located and water will be injected, withdrawn, and used, oriented as quarter-section, section, township, and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application will be adequate for all uses on contiguous tracts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construction permit issued pursuant to </w:t>
      </w:r>
      <w:hyperlink r:id="rId1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is also required for all injection/recovery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registration. </w:t>
      </w:r>
      <w:r>
        <w:rPr>
          <w:rFonts w:ascii="Times New Roman" w:hAnsi="Times New Roman"/>
          <w:b w:val="false"/>
          <w:i w:val="false"/>
          <w:color w:val="000000"/>
          <w:sz w:val="22"/>
        </w:rPr>
        <w:t xml:space="preserve">In response to an initial application, the department will issue a limited registration to initiate an ASR pretesting program pursuant to </w:t>
      </w:r>
      <w:hyperlink r:id="rId11">
        <w:r>
          <w:rPr>
            <w:rStyle w:val="Hyperlink"/>
            <w:rFonts w:ascii="Times New Roman" w:hAnsi="Times New Roman"/>
            <w:b w:val="false"/>
            <w:i w:val="false"/>
            <w:color w:val="000000"/>
            <w:sz w:val="22"/>
          </w:rPr>
          <w:t>55.4(1)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will only issue an ASR permit after approval and completion of an ASR pretesting program, with appropriate public notification pursuant to </w:t>
      </w:r>
      <w:hyperlink r:id="rId12">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xml:space="preserve"> and evaluation of the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renewal. </w:t>
      </w:r>
      <w:r>
        <w:rPr>
          <w:rFonts w:ascii="Times New Roman" w:hAnsi="Times New Roman"/>
          <w:b w:val="false"/>
          <w:i w:val="false"/>
          <w:color w:val="000000"/>
          <w:sz w:val="22"/>
        </w:rPr>
        <w:t>An ASR permit modification or renewal request shall be made in a manner similar to an initial application. A modification or renewal request does not need to reiterate map and location information unless the information has changed. The limited registration requirement for aquifer pretesting does not apply to modified or renewed ASR permit requests unless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 nonrefundable fee of $700 in the form of a credit card, check, electronic payment, or money order made payable to “Iowa Department of Natural Resources” must accompany any ASR permit application, modification request, or renewal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color w:val="000000"/>
          <w:sz w:val="22"/>
        </w:rPr>
        <w:t xml:space="preserve">Published notice—limited registration. </w:t>
      </w:r>
      <w:r>
        <w:rPr>
          <w:rFonts w:ascii="Times New Roman" w:hAnsi="Times New Roman"/>
          <w:b w:val="false"/>
          <w:i w:val="false"/>
          <w:color w:val="000000"/>
          <w:sz w:val="22"/>
        </w:rPr>
        <w:t xml:space="preserve">Prior to receiving a limited registration, an applicant shall publish a notice of intent to test the injection and water pumpage/recovery equipment. Publication shall be in a manner acceptable to the department and in the newspaper of largest circulation in the county where the ASR project is located. Proof of publication shall be submitted to the department. After the publication, the department will issue a limited registration allowing the applicant to conduct test pumping pursuant to </w:t>
      </w:r>
      <w:hyperlink r:id="rId13">
        <w:r>
          <w:rPr>
            <w:rStyle w:val="Hyperlink"/>
            <w:rFonts w:ascii="Times New Roman" w:hAnsi="Times New Roman"/>
            <w:b w:val="false"/>
            <w:i w:val="false"/>
            <w:color w:val="000000"/>
            <w:sz w:val="22"/>
          </w:rPr>
          <w:t>55.4(1)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applicant shall notify contiguous landowners by mail of receipt of the limited registration and the intent to test an ASR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w:t>
      </w:r>
      <w:r>
        <w:rPr>
          <w:rFonts w:ascii="Times New Roman" w:hAnsi="Times New Roman"/>
          <w:b w:val="false"/>
          <w:i w:val="false"/>
          <w:color w:val="000000"/>
          <w:sz w:val="22"/>
        </w:rPr>
        <w:t> </w:t>
      </w:r>
      <w:r>
        <w:rPr>
          <w:rFonts w:ascii="Times New Roman" w:hAnsi="Times New Roman"/>
          <w:b w:val="false"/>
          <w:i/>
          <w:color w:val="000000"/>
          <w:sz w:val="22"/>
        </w:rPr>
        <w:t xml:space="preserve">Published notice—departmental notice of proposed decision. </w:t>
      </w:r>
      <w:r>
        <w:rPr>
          <w:rFonts w:ascii="Times New Roman" w:hAnsi="Times New Roman"/>
          <w:b w:val="false"/>
          <w:i w:val="false"/>
          <w:color w:val="000000"/>
          <w:sz w:val="22"/>
        </w:rPr>
        <w:t>Before issuance of a final ASR permit, the department shall publish notice of proposed decision to issue an ASR permit or deny an ASR application. Publication shall be in the newspaper of largest circulation in the county where the ASR project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proposed decision shall summarize the department’s findings on whether an application conforms to relevant criteria as outlined in </w:t>
      </w:r>
      <w:hyperlink r:id="rId14">
        <w:r>
          <w:rPr>
            <w:rStyle w:val="Hyperlink"/>
            <w:rFonts w:ascii="Times New Roman" w:hAnsi="Times New Roman"/>
            <w:b w:val="false"/>
            <w:i w:val="false"/>
            <w:color w:val="000000"/>
            <w:sz w:val="22"/>
          </w:rPr>
          <w:t>55.4(1)</w:t>
        </w:r>
      </w:hyperlink>
      <w:r>
        <w:rPr>
          <w:rFonts w:ascii="Times New Roman" w:hAnsi="Times New Roman"/>
          <w:b w:val="false"/>
          <w:i w:val="false"/>
          <w:color w:val="000000"/>
          <w:sz w:val="22"/>
        </w:rPr>
        <w:t>. An engineering or hydrogeological summary report prepared by the department may be attached to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proposed decision shall be mailed to the applicant, any person who commented, and any other person who requests a copy of a proposed decision. The notice shall be accompanied by a certification of the mailing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decision becomes the final department decision unless a timely notice of appeal is filed in accordance with </w:t>
      </w:r>
      <w:hyperlink r:id="rId15">
        <w:r>
          <w:rPr>
            <w:rStyle w:val="Hyperlink"/>
            <w:rFonts w:ascii="Times New Roman" w:hAnsi="Times New Roman"/>
            <w:b w:val="false"/>
            <w:i w:val="false"/>
            <w:color w:val="000000"/>
            <w:sz w:val="22"/>
          </w:rPr>
          <w:t>55.3(6)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w:t>
      </w:r>
      <w:r>
        <w:rPr>
          <w:rFonts w:ascii="Times New Roman" w:hAnsi="Times New Roman"/>
          <w:b w:val="false"/>
          <w:i w:val="false"/>
          <w:color w:val="000000"/>
          <w:sz w:val="22"/>
        </w:rPr>
        <w:t> </w:t>
      </w:r>
      <w:r>
        <w:rPr>
          <w:rFonts w:ascii="Times New Roman" w:hAnsi="Times New Roman"/>
          <w:b w:val="false"/>
          <w:i/>
          <w:color w:val="000000"/>
          <w:sz w:val="22"/>
        </w:rPr>
        <w:t xml:space="preserve">Department decision. </w:t>
      </w:r>
      <w:r>
        <w:rPr>
          <w:rFonts w:ascii="Times New Roman" w:hAnsi="Times New Roman"/>
          <w:b w:val="false"/>
          <w:i w:val="false"/>
          <w:color w:val="000000"/>
          <w:sz w:val="22"/>
        </w:rPr>
        <w:t xml:space="preserve">The department’s decision on an application shall be an ASR permit or denial letter. Each ASR permit shall include appropriate standard and special conditions consistent with Iowa Code sections </w:t>
      </w:r>
      <w:hyperlink r:id="rId16">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567—Chapters 50</w:t>
        </w:r>
      </w:hyperlink>
      <w:r>
        <w:rPr>
          <w:rFonts w:ascii="Times New Roman" w:hAnsi="Times New Roman"/>
          <w:b w:val="false"/>
          <w:i w:val="false"/>
          <w:color w:val="000000"/>
          <w:sz w:val="22"/>
        </w:rPr>
        <w:t xml:space="preserve"> through </w:t>
      </w:r>
      <w:hyperlink r:id="rId20">
        <w:r>
          <w:rPr>
            <w:rStyle w:val="Hyperlink"/>
            <w:rFonts w:ascii="Times New Roman" w:hAnsi="Times New Roman"/>
            <w:b w:val="false"/>
            <w:i w:val="false"/>
            <w:color w:val="000000"/>
            <w:sz w:val="22"/>
          </w:rPr>
          <w:t>55</w:t>
        </w:r>
      </w:hyperlink>
      <w:r>
        <w:rPr>
          <w:rFonts w:ascii="Times New Roman" w:hAnsi="Times New Roman"/>
          <w:b w:val="false"/>
          <w:i w:val="false"/>
          <w:color w:val="000000"/>
          <w:sz w:val="22"/>
        </w:rPr>
        <w:t xml:space="preserve">. The decision may incorporate the summary report described in </w:t>
      </w:r>
      <w:hyperlink r:id="rId21">
        <w:r>
          <w:rPr>
            <w:rStyle w:val="Hyperlink"/>
            <w:rFonts w:ascii="Times New Roman" w:hAnsi="Times New Roman"/>
            <w:b w:val="false"/>
            <w:i w:val="false"/>
            <w:color w:val="000000"/>
            <w:sz w:val="22"/>
          </w:rPr>
          <w:t>55.3(4)</w:t>
        </w:r>
      </w:hyperlink>
      <w:r>
        <w:rPr>
          <w:rFonts w:ascii="Times New Roman" w:hAnsi="Times New Roman"/>
          <w:b w:val="false"/>
          <w:i w:val="false"/>
          <w:color w:val="000000"/>
          <w:sz w:val="22"/>
        </w:rPr>
        <w:t>. Each decision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Determinations as to whether the project satisfies all relevant criteria not addressed in an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each special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consideration given to all comments submitted pursuant to </w:t>
      </w:r>
      <w:hyperlink r:id="rId22">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55.3(4)</w:t>
        </w:r>
      </w:hyperlink>
      <w:r>
        <w:rPr>
          <w:rFonts w:ascii="Times New Roman" w:hAnsi="Times New Roman"/>
          <w:b w:val="false"/>
          <w:i w:val="false"/>
          <w:color w:val="000000"/>
          <w:sz w:val="22"/>
        </w:rPr>
        <w:t>, unless comments are addressed in the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w:t>
      </w:r>
      <w:r>
        <w:rPr>
          <w:rFonts w:ascii="Times New Roman" w:hAnsi="Times New Roman"/>
          <w:b w:val="false"/>
          <w:i w:val="false"/>
          <w:color w:val="000000"/>
          <w:sz w:val="22"/>
        </w:rPr>
        <w:t> </w:t>
      </w:r>
      <w:r>
        <w:rPr>
          <w:rFonts w:ascii="Times New Roman" w:hAnsi="Times New Roman"/>
          <w:b w:val="false"/>
          <w:i/>
          <w:color w:val="000000"/>
          <w:sz w:val="22"/>
        </w:rPr>
        <w:t xml:space="preserve">Appeal of department decision. </w:t>
      </w:r>
      <w:r>
        <w:rPr>
          <w:rFonts w:ascii="Times New Roman" w:hAnsi="Times New Roman"/>
          <w:b w:val="false"/>
          <w:i w:val="false"/>
          <w:color w:val="000000"/>
          <w:sz w:val="22"/>
        </w:rPr>
        <w:t xml:space="preserve">Any person aggrieved by an initial ASR permit decision may appeal the action. An appeal request must be submitted in writing to the director within 30 days of the date of issuance of the final department decision. The director’s decision on an appeal may be further appealed to the commission. The form of appeal and appeal procedures are governed by </w:t>
      </w:r>
      <w:hyperlink r:id="rId24">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department shall mail a copy of the notice of appeal to each person who commented on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567—55.4</w:t>
      </w:r>
      <w:r>
        <w:rPr>
          <w:rFonts w:ascii="Times New Roman" w:hAnsi="Times New Roman"/>
          <w:b/>
          <w:i w:val="false"/>
          <w:color w:val="000000"/>
          <w:sz w:val="22"/>
        </w:rPr>
        <w:t xml:space="preserve">(455B) </w:t>
      </w:r>
      <w:r>
        <w:rPr>
          <w:rFonts w:ascii="Times New Roman" w:hAnsi="Times New Roman"/>
          <w:b/>
          <w:i w:val="false"/>
          <w:color w:val="000000"/>
          <w:sz w:val="22"/>
        </w:rPr>
        <w:t xml:space="preserve">ASR technical evaluation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Injections into aquifers for the purpose of treated water storage and subsequent withdrawals from the receiving aquifers intended for potable uses shall be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Aquifer pretesting.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registration for aquifer pretesting as described in </w:t>
      </w:r>
      <w:hyperlink r:id="rId25">
        <w:r>
          <w:rPr>
            <w:rStyle w:val="Hyperlink"/>
            <w:rFonts w:ascii="Times New Roman" w:hAnsi="Times New Roman"/>
            <w:b w:val="false"/>
            <w:i w:val="false"/>
            <w:color w:val="000000"/>
            <w:sz w:val="22"/>
          </w:rPr>
          <w:t>55.3(1)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for the period of two years and may be renewed for two additional one-year periods, for a total cumulative registration time not to exceed four years, should pretesting completion require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limited registration shall allow aquifer pretesting for determining the feasibility of ASR, including placement of pumping and storage/extraction equipment. The pretesting program shall be designed to provide the information to evaluate the ultimate capacity anticipated for the ASR project and provide assurance that the ASR site shall not restrict other uses of the aquifer. The pretesting program shall include injection rates and schedules, water storage volumes, recovery rates and schedule, and a final testing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Engineering report. </w:t>
      </w:r>
      <w:r>
        <w:rPr>
          <w:rFonts w:ascii="Times New Roman" w:hAnsi="Times New Roman"/>
          <w:b w:val="false"/>
          <w:i w:val="false"/>
          <w:color w:val="000000"/>
          <w:sz w:val="22"/>
        </w:rPr>
        <w:t>An engineering report evaluating the technical feasibility of the proposed water injection and the probable percentage of recovery of treated water when pumped for recovery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engineering report shall include preliminary information from conceptual evaluations and aquifer pretesting,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Injection rates and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storage volumes;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time the injected water will be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projected recovery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 quality data necessary to demonstrate that the water meets national drinking water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Water level monitoring data, including the location of observation wells,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plan detailing what will be done with the recovered water if the intended use is not possible;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final testing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report can demonstrate, by field test results or by conceptual or mathematical hydrogeologic modeling, that the injection, storage, and subsequent recovery will not adversely affect nearby users, an ASR project may be permitted after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displacement zone containing the stored volume of water will not be allowed if it adversely affects another user’s zone of influence. If the department finds, through hydrogeologic modeling or during pretesting, that the proposed displacement zone may impact the zone of influence of another user’s existing well, additional testing will be required. The department may require the applicant to construct observation wells between the ASR site and nearby wells and may designate project-specific monitoring and reporting requirements at the observation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hydrogeologic site investigation that evaluates potential quantitative and qualitative impacts to the aquifer, including changes to localized aquifer geochemistry, shall be part of the engineering report. Preliminary hydrogeologic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geology;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hydrogeologic flow model of the area flow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aquifer targeted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flow direction and rate of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of both permitted and private wells within the area affected by ASR wells, including best estimates of respective zones of influence;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basis for estimating the displacement zone;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Potable water quantity recovery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Protection of nearby existing water uses. </w:t>
      </w:r>
      <w:r>
        <w:rPr>
          <w:rFonts w:ascii="Times New Roman" w:hAnsi="Times New Roman"/>
          <w:b w:val="false"/>
          <w:i w:val="false"/>
          <w:color w:val="000000"/>
          <w:sz w:val="22"/>
        </w:rPr>
        <w:t>An ASR permit applicant shall demonstrate that an ASR site will not restrict other uses of the aquifer by nearby water use permittees.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shall conduct an inventory of nearby wells and submit it to the department with an ASR permit application. The department, after considering the rate and amount of the ASR injections and withdrawals and the aquifer characteristics, will determine the inventory’s extent and the appropriate radius from the proposed ASR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shall make a good-faith effort to obtain information from public records to identify nearby landowners and occupants and information from drilling contractors identified by a landowner or occupant who responds to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shall immediately notify the department of all objections raised by nearby landowners or other on-site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Well interference conflicts arising from the proposed ASR site or project shall be resolved as outlined in </w:t>
      </w:r>
      <w:hyperlink r:id="rId26">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xml:space="preserve"> or as otherwise specified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567—55.5</w:t>
      </w:r>
      <w:r>
        <w:rPr>
          <w:rFonts w:ascii="Times New Roman" w:hAnsi="Times New Roman"/>
          <w:b/>
          <w:i w:val="false"/>
          <w:color w:val="000000"/>
          <w:sz w:val="22"/>
        </w:rPr>
        <w:t xml:space="preserve">(455B) </w:t>
      </w:r>
      <w:r>
        <w:rPr>
          <w:rFonts w:ascii="Times New Roman" w:hAnsi="Times New Roman"/>
          <w:b/>
          <w:i w:val="false"/>
          <w:color w:val="000000"/>
          <w:sz w:val="22"/>
        </w:rPr>
        <w:t xml:space="preserve">ASR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Water use restriction. </w:t>
      </w:r>
      <w:r>
        <w:rPr>
          <w:rFonts w:ascii="Times New Roman" w:hAnsi="Times New Roman"/>
          <w:b w:val="false"/>
          <w:i w:val="false"/>
          <w:color w:val="000000"/>
          <w:sz w:val="22"/>
        </w:rPr>
        <w:t>Water recovery from an ASR site will not be permitted to any user other than the ASR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MCL exceedance limitation. </w:t>
      </w:r>
      <w:r>
        <w:rPr>
          <w:rFonts w:ascii="Times New Roman" w:hAnsi="Times New Roman"/>
          <w:b w:val="false"/>
          <w:i w:val="false"/>
          <w:color w:val="000000"/>
          <w:sz w:val="22"/>
        </w:rPr>
        <w:t xml:space="preserve">Contaminant levels in water injected in accordance with an ASR permit shall not exceed the maximum contaminant levels (MCLs) established by the department in </w:t>
      </w:r>
      <w:hyperlink r:id="rId27">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2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Chemicals associated with disinfection of the water may be injected into the aquifer up to the standards established under </w:t>
      </w:r>
      <w:hyperlink r:id="rId29">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3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or as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r>
        <w:rPr>
          <w:rFonts w:ascii="Times New Roman" w:hAnsi="Times New Roman"/>
          <w:b w:val="false"/>
          <w:i w:val="false"/>
          <w:color w:val="000000"/>
          <w:sz w:val="22"/>
        </w:rPr>
        <w:t>Permittees shall maintain a monthly record of injection and recovery, including the total number of hours of injection and recovery and the total metered quantity injected and recovered. These records must be submitted to the department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shall keep project records, including water quality monitoring records, for a period of five years. Water quality monitoring shall be performed at the frequency required by </w:t>
      </w:r>
      <w:hyperlink r:id="rId31">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32">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as identified in the system’s PWS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shall keep records for a period of three years after ASR project termination and recovery well closure(s).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55.5(4)</w:t>
      </w:r>
      <w:r>
        <w:rPr>
          <w:rFonts w:ascii="Times New Roman" w:hAnsi="Times New Roman"/>
          <w:b w:val="false"/>
          <w:i w:val="false"/>
          <w:color w:val="000000"/>
          <w:sz w:val="22"/>
        </w:rPr>
        <w:t> </w:t>
      </w:r>
      <w:r>
        <w:rPr>
          <w:rFonts w:ascii="Times New Roman" w:hAnsi="Times New Roman"/>
          <w:b w:val="false"/>
          <w:i/>
          <w:color w:val="000000"/>
          <w:sz w:val="22"/>
        </w:rPr>
        <w:t xml:space="preserve">Vacating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vacate an ASR permit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fails to construct injection and water pumpage/recovery and ancillary equipment within three years of permit issuance, or the term of subsequent permit modifications or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does not use the storage system within three years of permit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permit is vacated, the permittee must submit a site abandonment plan that includes the physical removal of injection and water recovery equipment and the abandonment of all injection/recovery and observation wells, pursuant to </w:t>
      </w:r>
      <w:hyperlink r:id="rId33">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permittee whose permit is vacated may request a formal review of the action. The permittee must submit a review request in writing to the director within 30 days of notification of the final department decision. The director’s decision in a formal review case may be further appealed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w:t>
      </w:r>
      <w:r>
        <w:rPr>
          <w:rFonts w:ascii="Times New Roman" w:hAnsi="Times New Roman"/>
          <w:b w:val="false"/>
          <w:i w:val="false"/>
          <w:color w:val="000000"/>
          <w:sz w:val="22"/>
        </w:rPr>
        <w:t> </w:t>
      </w:r>
      <w:r>
        <w:rPr>
          <w:rFonts w:ascii="Times New Roman" w:hAnsi="Times New Roman"/>
          <w:b w:val="false"/>
          <w:i/>
          <w:color w:val="000000"/>
          <w:sz w:val="22"/>
        </w:rPr>
        <w:t xml:space="preserve">Mechanical integrity conditions. </w:t>
      </w:r>
      <w:r>
        <w:rPr>
          <w:rFonts w:ascii="Times New Roman" w:hAnsi="Times New Roman"/>
          <w:b w:val="false"/>
          <w:i w:val="false"/>
          <w:color w:val="000000"/>
          <w:sz w:val="22"/>
        </w:rPr>
        <w:t>Other conditions necessary to ensure adequate protection of water supplies may be imposed in a permit for mechanical integrity checks of the injection and treated water recovery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w:t>
      </w:r>
      <w:r>
        <w:rPr>
          <w:rFonts w:ascii="Times New Roman" w:hAnsi="Times New Roman"/>
          <w:b w:val="false"/>
          <w:i w:val="false"/>
          <w:color w:val="000000"/>
          <w:sz w:val="22"/>
        </w:rPr>
        <w:t> </w:t>
      </w:r>
      <w:r>
        <w:rPr>
          <w:rFonts w:ascii="Times New Roman" w:hAnsi="Times New Roman"/>
          <w:b w:val="false"/>
          <w:i/>
          <w:color w:val="000000"/>
          <w:sz w:val="22"/>
        </w:rPr>
        <w:t xml:space="preserve">Permit modification or revocation. </w:t>
      </w:r>
      <w:r>
        <w:rPr>
          <w:rFonts w:ascii="Times New Roman" w:hAnsi="Times New Roman"/>
          <w:b w:val="false"/>
          <w:i w:val="false"/>
          <w:color w:val="000000"/>
          <w:sz w:val="22"/>
        </w:rPr>
        <w:t>The department may revoke or modify a permit to prevent or mitigate injury to other water users or otherwise protect aquifer water quality. The department may, based upon valid scientific data, further restrict certain chemicals in the injection source water if the department finds the constituents will interfere with or pose a threat to the maintenance of Iowa’s water resources for present or future beneficial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w:t>
      </w:r>
      <w:r>
        <w:rPr>
          <w:rFonts w:ascii="Times New Roman" w:hAnsi="Times New Roman"/>
          <w:b w:val="false"/>
          <w:i w:val="false"/>
          <w:color w:val="000000"/>
          <w:sz w:val="22"/>
        </w:rPr>
        <w:t> </w:t>
      </w:r>
      <w:r>
        <w:rPr>
          <w:rFonts w:ascii="Times New Roman" w:hAnsi="Times New Roman"/>
          <w:b w:val="false"/>
          <w:i/>
          <w:color w:val="000000"/>
          <w:sz w:val="22"/>
        </w:rPr>
        <w:t xml:space="preserve">Permit duration and conditions, permittee property rights, and well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ASR permits shall be issued for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ASR permits will specify the maximum allowable injection rate at each well, the maximum allowable annual quantitative storage volume, and the maximum allowable instantaneous water withdrawal rate at each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authorize withdrawals of treated water from an ASR site by anyone other than the permittee while the permit or subsequent renewal permits are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Stored water and recovered water are the property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permit is revoked or otherwise surrendered, the ownership of the injected water within the aquifer (the water considered as “property”) reverts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wells within displacement zone.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new private water wells, injection/withdrawal wells, observation wells, or PWS wells shall be permitted by any governmental entity within the ASR displacement zone while an ASR permit is in effect. Existing wells within a permitted displacement zone shall be plugged pursuant to </w:t>
      </w:r>
      <w:hyperlink r:id="rId34">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ASR permits shall be filed with the appropriate county recorders to provide notice to present and future landowners of all permit conditions or requirements, including the well prohibition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455B.269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ARC 7694B</w:t>
      </w:r>
      <w:r>
        <w:rPr>
          <w:rFonts w:ascii="Times New Roman" w:hAnsi="Times New Roman"/>
          <w:b w:val="false"/>
          <w:i w:val="false"/>
          <w:color w:val="000000"/>
          <w:sz w:val="21"/>
        </w:rPr>
        <w:t xml:space="preserve"> (Notice ARC 7307B, IAB 11/5/08)</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9202C</w:t>
      </w:r>
      <w:r>
        <w:rPr>
          <w:rFonts w:ascii="Times New Roman" w:hAnsi="Times New Roman"/>
          <w:b w:val="false"/>
          <w:i w:val="false"/>
          <w:color w:val="000000"/>
          <w:sz w:val="21"/>
        </w:rPr>
        <w:t xml:space="preserve"> (Notice ARC 8619C,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61.pdf" Type="http://schemas.openxmlformats.org/officeDocument/2006/relationships/hyperlink" Id="rId5"/>
    <Relationship TargetMode="External" Target="https://www.legis.iowa.gov/docs/ico/chapter/455B.265.pdf" Type="http://schemas.openxmlformats.org/officeDocument/2006/relationships/hyperlink" Id="rId6"/>
    <Relationship TargetMode="External" Target="https://www.legis.iowa.gov/docs/ico/chapter/455B.269.pdf" Type="http://schemas.openxmlformats.org/officeDocument/2006/relationships/hyperlink" Id="rId7"/>
    <Relationship TargetMode="External" Target="https://www.legis.iowa.gov/docs/iac/chapter/567.40.pdf" Type="http://schemas.openxmlformats.org/officeDocument/2006/relationships/hyperlink" Id="rId8"/>
    <Relationship TargetMode="External" Target="https://www.legis.iowa.gov/docs/iac/chapter/567.43.pdf" Type="http://schemas.openxmlformats.org/officeDocument/2006/relationships/hyperlink" Id="rId9"/>
    <Relationship TargetMode="External" Target="https://www.legis.iowa.gov/docs/iac/chapter/567.43.pdf" Type="http://schemas.openxmlformats.org/officeDocument/2006/relationships/hyperlink" Id="rId10"/>
    <Relationship TargetMode="External" Target="https://www.legis.iowa.gov/docs/iac/rule/567.55.4.pdf" Type="http://schemas.openxmlformats.org/officeDocument/2006/relationships/hyperlink" Id="rId11"/>
    <Relationship TargetMode="External" Target="https://www.legis.iowa.gov/docs/iac/rule/567.55.3.pdf" Type="http://schemas.openxmlformats.org/officeDocument/2006/relationships/hyperlink" Id="rId12"/>
    <Relationship TargetMode="External" Target="https://www.legis.iowa.gov/docs/iac/rule/567.55.4.pdf" Type="http://schemas.openxmlformats.org/officeDocument/2006/relationships/hyperlink" Id="rId13"/>
    <Relationship TargetMode="External" Target="https://www.legis.iowa.gov/docs/iac/rule/567.55.4.pdf" Type="http://schemas.openxmlformats.org/officeDocument/2006/relationships/hyperlink" Id="rId14"/>
    <Relationship TargetMode="External" Target="https://www.legis.iowa.gov/docs/iac/rule/567.55.3.pdf" Type="http://schemas.openxmlformats.org/officeDocument/2006/relationships/hyperlink" Id="rId15"/>
    <Relationship TargetMode="External" Target="https://www.legis.iowa.gov/docs/ico/chapter/455B.261.pdf" Type="http://schemas.openxmlformats.org/officeDocument/2006/relationships/hyperlink" Id="rId16"/>
    <Relationship TargetMode="External" Target="https://www.legis.iowa.gov/docs/ico/chapter/455B.274.pdf" Type="http://schemas.openxmlformats.org/officeDocument/2006/relationships/hyperlink" Id="rId17"/>
    <Relationship TargetMode="External" Target="https://www.legis.iowa.gov/docs/ico/chapter/455B.281.pdf" Type="http://schemas.openxmlformats.org/officeDocument/2006/relationships/hyperlink" Id="rId18"/>
    <Relationship TargetMode="External" Target="https://www.legis.iowa.gov/docs/iac/rule/567.50..pdf" Type="http://schemas.openxmlformats.org/officeDocument/2006/relationships/hyperlink" Id="rId19"/>
    <Relationship TargetMode="External" Target="https://www.legis.iowa.gov/docs/iac/chapter/567.55.pdf" Type="http://schemas.openxmlformats.org/officeDocument/2006/relationships/hyperlink" Id="rId20"/>
    <Relationship TargetMode="External" Target="https://www.legis.iowa.gov/docs/iac/rule/567.55.3.pdf" Type="http://schemas.openxmlformats.org/officeDocument/2006/relationships/hyperlink" Id="rId21"/>
    <Relationship TargetMode="External" Target="https://www.legis.iowa.gov/docs/iac/rule/567.55.3.pdf" Type="http://schemas.openxmlformats.org/officeDocument/2006/relationships/hyperlink" Id="rId22"/>
    <Relationship TargetMode="External" Target="https://www.legis.iowa.gov/docs/iac/rule/567.55.3.pdf" Type="http://schemas.openxmlformats.org/officeDocument/2006/relationships/hyperlink" Id="rId23"/>
    <Relationship TargetMode="External" Target="https://www.legis.iowa.gov/docs/iac/chapter/567.7.pdf" Type="http://schemas.openxmlformats.org/officeDocument/2006/relationships/hyperlink" Id="rId24"/>
    <Relationship TargetMode="External" Target="https://www.legis.iowa.gov/docs/iac/rule/567.55.3.pdf" Type="http://schemas.openxmlformats.org/officeDocument/2006/relationships/hyperlink" Id="rId25"/>
    <Relationship TargetMode="External" Target="https://www.legis.iowa.gov/docs/iac/chapter/567.54.pdf" Type="http://schemas.openxmlformats.org/officeDocument/2006/relationships/hyperlink" Id="rId26"/>
    <Relationship TargetMode="External" Target="https://www.legis.iowa.gov/docs/iac/chapter/567.40.pdf" Type="http://schemas.openxmlformats.org/officeDocument/2006/relationships/hyperlink" Id="rId27"/>
    <Relationship TargetMode="External" Target="https://www.legis.iowa.gov/docs/iac/chapter/567.43.pdf" Type="http://schemas.openxmlformats.org/officeDocument/2006/relationships/hyperlink" Id="rId28"/>
    <Relationship TargetMode="External" Target="https://www.legis.iowa.gov/docs/iac/chapter/567.40.pdf" Type="http://schemas.openxmlformats.org/officeDocument/2006/relationships/hyperlink" Id="rId29"/>
    <Relationship TargetMode="External" Target="https://www.legis.iowa.gov/docs/iac/chapter/567.43.pdf" Type="http://schemas.openxmlformats.org/officeDocument/2006/relationships/hyperlink" Id="rId30"/>
    <Relationship TargetMode="External" Target="https://www.legis.iowa.gov/docs/iac/rule/567.40..pdf" Type="http://schemas.openxmlformats.org/officeDocument/2006/relationships/hyperlink" Id="rId31"/>
    <Relationship TargetMode="External" Target="https://www.legis.iowa.gov/docs/iac/chapter/567.43.pdf" Type="http://schemas.openxmlformats.org/officeDocument/2006/relationships/hyperlink" Id="rId32"/>
    <Relationship TargetMode="External" Target="https://www.legis.iowa.gov/docs/iac/chapter/567.39.pdf" Type="http://schemas.openxmlformats.org/officeDocument/2006/relationships/hyperlink" Id="rId33"/>
    <Relationship TargetMode="External" Target="https://www.legis.iowa.gov/docs/iac/chapter/567.39.pdf" Type="http://schemas.openxmlformats.org/officeDocument/2006/relationships/hyperlink" Id="rId34"/>
    <Relationship TargetMode="External" Target="https://www.legis.iowa.gov/docs/ico/chapter/455B.261.pdf" Type="http://schemas.openxmlformats.org/officeDocument/2006/relationships/hyperlink" Id="rId35"/>
    <Relationship TargetMode="External" Target="https://www.legis.iowa.gov/docs/ico/chapter/455B.265.pdf" Type="http://schemas.openxmlformats.org/officeDocument/2006/relationships/hyperlink" Id="rId36"/>
    <Relationship TargetMode="External" Target="https://www.legis.iowa.gov/docs/ico/chapter/455B.269.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