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WATER USE PERMIT RESTRICTIONS OR COMPENSATION BY PERMITTED USERS TO NONREGULATED USERS DUE TO WELL INTERFERENCE</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567—54.1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groundwater supply” </w:t>
      </w:r>
      <w:r>
        <w:rPr>
          <w:rFonts w:ascii="Times New Roman" w:hAnsi="Times New Roman"/>
          <w:b w:val="false"/>
          <w:i w:val="false"/>
          <w:color w:val="000000"/>
          <w:sz w:val="22"/>
        </w:rPr>
        <w:t>means an aquifer that is capable of providing enough water to satisfy the demands that have been placed on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“Apparent well interference” </w:t>
      </w:r>
      <w:r>
        <w:rPr>
          <w:rFonts w:ascii="Times New Roman" w:hAnsi="Times New Roman"/>
          <w:b w:val="false"/>
          <w:i w:val="false"/>
          <w:color w:val="000000"/>
          <w:sz w:val="22"/>
        </w:rPr>
        <w:t>means well interference in a nonregulated well resulting from a permitted use is likely but has not been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means payment to the owner of a nonregulated well for damages caused by a lowered water level in the well due to withdrawal of water for a permitted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means the owner of a nonregulated well who is suspected of being or has been shown to be adversely affected by well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the formal allegation against a permitted water user who is suspected of causing well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negotiations” </w:t>
      </w:r>
      <w:r>
        <w:rPr>
          <w:rFonts w:ascii="Times New Roman" w:hAnsi="Times New Roman"/>
          <w:b w:val="false"/>
          <w:i w:val="false"/>
          <w:color w:val="000000"/>
          <w:sz w:val="22"/>
        </w:rPr>
        <w:t>means discussion between a complainant and permittee or applicant regarding settlement of a well interference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r>
        <w:rPr>
          <w:rFonts w:ascii="Times New Roman" w:hAnsi="Times New Roman"/>
          <w:b w:val="false"/>
          <w:i w:val="false"/>
          <w:color w:val="000000"/>
          <w:sz w:val="22"/>
        </w:rPr>
        <w:t>means a resolution of a well interference conflict by informal negotiations between a complainant and permittee or applicant without formal action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“Suspect permittee” </w:t>
      </w:r>
      <w:r>
        <w:rPr>
          <w:rFonts w:ascii="Times New Roman" w:hAnsi="Times New Roman"/>
          <w:b w:val="false"/>
          <w:i w:val="false"/>
          <w:color w:val="000000"/>
          <w:sz w:val="22"/>
        </w:rPr>
        <w:t>means a party possessing a water use permit when the permitted use is suspected of causing well interference in a nonregulated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“Technical Bulletin No. 23” </w:t>
      </w:r>
      <w:r>
        <w:rPr>
          <w:rFonts w:ascii="Times New Roman" w:hAnsi="Times New Roman"/>
          <w:b w:val="false"/>
          <w:i w:val="false"/>
          <w:color w:val="000000"/>
          <w:sz w:val="22"/>
        </w:rPr>
        <w:t xml:space="preserve">means “Technical Bulletin No. 23, Guidelines for Well Interference Compensation,” Iowa Department of Natural Resources, April 1986, available on the department’s website at </w:t>
      </w:r>
      <w:hyperlink r:id="rId5">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pumping” </w:t>
      </w:r>
      <w:r>
        <w:rPr>
          <w:rFonts w:ascii="Times New Roman" w:hAnsi="Times New Roman"/>
          <w:b w:val="false"/>
          <w:i w:val="false"/>
          <w:color w:val="000000"/>
          <w:sz w:val="22"/>
        </w:rPr>
        <w:t>means a controlled aquifer test for verification of well interference using the existing wells and pumping systems of the complainant and suspect permittee.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567—54.2</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Requirements for informal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complainant and permittee or applicant must attempt to negotiate an informal settlement prior to the department becoming involved in the verification and settlement procedures described in rules </w:t>
      </w:r>
      <w:hyperlink r:id="rId6">
        <w:r>
          <w:rPr>
            <w:rStyle w:val="Hyperlink"/>
            <w:rFonts w:ascii="Times New Roman" w:hAnsi="Times New Roman"/>
            <w:b w:val="false"/>
            <w:i w:val="false"/>
            <w:color w:val="000000"/>
            <w:sz w:val="22"/>
          </w:rPr>
          <w:t>567—54.6</w:t>
        </w:r>
      </w:hyperlink>
      <w:r>
        <w:rPr>
          <w:rFonts w:ascii="Times New Roman" w:hAnsi="Times New Roman"/>
          <w:b w:val="false"/>
          <w:i w:val="false"/>
          <w:color w:val="000000"/>
          <w:sz w:val="22"/>
        </w:rPr>
        <w:t xml:space="preserve">(455B) and </w:t>
      </w:r>
      <w:hyperlink r:id="rId7">
        <w:r>
          <w:rPr>
            <w:rStyle w:val="Hyperlink"/>
            <w:rFonts w:ascii="Times New Roman" w:hAnsi="Times New Roman"/>
            <w:b w:val="false"/>
            <w:i w:val="false"/>
            <w:color w:val="000000"/>
            <w:sz w:val="22"/>
          </w:rPr>
          <w:t>567—54.7</w:t>
        </w:r>
      </w:hyperlink>
      <w:r>
        <w:rPr>
          <w:rFonts w:ascii="Times New Roman" w:hAnsi="Times New Roman"/>
          <w:b w:val="false"/>
          <w:i w:val="false"/>
          <w:color w:val="000000"/>
          <w:sz w:val="22"/>
        </w:rPr>
        <w:t>(455B). If informal negotiations fail, a letter stating the reasons for the failure to achieve a settlement, signed by all parties to the complaint or identifying those parties who refuse to sign, shall be sent to the department. Verbal notification will be accepted if followed by written confirmation.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54.2(2)</w:t>
      </w:r>
      <w:r>
        <w:rPr>
          <w:rFonts w:ascii="Times New Roman" w:hAnsi="Times New Roman"/>
          <w:b w:val="false"/>
          <w:i w:val="false"/>
          <w:color w:val="000000"/>
          <w:sz w:val="22"/>
        </w:rPr>
        <w:t> </w:t>
      </w:r>
      <w:r>
        <w:rPr>
          <w:rFonts w:ascii="Times New Roman" w:hAnsi="Times New Roman"/>
          <w:b w:val="false"/>
          <w:i w:val="false"/>
          <w:color w:val="000000"/>
          <w:sz w:val="22"/>
        </w:rPr>
        <w:t>Guidelines for informal negotiations are provided in Technical Bulletin No. 23. Settlements which result from informal negotiations may be registered with the department for consideration in subsequent conflicts.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567—54.3</w:t>
      </w:r>
      <w:r>
        <w:rPr>
          <w:rFonts w:ascii="Times New Roman" w:hAnsi="Times New Roman"/>
          <w:b/>
          <w:i w:val="false"/>
          <w:color w:val="000000"/>
          <w:sz w:val="22"/>
        </w:rPr>
        <w:t xml:space="preserve">(455B) </w:t>
      </w:r>
      <w:r>
        <w:rPr>
          <w:rFonts w:ascii="Times New Roman" w:hAnsi="Times New Roman"/>
          <w:b/>
          <w:i w:val="false"/>
          <w:color w:val="000000"/>
          <w:sz w:val="22"/>
        </w:rPr>
        <w:t xml:space="preserve">Failure to cooperate. </w:t>
      </w:r>
      <w:r>
        <w:rPr>
          <w:rFonts w:ascii="Times New Roman" w:hAnsi="Times New Roman"/>
          <w:b w:val="false"/>
          <w:i w:val="false"/>
          <w:color w:val="000000"/>
          <w:sz w:val="22"/>
        </w:rPr>
        <w:t xml:space="preserve">If any party refuses to cooperate, fails to provide the required information, or fails to meet the specified deadlines, the complaint may be dismissed, a permanent permit modification or termination may be issued pursuant to </w:t>
      </w:r>
      <w:hyperlink r:id="rId8">
        <w:r>
          <w:rPr>
            <w:rStyle w:val="Hyperlink"/>
            <w:rFonts w:ascii="Times New Roman" w:hAnsi="Times New Roman"/>
            <w:b w:val="false"/>
            <w:i w:val="false"/>
            <w:color w:val="000000"/>
            <w:sz w:val="22"/>
          </w:rPr>
          <w:t>567—subrule 50.14(1)</w:t>
        </w:r>
      </w:hyperlink>
      <w:r>
        <w:rPr>
          <w:rFonts w:ascii="Times New Roman" w:hAnsi="Times New Roman"/>
          <w:b w:val="false"/>
          <w:i w:val="false"/>
          <w:color w:val="000000"/>
          <w:sz w:val="22"/>
        </w:rPr>
        <w:t xml:space="preserve"> or an application may be conditioned or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567—54.4</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interference by proposed withdrawals. </w:t>
      </w:r>
      <w:r>
        <w:rPr>
          <w:rFonts w:ascii="Times New Roman" w:hAnsi="Times New Roman"/>
          <w:b w:val="false"/>
          <w:i w:val="false"/>
          <w:color w:val="000000"/>
          <w:sz w:val="22"/>
        </w:rPr>
        <w:t xml:space="preserve">If the department, using supporting data provided by the applicant pursuant to rule </w:t>
      </w:r>
      <w:hyperlink r:id="rId9">
        <w:r>
          <w:rPr>
            <w:rStyle w:val="Hyperlink"/>
            <w:rFonts w:ascii="Times New Roman" w:hAnsi="Times New Roman"/>
            <w:b w:val="false"/>
            <w:i w:val="false"/>
            <w:color w:val="000000"/>
            <w:sz w:val="22"/>
          </w:rPr>
          <w:t>567—50.5</w:t>
        </w:r>
      </w:hyperlink>
      <w:r>
        <w:rPr>
          <w:rFonts w:ascii="Times New Roman" w:hAnsi="Times New Roman"/>
          <w:b w:val="false"/>
          <w:i w:val="false"/>
          <w:color w:val="000000"/>
          <w:sz w:val="22"/>
        </w:rPr>
        <w:t xml:space="preserve">(455B), determines that a proposed withdrawal will cause verified well interference in a nonregulated well(s), the applicant will be given options for resolving the imminent conflict(s) in accordance with </w:t>
      </w:r>
      <w:hyperlink r:id="rId10">
        <w:r>
          <w:rPr>
            <w:rStyle w:val="Hyperlink"/>
            <w:rFonts w:ascii="Times New Roman" w:hAnsi="Times New Roman"/>
            <w:b w:val="false"/>
            <w:i w:val="false"/>
            <w:color w:val="000000"/>
            <w:sz w:val="22"/>
          </w:rPr>
          <w:t>567—subrule 50.7(1)</w:t>
        </w:r>
      </w:hyperlink>
      <w:r>
        <w:rPr>
          <w:rFonts w:ascii="Times New Roman" w:hAnsi="Times New Roman"/>
          <w:b w:val="false"/>
          <w:i w:val="false"/>
          <w:color w:val="000000"/>
          <w:sz w:val="22"/>
        </w:rPr>
        <w:t xml:space="preserve">. If the applicant selects an option involving compensation to the nonregulated well owner(s), the applicant and nonregulated well owner(s) must attempt to negotiate an informal settlement in accordance with rule </w:t>
      </w:r>
      <w:hyperlink r:id="rId11">
        <w:r>
          <w:rPr>
            <w:rStyle w:val="Hyperlink"/>
            <w:rFonts w:ascii="Times New Roman" w:hAnsi="Times New Roman"/>
            <w:b w:val="false"/>
            <w:i w:val="false"/>
            <w:color w:val="000000"/>
            <w:sz w:val="22"/>
          </w:rPr>
          <w:t>567—54.2</w:t>
        </w:r>
      </w:hyperlink>
      <w:r>
        <w:rPr>
          <w:rFonts w:ascii="Times New Roman" w:hAnsi="Times New Roman"/>
          <w:b w:val="false"/>
          <w:i w:val="false"/>
          <w:color w:val="000000"/>
          <w:sz w:val="22"/>
        </w:rPr>
        <w:t xml:space="preserve">(455B). If informal negotiations fail, the department shall pursue administrative resolution of the conflict, pursuant to rule </w:t>
      </w:r>
      <w:hyperlink r:id="rId12">
        <w:r>
          <w:rPr>
            <w:rStyle w:val="Hyperlink"/>
            <w:rFonts w:ascii="Times New Roman" w:hAnsi="Times New Roman"/>
            <w:b w:val="false"/>
            <w:i w:val="false"/>
            <w:color w:val="000000"/>
            <w:sz w:val="22"/>
          </w:rPr>
          <w:t>567—54.7</w:t>
        </w:r>
      </w:hyperlink>
      <w:r>
        <w:rPr>
          <w:rFonts w:ascii="Times New Roman" w:hAnsi="Times New Roman"/>
          <w:b w:val="false"/>
          <w:i w:val="false"/>
          <w:color w:val="000000"/>
          <w:sz w:val="22"/>
        </w:rPr>
        <w:t>(455B). The applicant will remain liable for future well interference that is proven to be greater than the amount resolved in the original settlement and for other well interference that was not previously verified.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567—54.5</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interference by existing permitted uses. </w:t>
      </w:r>
      <w:r>
        <w:rPr>
          <w:rFonts w:ascii="Times New Roman" w:hAnsi="Times New Roman"/>
          <w:b w:val="false"/>
          <w:i w:val="false"/>
          <w:color w:val="000000"/>
          <w:sz w:val="22"/>
        </w:rPr>
        <w:t>If a complaint is made to the department by the owner of a nonregulated well regarding suspected well interference, the following procedures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54.5(1)</w:t>
      </w:r>
      <w:r>
        <w:rPr>
          <w:rFonts w:ascii="Times New Roman" w:hAnsi="Times New Roman"/>
          <w:b w:val="false"/>
          <w:i w:val="false"/>
          <w:color w:val="000000"/>
          <w:sz w:val="22"/>
        </w:rPr>
        <w:t> </w:t>
      </w:r>
      <w:r>
        <w:rPr>
          <w:rFonts w:ascii="Times New Roman" w:hAnsi="Times New Roman"/>
          <w:b w:val="false"/>
          <w:i/>
          <w:color w:val="000000"/>
          <w:sz w:val="22"/>
        </w:rPr>
        <w:t xml:space="preserve">Initial notification of complaint. </w:t>
      </w:r>
      <w:r>
        <w:rPr>
          <w:rFonts w:ascii="Times New Roman" w:hAnsi="Times New Roman"/>
          <w:b w:val="false"/>
          <w:i w:val="false"/>
          <w:color w:val="000000"/>
          <w:sz w:val="22"/>
        </w:rPr>
        <w:t>The complainant shall provide the department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complainant’s name,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nonregulated well, including location, depth, construction data, and other pertinent information, 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problem;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suspected cause of well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54.5(2)</w:t>
      </w:r>
      <w:r>
        <w:rPr>
          <w:rFonts w:ascii="Times New Roman" w:hAnsi="Times New Roman"/>
          <w:b w:val="false"/>
          <w:i w:val="false"/>
          <w:color w:val="000000"/>
          <w:sz w:val="22"/>
        </w:rPr>
        <w:t> </w:t>
      </w:r>
      <w:r>
        <w:rPr>
          <w:rFonts w:ascii="Times New Roman" w:hAnsi="Times New Roman"/>
          <w:b w:val="false"/>
          <w:i/>
          <w:color w:val="000000"/>
          <w:sz w:val="22"/>
        </w:rPr>
        <w:t xml:space="preserve">Initial department response. </w:t>
      </w:r>
      <w:r>
        <w:rPr>
          <w:rFonts w:ascii="Times New Roman" w:hAnsi="Times New Roman"/>
          <w:b w:val="false"/>
          <w:i w:val="false"/>
          <w:color w:val="000000"/>
          <w:sz w:val="22"/>
        </w:rPr>
        <w:t>The department will provide the complainant with a description of procedures, guidelines for resolving well interference complaints, and information from department files on permitted uses in the area. The department will also notify any permitted user who is suspected of causing well interference of a possible well interference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54.5(3)</w:t>
      </w:r>
      <w:r>
        <w:rPr>
          <w:rFonts w:ascii="Times New Roman" w:hAnsi="Times New Roman"/>
          <w:b w:val="false"/>
          <w:i w:val="false"/>
          <w:color w:val="000000"/>
          <w:sz w:val="22"/>
        </w:rPr>
        <w:t> </w:t>
      </w:r>
      <w:r>
        <w:rPr>
          <w:rFonts w:ascii="Times New Roman" w:hAnsi="Times New Roman"/>
          <w:b w:val="false"/>
          <w:i/>
          <w:color w:val="000000"/>
          <w:sz w:val="22"/>
        </w:rPr>
        <w:t xml:space="preserve">Well inspection. </w:t>
      </w:r>
      <w:r>
        <w:rPr>
          <w:rFonts w:ascii="Times New Roman" w:hAnsi="Times New Roman"/>
          <w:b w:val="false"/>
          <w:i w:val="false"/>
          <w:color w:val="000000"/>
          <w:sz w:val="22"/>
        </w:rPr>
        <w:t>It is the complainant’s responsibility to have the affected well inspected by a certified well contractor, to have the contractor complete Appendix C (Well Inspection Form) from Technical Bulletin No. 23, and to submit the document to the department. Well inspection costs are eligible for compensation if well interference is subsequently verified.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54.5(4)</w:t>
      </w:r>
      <w:r>
        <w:rPr>
          <w:rFonts w:ascii="Times New Roman" w:hAnsi="Times New Roman"/>
          <w:b w:val="false"/>
          <w:i w:val="false"/>
          <w:color w:val="000000"/>
          <w:sz w:val="22"/>
        </w:rPr>
        <w:t> </w:t>
      </w:r>
      <w:r>
        <w:rPr>
          <w:rFonts w:ascii="Times New Roman" w:hAnsi="Times New Roman"/>
          <w:b w:val="false"/>
          <w:i/>
          <w:color w:val="000000"/>
          <w:sz w:val="22"/>
        </w:rPr>
        <w:t xml:space="preserve">Corrective work prior to a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complainant may proceed with corrective measures prior to a settlement and remain eligible for compensation if well interference is subsequently verified. However, there will be no assurance of compensation. To be eligible for compensation, conditions prior to the corrective work must be documented using Appendix C (Well Inspection Form) from Technical Bulletin No.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and suspect permittee(s) should be notified, given opportunity to inspect the nonregulated well, and consider alternative means for resolving the possible conflict prior to proceeding with any corrective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Determination of apparent well interference, verified well interference, and compensation, if any, will proceed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apparent well interference.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that a complaint appears valid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well inspection found no mechanical or structural reason for well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permitted use can be identified as an apparent cause of well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nonregulated well was in use when the permitted use began or the suspect permitted use changed significantly while the nonregulated well was still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suspect permittee and complainant withdraw water from the same aquifer or sources likely to be in close hydraulic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suspect permittee was withdrawing water during the period when well interference was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Well interference is reasonably possible with known conditions (i.e., pumping rates, separation distances, aquifer properties, and relative water levels in the wells);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obvious causes of water level decline are not apparent.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identify permitted uses, in addition to those identified by the complainant, as apparent causes of well interference and will so notify the complainant and each suspect permittee. The department or a suspect permittee may identify other nonregulated wells that may also be affected by well interference caused by the suspected permittee(s), and the department will so notify the suspect permittee(s) and each potential complainant who has been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apparent well interference exists, it will immediately notify the complainant and suspect permittee(s) of the situation, procedures, and required informal negotiations. If the department determines that apparent well interference does not exist, the complaint will be dismissed and the complainant and each suspect permittee will be so notified. A dismissal may be appealed by the complainant as provided in </w:t>
      </w:r>
      <w:hyperlink r:id="rId13">
        <w:r>
          <w:rPr>
            <w:rStyle w:val="Hyperlink"/>
            <w:rFonts w:ascii="Times New Roman" w:hAnsi="Times New Roman"/>
            <w:b w:val="false"/>
            <w:i w:val="false"/>
            <w:color w:val="000000"/>
            <w:sz w:val="22"/>
          </w:rPr>
          <w:t>54.9(2)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54.5(6)</w:t>
      </w:r>
      <w:r>
        <w:rPr>
          <w:rFonts w:ascii="Times New Roman" w:hAnsi="Times New Roman"/>
          <w:b w:val="false"/>
          <w:i w:val="false"/>
          <w:color w:val="000000"/>
          <w:sz w:val="22"/>
        </w:rPr>
        <w:t> </w:t>
      </w:r>
      <w:r>
        <w:rPr>
          <w:rFonts w:ascii="Times New Roman" w:hAnsi="Times New Roman"/>
          <w:b w:val="false"/>
          <w:i/>
          <w:color w:val="000000"/>
          <w:sz w:val="22"/>
        </w:rPr>
        <w:t xml:space="preserve">Emergency withdrawal suspension or restrictions. </w:t>
      </w:r>
      <w:r>
        <w:rPr>
          <w:rFonts w:ascii="Times New Roman" w:hAnsi="Times New Roman"/>
          <w:b w:val="false"/>
          <w:i w:val="false"/>
          <w:color w:val="000000"/>
          <w:sz w:val="22"/>
        </w:rPr>
        <w:t xml:space="preserve">If the complainant’s well is not able to deliver a sufficient water supply due to apparent well interference, the department may immediately suspend or restrict withdrawal by the suspect permittee(s) pursuant to </w:t>
      </w:r>
      <w:hyperlink r:id="rId14">
        <w:r>
          <w:rPr>
            <w:rStyle w:val="Hyperlink"/>
            <w:rFonts w:ascii="Times New Roman" w:hAnsi="Times New Roman"/>
            <w:b w:val="false"/>
            <w:i w:val="false"/>
            <w:color w:val="000000"/>
            <w:sz w:val="22"/>
          </w:rPr>
          <w:t>567—subrule 50.14(2)</w:t>
        </w:r>
      </w:hyperlink>
      <w:r>
        <w:rPr>
          <w:rFonts w:ascii="Times New Roman" w:hAnsi="Times New Roman"/>
          <w:b w:val="false"/>
          <w:i w:val="false"/>
          <w:color w:val="000000"/>
          <w:sz w:val="22"/>
        </w:rPr>
        <w:t>. Restrictions may include but are not limited to scheduling withdrawals or reducing withdrawal rates. If approved by the department, the permittee(s) may elect to provide a temporary water supply to the complainant or take other appropriate measures as an alternative to withdrawal suspension or restrictions.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567—54.6</w:t>
      </w:r>
      <w:r>
        <w:rPr>
          <w:rFonts w:ascii="Times New Roman" w:hAnsi="Times New Roman"/>
          <w:b/>
          <w:i w:val="false"/>
          <w:color w:val="000000"/>
          <w:sz w:val="22"/>
        </w:rPr>
        <w:t xml:space="preserve">(455B) </w:t>
      </w:r>
      <w:r>
        <w:rPr>
          <w:rFonts w:ascii="Times New Roman" w:hAnsi="Times New Roman"/>
          <w:b/>
          <w:i w:val="false"/>
          <w:color w:val="000000"/>
          <w:sz w:val="22"/>
        </w:rPr>
        <w:t xml:space="preserve">Verification of well interference.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54.6(1)</w:t>
      </w:r>
      <w:r>
        <w:rPr>
          <w:rFonts w:ascii="Times New Roman" w:hAnsi="Times New Roman"/>
          <w:b w:val="false"/>
          <w:i w:val="false"/>
          <w:color w:val="000000"/>
          <w:sz w:val="22"/>
        </w:rPr>
        <w:t> </w:t>
      </w:r>
      <w:r>
        <w:rPr>
          <w:rFonts w:ascii="Times New Roman" w:hAnsi="Times New Roman"/>
          <w:b w:val="false"/>
          <w:i/>
          <w:color w:val="000000"/>
          <w:sz w:val="22"/>
        </w:rPr>
        <w:t xml:space="preserve">Test pumping. </w:t>
      </w:r>
      <w:r>
        <w:rPr>
          <w:rFonts w:ascii="Times New Roman" w:hAnsi="Times New Roman"/>
          <w:b w:val="false"/>
          <w:i w:val="false"/>
          <w:color w:val="000000"/>
          <w:sz w:val="22"/>
        </w:rPr>
        <w:t>Test pumping of the complainant’s and permittee’s wells may be required for verification of well interference. A permittee may perform test pumping to verify well interference even if it is not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Test pumping shall be authorized by the department and supervised by a certified well contractor, registered professional engineer, or other department designee. The test pumping shall be performed within 30 days of department notification to the permittee and the complainant that test pumping is to be conducted. The permittee and complainant shall each be responsible for all costs associated with test pumping their own wells, although the complainant’s costs may be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complainant shall provide access to the nonregulated well for water level measurements during test pumping by the permittee. The permittee may be required to provide the complainant with a temporary water supply during test pumping. Test pumping shall be performed in accordance with Technical Bulletin No. 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verified well interference. </w:t>
      </w:r>
      <w:r>
        <w:rPr>
          <w:rFonts w:ascii="Times New Roman" w:hAnsi="Times New Roman"/>
          <w:b w:val="false"/>
          <w:i w:val="false"/>
          <w:color w:val="000000"/>
          <w:sz w:val="22"/>
        </w:rPr>
        <w:t>The department will evaluate the occurrence of well interference based on data from the test pumping or other available hydrologic information and notify the affected parties of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test pumping was not performed under critical conditions (e.g., pumping rate less than maximum permitted rate, pumping duration less than critical duration, recharge more than minimum, etc.), the department will adjust the test pumping results accordingly and qualify estimations when reporting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evaluation results will be used by the department to determine if well interference is verified in accordance with Technical Bulletin No. 23. Generally, well interference will be verified if it causes the water in a nonregulated well to drop to a level below the pump suction, or it is shown to significantly diminish well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well interference is verified, the settlement procedures in </w:t>
      </w:r>
      <w:hyperlink r:id="rId15">
        <w:r>
          <w:rPr>
            <w:rStyle w:val="Hyperlink"/>
            <w:rFonts w:ascii="Times New Roman" w:hAnsi="Times New Roman"/>
            <w:b w:val="false"/>
            <w:i w:val="false"/>
            <w:color w:val="000000"/>
            <w:sz w:val="22"/>
          </w:rPr>
          <w:t>567—54.7</w:t>
        </w:r>
      </w:hyperlink>
      <w:r>
        <w:rPr>
          <w:rFonts w:ascii="Times New Roman" w:hAnsi="Times New Roman"/>
          <w:b w:val="false"/>
          <w:i w:val="false"/>
          <w:color w:val="000000"/>
          <w:sz w:val="22"/>
        </w:rPr>
        <w:t xml:space="preserve">(455B) will be followed. If well interference is not verified, the complaint will be dismissed and any emergency order will be removed. The department will notify the complainant and permittee of its decision regarding the complaint, and either party may appeal pursuant to </w:t>
      </w:r>
      <w:hyperlink r:id="rId16">
        <w:r>
          <w:rPr>
            <w:rStyle w:val="Hyperlink"/>
            <w:rFonts w:ascii="Times New Roman" w:hAnsi="Times New Roman"/>
            <w:b w:val="false"/>
            <w:i w:val="false"/>
            <w:color w:val="000000"/>
            <w:sz w:val="22"/>
          </w:rPr>
          <w:t>54.9(2)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567—54.7</w:t>
      </w:r>
      <w:r>
        <w:rPr>
          <w:rFonts w:ascii="Times New Roman" w:hAnsi="Times New Roman"/>
          <w:b/>
          <w:i w:val="false"/>
          <w:color w:val="000000"/>
          <w:sz w:val="22"/>
        </w:rPr>
        <w:t xml:space="preserve">(455B) </w:t>
      </w:r>
      <w:r>
        <w:rPr>
          <w:rFonts w:ascii="Times New Roman" w:hAnsi="Times New Roman"/>
          <w:b/>
          <w:i w:val="false"/>
          <w:color w:val="000000"/>
          <w:sz w:val="22"/>
        </w:rPr>
        <w:t xml:space="preserve">Settlement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54.7(1)</w:t>
      </w:r>
      <w:r>
        <w:rPr>
          <w:rFonts w:ascii="Times New Roman" w:hAnsi="Times New Roman"/>
          <w:b w:val="false"/>
          <w:i w:val="false"/>
          <w:color w:val="000000"/>
          <w:sz w:val="22"/>
        </w:rPr>
        <w:t> </w:t>
      </w:r>
      <w:r>
        <w:rPr>
          <w:rFonts w:ascii="Times New Roman" w:hAnsi="Times New Roman"/>
          <w:b w:val="false"/>
          <w:i/>
          <w:color w:val="000000"/>
          <w:sz w:val="22"/>
        </w:rPr>
        <w:t xml:space="preserve">Settlement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same time as notification prescribed in </w:t>
      </w:r>
      <w:hyperlink r:id="rId17">
        <w:r>
          <w:rPr>
            <w:rStyle w:val="Hyperlink"/>
            <w:rFonts w:ascii="Times New Roman" w:hAnsi="Times New Roman"/>
            <w:b w:val="false"/>
            <w:i w:val="false"/>
            <w:color w:val="000000"/>
            <w:sz w:val="22"/>
          </w:rPr>
          <w:t>54.6(2)</w:t>
        </w:r>
      </w:hyperlink>
      <w:r>
        <w:rPr>
          <w:rFonts w:ascii="Times New Roman" w:hAnsi="Times New Roman"/>
          <w:b w:val="false"/>
          <w:i/>
          <w:color w:val="000000"/>
          <w:sz w:val="22"/>
        </w:rPr>
        <w:t>“c”</w:t>
      </w:r>
      <w:r>
        <w:rPr>
          <w:rFonts w:ascii="Times New Roman" w:hAnsi="Times New Roman"/>
          <w:b w:val="false"/>
          <w:i w:val="false"/>
          <w:color w:val="000000"/>
          <w:sz w:val="22"/>
        </w:rPr>
        <w:t xml:space="preserve"> or upon notice to the applicant of verified well interference according to </w:t>
      </w:r>
      <w:hyperlink r:id="rId18">
        <w:r>
          <w:rPr>
            <w:rStyle w:val="Hyperlink"/>
            <w:rFonts w:ascii="Times New Roman" w:hAnsi="Times New Roman"/>
            <w:b w:val="false"/>
            <w:i w:val="false"/>
            <w:color w:val="000000"/>
            <w:sz w:val="22"/>
          </w:rPr>
          <w:t>567—subrule 50.14(2)</w:t>
        </w:r>
      </w:hyperlink>
      <w:r>
        <w:rPr>
          <w:rFonts w:ascii="Times New Roman" w:hAnsi="Times New Roman"/>
          <w:b w:val="false"/>
          <w:i w:val="false"/>
          <w:color w:val="000000"/>
          <w:sz w:val="22"/>
        </w:rPr>
        <w:t>, the department will also advise the permittee or applicant of available settlement options,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Permanent permit modifications (e.g., reduced pumping rate or scheduled pumping).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to the complainant (see </w:t>
      </w:r>
      <w:hyperlink r:id="rId19">
        <w:r>
          <w:rPr>
            <w:rStyle w:val="Hyperlink"/>
            <w:rFonts w:ascii="Times New Roman" w:hAnsi="Times New Roman"/>
            <w:b w:val="false"/>
            <w:i w:val="false"/>
            <w:color w:val="000000"/>
            <w:sz w:val="22"/>
          </w:rPr>
          <w:t>54.7(3)</w:t>
        </w:r>
      </w:hyperlink>
      <w:r>
        <w:rPr>
          <w:rFonts w:ascii="Times New Roman" w:hAnsi="Times New Roman"/>
          <w:b w:val="false"/>
          <w:i w:val="false"/>
          <w:color w:val="000000"/>
          <w:sz w:val="22"/>
        </w:rPr>
        <w:t xml:space="preserve"> and Technical Bulletin No.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situations where verified well interference occurs due to an existing permitted use, the permittee shall notify the department of the selected option within 30 days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54.7(2)</w:t>
      </w:r>
      <w:r>
        <w:rPr>
          <w:rFonts w:ascii="Times New Roman" w:hAnsi="Times New Roman"/>
          <w:b w:val="false"/>
          <w:i w:val="false"/>
          <w:color w:val="000000"/>
          <w:sz w:val="22"/>
        </w:rPr>
        <w:t> </w:t>
      </w:r>
      <w:r>
        <w:rPr>
          <w:rFonts w:ascii="Times New Roman" w:hAnsi="Times New Roman"/>
          <w:b w:val="false"/>
          <w:i/>
          <w:color w:val="000000"/>
          <w:sz w:val="22"/>
        </w:rPr>
        <w:t xml:space="preserve">Compensation offer requirements. </w:t>
      </w:r>
      <w:r>
        <w:rPr>
          <w:rFonts w:ascii="Times New Roman" w:hAnsi="Times New Roman"/>
          <w:b w:val="false"/>
          <w:i w:val="false"/>
          <w:color w:val="000000"/>
          <w:sz w:val="22"/>
        </w:rPr>
        <w:t xml:space="preserve">If the compensation option is selected, the applicant or permittee shall submit a notarized offer to the complainant and the department. This offer shall be submitted by a permittee within 30 days of the notification prescribed in </w:t>
      </w:r>
      <w:hyperlink r:id="rId20">
        <w:r>
          <w:rPr>
            <w:rStyle w:val="Hyperlink"/>
            <w:rFonts w:ascii="Times New Roman" w:hAnsi="Times New Roman"/>
            <w:b w:val="false"/>
            <w:i w:val="false"/>
            <w:color w:val="000000"/>
            <w:sz w:val="22"/>
          </w:rPr>
          <w:t>54.6(2)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54.7(1)</w:t>
        </w:r>
      </w:hyperlink>
      <w:r>
        <w:rPr>
          <w:rFonts w:ascii="Times New Roman" w:hAnsi="Times New Roman"/>
          <w:b w:val="false"/>
          <w:i w:val="false"/>
          <w:color w:val="000000"/>
          <w:sz w:val="22"/>
        </w:rPr>
        <w:t>. An offer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comments by a certified well contractor or licensed professional engineer detailing well improvements needed in order to provide the complainant with a sufficient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Itemized costs of the improvements by a certified well contractor with a breakdown of costs eligible for compensation (see </w:t>
      </w:r>
      <w:hyperlink r:id="rId22">
        <w:r>
          <w:rPr>
            <w:rStyle w:val="Hyperlink"/>
            <w:rFonts w:ascii="Times New Roman" w:hAnsi="Times New Roman"/>
            <w:b w:val="false"/>
            <w:i w:val="false"/>
            <w:color w:val="000000"/>
            <w:sz w:val="22"/>
          </w:rPr>
          <w:t>54.7(3)</w:t>
        </w:r>
      </w:hyperlink>
      <w:r>
        <w:rPr>
          <w:rFonts w:ascii="Times New Roman" w:hAnsi="Times New Roman"/>
          <w:b w:val="false"/>
          <w:i w:val="false"/>
          <w:color w:val="000000"/>
          <w:sz w:val="22"/>
        </w:rPr>
        <w:t xml:space="preserve"> and Technical Bulletin No.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water quality analysis of the existing well water, if a new well is proposed. The analysis shall include, at minimum, determination of levels of nitrate, bacteria, iron, and hardness;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what is being offered to the complainant and terms of the offer (e.g., timing, who will perform the work, or a completed work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54.7(3)</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for cost liability. </w:t>
      </w:r>
      <w:r>
        <w:rPr>
          <w:rFonts w:ascii="Times New Roman" w:hAnsi="Times New Roman"/>
          <w:b w:val="false"/>
          <w:i w:val="false"/>
          <w:color w:val="000000"/>
          <w:sz w:val="22"/>
        </w:rPr>
        <w:t>The nonregulated well owner’s costs for well inspection and test pumping are eligible for compensation. All costs for remedial work necessary to resolve a verified well interference problem are eligible for compensation, except as noted below. Technical Bulletin No. 23 includes additional details on cost liability. The following costs are not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existing well does not comply with applicable well construction standards (</w:t>
      </w:r>
      <w:hyperlink r:id="rId23">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 costs required to bring the well up to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for work requested by the nonregulated well owner that result in upgrading the nonregulated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Legal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Operation and maintenance costs of the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Well rejuvenation costs, unless the well still fails to provide a sufficient water supply after the well rejuvenation requested by the permittee is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Costs due to temporary loss of water for such things as hauling water or going to a laundromat, unless the permittee refuses to comply with an emergency order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54.7(4)</w:t>
      </w:r>
      <w:r>
        <w:rPr>
          <w:rFonts w:ascii="Times New Roman" w:hAnsi="Times New Roman"/>
          <w:b w:val="false"/>
          <w:i w:val="false"/>
          <w:color w:val="000000"/>
          <w:sz w:val="22"/>
        </w:rPr>
        <w:t> </w:t>
      </w:r>
      <w:r>
        <w:rPr>
          <w:rFonts w:ascii="Times New Roman" w:hAnsi="Times New Roman"/>
          <w:b w:val="false"/>
          <w:i/>
          <w:color w:val="000000"/>
          <w:sz w:val="22"/>
        </w:rPr>
        <w:t xml:space="preserve">Complainant’s response to the compensation offer. </w:t>
      </w:r>
      <w:r>
        <w:rPr>
          <w:rFonts w:ascii="Times New Roman" w:hAnsi="Times New Roman"/>
          <w:b w:val="false"/>
          <w:i w:val="false"/>
          <w:color w:val="000000"/>
          <w:sz w:val="22"/>
        </w:rPr>
        <w:t>The complainant shall respond in writing to the department within 15 days of an offer receipt and indicate acceptance or rejection of the offer. If the offer is rejected, the complainant shall submit a counteroffer with the response. The counteroffer shall contain supporting information including an itemized cost estimate of needed improvements by a certified well contractor or licensed professional engineer,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54.7(5)</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compensation offer and counteroffer. </w:t>
      </w:r>
      <w:r>
        <w:rPr>
          <w:rFonts w:ascii="Times New Roman" w:hAnsi="Times New Roman"/>
          <w:b w:val="false"/>
          <w:i w:val="false"/>
          <w:color w:val="000000"/>
          <w:sz w:val="22"/>
        </w:rPr>
        <w:t>The department will review the offer and counteroffer and determine if the offer is reasonable in accordance with Technical Bulletin No.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offer is determined to be reasonable but is rejected by the complainant, the complainant will be given 15 days to reconsider the offer, after which the complaint will be dismissed and any suspension or restrictions on withdrawals by the permittee will be removed or, in the case of an application, the permit process will be continued. The complainant may appeal a dismissal as provided in </w:t>
      </w:r>
      <w:hyperlink r:id="rId24">
        <w:r>
          <w:rPr>
            <w:rStyle w:val="Hyperlink"/>
            <w:rFonts w:ascii="Times New Roman" w:hAnsi="Times New Roman"/>
            <w:b w:val="false"/>
            <w:i w:val="false"/>
            <w:color w:val="000000"/>
            <w:sz w:val="22"/>
          </w:rPr>
          <w:t>54.9(2)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offer is not found to be reasonable, the permittee will be given one opportunity to revise the offer in accordance with department determinations. If a revised offer is not received within 15 days or the department determines the revised offer is not reasonable, the department will determine appropriate compensation or withdrawal restrictions to resolve the well interference. This determination will be enforced through either the imposition of permit conditions, permit termination, or permit denial. For an existing permit, the department will modify or terminate the permit as provided in </w:t>
      </w:r>
      <w:hyperlink r:id="rId25">
        <w:r>
          <w:rPr>
            <w:rStyle w:val="Hyperlink"/>
            <w:rFonts w:ascii="Times New Roman" w:hAnsi="Times New Roman"/>
            <w:b w:val="false"/>
            <w:i w:val="false"/>
            <w:color w:val="000000"/>
            <w:sz w:val="22"/>
          </w:rPr>
          <w:t>567—subrule 50.14(1)</w:t>
        </w:r>
      </w:hyperlink>
      <w:r>
        <w:rPr>
          <w:rFonts w:ascii="Times New Roman" w:hAnsi="Times New Roman"/>
          <w:b w:val="false"/>
          <w:i w:val="false"/>
          <w:color w:val="000000"/>
          <w:sz w:val="22"/>
        </w:rPr>
        <w:t xml:space="preserve">. For a pending permit application, the department will either deny the application or approve it with appropriate conditions, pursuant to </w:t>
      </w:r>
      <w:hyperlink r:id="rId26">
        <w:r>
          <w:rPr>
            <w:rStyle w:val="Hyperlink"/>
            <w:rFonts w:ascii="Times New Roman" w:hAnsi="Times New Roman"/>
            <w:b w:val="false"/>
            <w:i w:val="false"/>
            <w:color w:val="000000"/>
            <w:sz w:val="22"/>
          </w:rPr>
          <w:t>567—50.8</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567—54.8</w:t>
      </w:r>
      <w:r>
        <w:rPr>
          <w:rFonts w:ascii="Times New Roman" w:hAnsi="Times New Roman"/>
          <w:b/>
          <w:i w:val="false"/>
          <w:color w:val="000000"/>
          <w:sz w:val="22"/>
        </w:rPr>
        <w:t xml:space="preserve">(455B) </w:t>
      </w:r>
      <w:r>
        <w:rPr>
          <w:rFonts w:ascii="Times New Roman" w:hAnsi="Times New Roman"/>
          <w:b/>
          <w:i w:val="false"/>
          <w:color w:val="000000"/>
          <w:sz w:val="22"/>
        </w:rPr>
        <w:t xml:space="preserve">Recurring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54.8(1)</w:t>
      </w:r>
      <w:r>
        <w:rPr>
          <w:rFonts w:ascii="Times New Roman" w:hAnsi="Times New Roman"/>
          <w:b w:val="false"/>
          <w:i w:val="false"/>
          <w:color w:val="000000"/>
          <w:sz w:val="22"/>
        </w:rPr>
        <w:t> </w:t>
      </w:r>
      <w:r>
        <w:rPr>
          <w:rFonts w:ascii="Times New Roman" w:hAnsi="Times New Roman"/>
          <w:b w:val="false"/>
          <w:i w:val="false"/>
          <w:color w:val="000000"/>
          <w:sz w:val="22"/>
        </w:rPr>
        <w:t>If a complainant accepts compensation from a permittee for settlement of a well interference conflict, any future complaint by the complainant against the same permittee will not be considered unless either a significant change in the permitted withdrawal occurs; the permittee utilized simplified test pumping procedures or other less than optimal verification methods, as described in Technical Bulletin No. 23; or the permittee provided compensation to resolve less than the estimated worst-case well interference. A complainant who accepts compensation from an applicant is still eligible for compensation if subsequent well interference is proven to be greater than that resolved in the original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54.8(2)</w:t>
      </w:r>
      <w:r>
        <w:rPr>
          <w:rFonts w:ascii="Times New Roman" w:hAnsi="Times New Roman"/>
          <w:b w:val="false"/>
          <w:i w:val="false"/>
          <w:color w:val="000000"/>
          <w:sz w:val="22"/>
        </w:rPr>
        <w:t> </w:t>
      </w:r>
      <w:r>
        <w:rPr>
          <w:rFonts w:ascii="Times New Roman" w:hAnsi="Times New Roman"/>
          <w:b w:val="false"/>
          <w:i w:val="false"/>
          <w:color w:val="000000"/>
          <w:sz w:val="22"/>
        </w:rPr>
        <w:t>If a previous complaint was dismissed or settled without compensation, a new complaint must include justification for reconsideration. Justification may include a significant change in withdrawals by the suspect permittee or water level measurements from the complainant’s well which indicate more well interference than found in the previous complaint. A physical change to withdrawal facilities may be considered a significant change to a permitted use (e.g., moving the withdrawal location, installing a new well, or installing a higher-capacity pump).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54.8(3)</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that was dismissed due to failure to cooperate, as provided in </w:t>
      </w:r>
      <w:hyperlink r:id="rId27">
        <w:r>
          <w:rPr>
            <w:rStyle w:val="Hyperlink"/>
            <w:rFonts w:ascii="Times New Roman" w:hAnsi="Times New Roman"/>
            <w:b w:val="false"/>
            <w:i w:val="false"/>
            <w:color w:val="000000"/>
            <w:sz w:val="22"/>
          </w:rPr>
          <w:t>567—54.3</w:t>
        </w:r>
      </w:hyperlink>
      <w:r>
        <w:rPr>
          <w:rFonts w:ascii="Times New Roman" w:hAnsi="Times New Roman"/>
          <w:b w:val="false"/>
          <w:i w:val="false"/>
          <w:color w:val="000000"/>
          <w:sz w:val="22"/>
        </w:rPr>
        <w:t>(455B), will be reconsidered when the required cooperation is demonstrated. However, it will be treated as a new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567—54.9</w:t>
      </w:r>
      <w:r>
        <w:rPr>
          <w:rFonts w:ascii="Times New Roman" w:hAnsi="Times New Roman"/>
          <w:b/>
          <w:i w:val="false"/>
          <w:color w:val="000000"/>
          <w:sz w:val="22"/>
        </w:rPr>
        <w:t xml:space="preserve">(455B) </w:t>
      </w:r>
      <w:r>
        <w:rPr>
          <w:rFonts w:ascii="Times New Roman" w:hAnsi="Times New Roman"/>
          <w:b/>
          <w:i w:val="false"/>
          <w:color w:val="000000"/>
          <w:sz w:val="22"/>
        </w:rPr>
        <w:t xml:space="preserve">Waivers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54.9(1)</w:t>
      </w:r>
      <w:r>
        <w:rPr>
          <w:rFonts w:ascii="Times New Roman" w:hAnsi="Times New Roman"/>
          <w:b w:val="false"/>
          <w:i w:val="false"/>
          <w:color w:val="000000"/>
          <w:sz w:val="22"/>
        </w:rPr>
        <w:t> </w:t>
      </w:r>
      <w:r>
        <w:rPr>
          <w:rFonts w:ascii="Times New Roman" w:hAnsi="Times New Roman"/>
          <w:b w:val="false"/>
          <w:i/>
          <w:color w:val="000000"/>
          <w:sz w:val="22"/>
        </w:rPr>
        <w:t xml:space="preserve">Waiver procedures. </w:t>
      </w:r>
      <w:r>
        <w:rPr>
          <w:rFonts w:ascii="Times New Roman" w:hAnsi="Times New Roman"/>
          <w:b w:val="false"/>
          <w:i w:val="false"/>
          <w:color w:val="000000"/>
          <w:sz w:val="22"/>
        </w:rPr>
        <w:t>Waivers to these rules may be granted by the department provided just cause can be demonstrated. Waiver requests and supporting information shall be submitted in writing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54.9(2)</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 xml:space="preserve">Department determinations under </w:t>
      </w:r>
      <w:hyperlink r:id="rId28">
        <w:r>
          <w:rPr>
            <w:rStyle w:val="Hyperlink"/>
            <w:rFonts w:ascii="Times New Roman" w:hAnsi="Times New Roman"/>
            <w:b w:val="false"/>
            <w:i w:val="false"/>
            <w:color w:val="000000"/>
            <w:sz w:val="22"/>
          </w:rPr>
          <w:t>54.5(5)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54.6(2)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54.7(4)</w:t>
        </w:r>
      </w:hyperlink>
      <w:r>
        <w:rPr>
          <w:rFonts w:ascii="Times New Roman" w:hAnsi="Times New Roman"/>
          <w:b w:val="false"/>
          <w:i w:val="false"/>
          <w:color w:val="000000"/>
          <w:sz w:val="22"/>
        </w:rPr>
        <w:t xml:space="preserve"> may be appealed by following the procedure in </w:t>
      </w:r>
      <w:hyperlink r:id="rId31">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2">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5/2/86, Notice 1/1/86—published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without Notice 4/23/93—published 5/12/93, effective 7/1/93]</w:t>
      </w:r>
    </w:p>
    <w:p>
      <w:pPr>
        <w:spacing w:before="0" w:after="0"/>
        <w:ind w:left="120"/>
        <w:jc w:val="center"/>
      </w:pPr>
      <w:r>
        <w:rPr>
          <w:rFonts w:ascii="Times New Roman" w:hAnsi="Times New Roman"/>
          <w:b w:val="false"/>
          <w:i w:val="false"/>
          <w:color w:val="000000"/>
          <w:sz w:val="21"/>
        </w:rPr>
        <w:t>[Filed 5/17/06, Notice 3/15/06—published 6/7/06, effective 7/12/06]</w:t>
      </w:r>
    </w:p>
    <w:p>
      <w:pPr>
        <w:spacing w:before="0" w:after="0"/>
        <w:ind w:left="120"/>
        <w:jc w:val="center"/>
      </w:pPr>
      <w:r>
        <w:rPr>
          <w:rFonts w:ascii="Times New Roman" w:hAnsi="Times New Roman"/>
          <w:b w:val="false"/>
          <w:i w:val="false"/>
          <w:color w:val="000000"/>
          <w:sz w:val="21"/>
        </w:rPr>
        <w:t>[Filed ARC 9201C</w:t>
      </w:r>
      <w:r>
        <w:rPr>
          <w:rFonts w:ascii="Times New Roman" w:hAnsi="Times New Roman"/>
          <w:b w:val="false"/>
          <w:i w:val="false"/>
          <w:color w:val="000000"/>
          <w:sz w:val="21"/>
        </w:rPr>
        <w:t xml:space="preserve"> (Notice ARC 8630C,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nr.gov" Type="http://schemas.openxmlformats.org/officeDocument/2006/relationships/hyperlink" Id="rId5"/>
    <Relationship TargetMode="External" Target="https://www.legis.iowa.gov/docs/iac/rule/567.54.6.pdf" Type="http://schemas.openxmlformats.org/officeDocument/2006/relationships/hyperlink" Id="rId6"/>
    <Relationship TargetMode="External" Target="https://www.legis.iowa.gov/docs/iac/rule/567.54.7.pdf" Type="http://schemas.openxmlformats.org/officeDocument/2006/relationships/hyperlink" Id="rId7"/>
    <Relationship TargetMode="External" Target="https://www.legis.iowa.gov/docs/iac/rule/567.50.14.pdf" Type="http://schemas.openxmlformats.org/officeDocument/2006/relationships/hyperlink" Id="rId8"/>
    <Relationship TargetMode="External" Target="https://www.legis.iowa.gov/docs/iac/rule/567.50.5.pdf" Type="http://schemas.openxmlformats.org/officeDocument/2006/relationships/hyperlink" Id="rId9"/>
    <Relationship TargetMode="External" Target="https://www.legis.iowa.gov/docs/iac/rule/567.50.7.pdf" Type="http://schemas.openxmlformats.org/officeDocument/2006/relationships/hyperlink" Id="rId10"/>
    <Relationship TargetMode="External" Target="https://www.legis.iowa.gov/docs/iac/rule/567.54.2.pdf" Type="http://schemas.openxmlformats.org/officeDocument/2006/relationships/hyperlink" Id="rId11"/>
    <Relationship TargetMode="External" Target="https://www.legis.iowa.gov/docs/iac/rule/567.54.7.pdf" Type="http://schemas.openxmlformats.org/officeDocument/2006/relationships/hyperlink" Id="rId12"/>
    <Relationship TargetMode="External" Target="https://www.legis.iowa.gov/docs/iac/rule/567.54.9.pdf" Type="http://schemas.openxmlformats.org/officeDocument/2006/relationships/hyperlink" Id="rId13"/>
    <Relationship TargetMode="External" Target="https://www.legis.iowa.gov/docs/iac/rule/567.50.14.pdf" Type="http://schemas.openxmlformats.org/officeDocument/2006/relationships/hyperlink" Id="rId14"/>
    <Relationship TargetMode="External" Target="https://www.legis.iowa.gov/docs/iac/rule/567.54.7.pdf" Type="http://schemas.openxmlformats.org/officeDocument/2006/relationships/hyperlink" Id="rId15"/>
    <Relationship TargetMode="External" Target="https://www.legis.iowa.gov/docs/iac/rule/567.54.9.pdf" Type="http://schemas.openxmlformats.org/officeDocument/2006/relationships/hyperlink" Id="rId16"/>
    <Relationship TargetMode="External" Target="https://www.legis.iowa.gov/docs/iac/rule/567.54.6.pdf" Type="http://schemas.openxmlformats.org/officeDocument/2006/relationships/hyperlink" Id="rId17"/>
    <Relationship TargetMode="External" Target="https://www.legis.iowa.gov/docs/iac/rule/567.50.14.pdf" Type="http://schemas.openxmlformats.org/officeDocument/2006/relationships/hyperlink" Id="rId18"/>
    <Relationship TargetMode="External" Target="https://www.legis.iowa.gov/docs/iac/rule/567.54.7.pdf" Type="http://schemas.openxmlformats.org/officeDocument/2006/relationships/hyperlink" Id="rId19"/>
    <Relationship TargetMode="External" Target="https://www.legis.iowa.gov/docs/iac/rule/567.54.6.pdf" Type="http://schemas.openxmlformats.org/officeDocument/2006/relationships/hyperlink" Id="rId20"/>
    <Relationship TargetMode="External" Target="https://www.legis.iowa.gov/docs/iac/rule/567.54.7.pdf" Type="http://schemas.openxmlformats.org/officeDocument/2006/relationships/hyperlink" Id="rId21"/>
    <Relationship TargetMode="External" Target="https://www.legis.iowa.gov/docs/iac/rule/567.54.7.pdf" Type="http://schemas.openxmlformats.org/officeDocument/2006/relationships/hyperlink" Id="rId22"/>
    <Relationship TargetMode="External" Target="https://www.legis.iowa.gov/docs/iac/chapter/567.49.pdf" Type="http://schemas.openxmlformats.org/officeDocument/2006/relationships/hyperlink" Id="rId23"/>
    <Relationship TargetMode="External" Target="https://www.legis.iowa.gov/docs/iac/rule/567.54.9.pdf" Type="http://schemas.openxmlformats.org/officeDocument/2006/relationships/hyperlink" Id="rId24"/>
    <Relationship TargetMode="External" Target="https://www.legis.iowa.gov/docs/iac/rule/567.50.14.pdf" Type="http://schemas.openxmlformats.org/officeDocument/2006/relationships/hyperlink" Id="rId25"/>
    <Relationship TargetMode="External" Target="https://www.legis.iowa.gov/docs/iac/rule/567.50.8.pdf" Type="http://schemas.openxmlformats.org/officeDocument/2006/relationships/hyperlink" Id="rId26"/>
    <Relationship TargetMode="External" Target="https://www.legis.iowa.gov/docs/iac/rule/567.54.3.pdf" Type="http://schemas.openxmlformats.org/officeDocument/2006/relationships/hyperlink" Id="rId27"/>
    <Relationship TargetMode="External" Target="https://www.legis.iowa.gov/docs/iac/rule/567.54.5.pdf" Type="http://schemas.openxmlformats.org/officeDocument/2006/relationships/hyperlink" Id="rId28"/>
    <Relationship TargetMode="External" Target="https://www.legis.iowa.gov/docs/iac/rule/567.54.6.pdf" Type="http://schemas.openxmlformats.org/officeDocument/2006/relationships/hyperlink" Id="rId29"/>
    <Relationship TargetMode="External" Target="https://www.legis.iowa.gov/docs/iac/rule/567.54.7.pdf" Type="http://schemas.openxmlformats.org/officeDocument/2006/relationships/hyperlink" Id="rId30"/>
    <Relationship TargetMode="External" Target="https://www.legis.iowa.gov/docs/iac/chapter/561.7.pdf" Type="http://schemas.openxmlformats.org/officeDocument/2006/relationships/hyperlink" Id="rId31"/>
    <Relationship TargetMode="External" Target="https://www.legis.iowa.gov/docs/ico/chapter/455B.171.pdf" Type="http://schemas.openxmlformats.org/officeDocument/2006/relationships/hyperlink" Id="rId32"/>
    <Relationship TargetMode="External" Target="https://www.legis.iowa.gov/docs/ico/chapter/455B.281.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