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png" PartName="/word/media/document_image_rId33.png"/>
  <Override ContentType="image/png" PartName="/word/media/document_image_rId35.png"/>
  <Override ContentType="image/png" PartName="/word/media/document_image_rId37.png"/>
  <Override ContentType="image/png" PartName="/word/media/document_image_rId39.png"/>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53</w:t>
      </w:r>
    </w:p>
    <w:p>
      <w:pPr>
        <w:spacing w:before="0" w:after="0"/>
        <w:ind w:left="120"/>
        <w:jc w:val="center"/>
      </w:pPr>
      <w:r>
        <w:rPr>
          <w:rFonts w:ascii="Times New Roman" w:hAnsi="Times New Roman"/>
          <w:b w:val="false"/>
          <w:i w:val="false"/>
          <w:color w:val="000000"/>
          <w:sz w:val="21"/>
        </w:rPr>
        <w:t>PROTECTED WATER SOURCES</w:t>
      </w:r>
    </w:p>
    <w:p>
      <w:pPr>
        <w:spacing w:before="0" w:after="0"/>
        <w:ind w:left="120"/>
        <w:jc w:val="center"/>
      </w:pPr>
      <w:r>
        <w:rPr>
          <w:rFonts w:ascii="Times New Roman" w:hAnsi="Times New Roman"/>
          <w:b w:val="false"/>
          <w:i w:val="false"/>
          <w:color w:val="000000"/>
          <w:sz w:val="14"/>
        </w:rPr>
        <w:t>[Prior to 12/3/86, Water, Air and Waste Management[900]]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6/18/30</w:t>
      </w:r>
    </w:p>
    <w:p>
      <w:pPr>
        <w:spacing w:before="0" w:after="0"/>
        <w:ind w:left="120"/>
        <w:jc w:val="both"/>
      </w:pPr>
      <w:r>
        <w:rPr>
          <w:rFonts w:ascii="Times New Roman" w:hAnsi="Times New Roman"/>
          <w:b/>
          <w:i w:val="false"/>
          <w:color w:val="000000"/>
          <w:sz w:val="22"/>
        </w:rPr>
        <w:t>567—53.1</w:t>
      </w:r>
      <w:r>
        <w:rPr>
          <w:rFonts w:ascii="Times New Roman" w:hAnsi="Times New Roman"/>
          <w:b/>
          <w:i w:val="false"/>
          <w:color w:val="000000"/>
          <w:sz w:val="22"/>
        </w:rPr>
        <w:t xml:space="preserve">(455B) </w:t>
      </w:r>
      <w:r>
        <w:rPr>
          <w:rFonts w:ascii="Times New Roman" w:hAnsi="Times New Roman"/>
          <w:b/>
          <w:i w:val="false"/>
          <w:color w:val="000000"/>
          <w:sz w:val="22"/>
        </w:rPr>
        <w:t xml:space="preserve">Designation of protected sources.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53.1(1)</w:t>
      </w:r>
      <w:r>
        <w:rPr>
          <w:rFonts w:ascii="Times New Roman" w:hAnsi="Times New Roman"/>
          <w:b w:val="false"/>
          <w:i w:val="false"/>
          <w:color w:val="000000"/>
          <w:sz w:val="22"/>
        </w:rPr>
        <w:t> </w:t>
      </w:r>
      <w:r>
        <w:rPr>
          <w:rFonts w:ascii="Times New Roman" w:hAnsi="Times New Roman"/>
          <w:b w:val="false"/>
          <w:i w:val="false"/>
          <w:color w:val="000000"/>
          <w:sz w:val="22"/>
        </w:rPr>
        <w:t>The department may designate a surface water or groundwater source within a defined geographical area as a protected source. Notwithstanding the requirements in this chapter, the department may impose permit conditions on a case-by-case basis to protect the water resources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53.1(2)</w:t>
      </w:r>
      <w:r>
        <w:rPr>
          <w:rFonts w:ascii="Times New Roman" w:hAnsi="Times New Roman"/>
          <w:b w:val="false"/>
          <w:i w:val="false"/>
          <w:color w:val="000000"/>
          <w:sz w:val="22"/>
        </w:rPr>
        <w:t> </w:t>
      </w:r>
      <w:r>
        <w:rPr>
          <w:rFonts w:ascii="Times New Roman" w:hAnsi="Times New Roman"/>
          <w:b w:val="false"/>
          <w:i w:val="false"/>
          <w:color w:val="000000"/>
          <w:sz w:val="22"/>
        </w:rPr>
        <w:t>The purpose of designating a water source as a protected source is to ensure long-term availability in terms of quantity and quality to preserve public health and welfare. Purposes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preserve the availability of the protected source for sustained beneficial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prevent or minimize the movement of groundwater contaminants.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maintain the surface water quality within a specific stream segment in order to meet state or federal standards, to preserve protected flows, or to maintain its availability for other beneficial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 preserve the protected flows in a stream that is hydraulically connected to a protected groundwater source.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
        <w:r>
          <w:rPr>
            <w:rStyle w:val="Hyperlink"/>
            <w:rFonts w:ascii="Times New Roman" w:hAnsi="Times New Roman"/>
            <w:b w:val="false"/>
            <w:i w:val="false"/>
            <w:color w:val="000000"/>
            <w:sz w:val="22"/>
          </w:rPr>
          <w:t>455B.262</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455B.264</w:t>
        </w:r>
      </w:hyperlink>
      <w:r>
        <w:rPr>
          <w:rFonts w:ascii="Times New Roman" w:hAnsi="Times New Roman"/>
          <w:b w:val="false"/>
          <w:i w:val="false"/>
          <w:color w:val="000000"/>
          <w:sz w:val="22"/>
        </w:rPr>
        <w:t xml:space="preserve"> through </w:t>
      </w:r>
      <w:hyperlink r:id="rId7">
        <w:r>
          <w:rPr>
            <w:rStyle w:val="Hyperlink"/>
            <w:rFonts w:ascii="Times New Roman" w:hAnsi="Times New Roman"/>
            <w:b w:val="false"/>
            <w:i w:val="false"/>
            <w:color w:val="000000"/>
            <w:sz w:val="22"/>
          </w:rPr>
          <w:t>455B.274</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455B.278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9200C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567—53.2</w:t>
      </w:r>
      <w:r>
        <w:rPr>
          <w:rFonts w:ascii="Times New Roman" w:hAnsi="Times New Roman"/>
          <w:b/>
          <w:i w:val="false"/>
          <w:color w:val="000000"/>
          <w:sz w:val="22"/>
        </w:rPr>
        <w:t xml:space="preserve">(455B) </w:t>
      </w:r>
      <w:r>
        <w:rPr>
          <w:rFonts w:ascii="Times New Roman" w:hAnsi="Times New Roman"/>
          <w:b/>
          <w:i w:val="false"/>
          <w:color w:val="000000"/>
          <w:sz w:val="22"/>
        </w:rPr>
        <w:t xml:space="preserve">Designation procedure. </w:t>
      </w:r>
      <w:r>
        <w:rPr>
          <w:rFonts w:ascii="Times New Roman" w:hAnsi="Times New Roman"/>
          <w:b w:val="false"/>
          <w:i w:val="false"/>
          <w:color w:val="000000"/>
          <w:sz w:val="22"/>
        </w:rPr>
        <w:t xml:space="preserve">The procedure for designation of a protected source shall be a rulemaking to amend the list of protected sources in rule </w:t>
      </w:r>
      <w:hyperlink r:id="rId9">
        <w:r>
          <w:rPr>
            <w:rStyle w:val="Hyperlink"/>
            <w:rFonts w:ascii="Times New Roman" w:hAnsi="Times New Roman"/>
            <w:b w:val="false"/>
            <w:i w:val="false"/>
            <w:color w:val="000000"/>
            <w:sz w:val="22"/>
          </w:rPr>
          <w:t>567—53.5</w:t>
        </w:r>
      </w:hyperlink>
      <w:r>
        <w:rPr>
          <w:rFonts w:ascii="Times New Roman" w:hAnsi="Times New Roman"/>
          <w:b w:val="false"/>
          <w:i w:val="false"/>
          <w:color w:val="000000"/>
          <w:sz w:val="22"/>
        </w:rPr>
        <w:t xml:space="preserve">(455B). In addition to the requirements of rule </w:t>
      </w:r>
      <w:hyperlink r:id="rId10">
        <w:r>
          <w:rPr>
            <w:rStyle w:val="Hyperlink"/>
            <w:rFonts w:ascii="Times New Roman" w:hAnsi="Times New Roman"/>
            <w:b w:val="false"/>
            <w:i w:val="false"/>
            <w:color w:val="000000"/>
            <w:sz w:val="22"/>
          </w:rPr>
          <w:t>561—5.1</w:t>
        </w:r>
      </w:hyperlink>
      <w:r>
        <w:rPr>
          <w:rFonts w:ascii="Times New Roman" w:hAnsi="Times New Roman"/>
          <w:b w:val="false"/>
          <w:i w:val="false"/>
          <w:color w:val="000000"/>
          <w:sz w:val="22"/>
        </w:rPr>
        <w:t>(17A), an interested person who petitions the department to designate a protected water source may also be required to provide supporting information,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53.2(1)</w:t>
      </w:r>
      <w:r>
        <w:rPr>
          <w:rFonts w:ascii="Times New Roman" w:hAnsi="Times New Roman"/>
          <w:b w:val="false"/>
          <w:i w:val="false"/>
          <w:color w:val="000000"/>
          <w:sz w:val="22"/>
        </w:rPr>
        <w:t> </w:t>
      </w:r>
      <w:r>
        <w:rPr>
          <w:rFonts w:ascii="Times New Roman" w:hAnsi="Times New Roman"/>
          <w:b w:val="false"/>
          <w:i w:val="false"/>
          <w:color w:val="000000"/>
          <w:sz w:val="22"/>
        </w:rPr>
        <w:t xml:space="preserve">Facts and arguments demonstrating that existing rules and the opportunity for public participation in the application review and decision-making procedures of rule </w:t>
      </w:r>
      <w:hyperlink r:id="rId11">
        <w:r>
          <w:rPr>
            <w:rStyle w:val="Hyperlink"/>
            <w:rFonts w:ascii="Times New Roman" w:hAnsi="Times New Roman"/>
            <w:b w:val="false"/>
            <w:i w:val="false"/>
            <w:color w:val="000000"/>
            <w:sz w:val="22"/>
          </w:rPr>
          <w:t>567—50.7</w:t>
        </w:r>
      </w:hyperlink>
      <w:r>
        <w:rPr>
          <w:rFonts w:ascii="Times New Roman" w:hAnsi="Times New Roman"/>
          <w:b w:val="false"/>
          <w:i w:val="false"/>
          <w:color w:val="000000"/>
          <w:sz w:val="22"/>
        </w:rPr>
        <w:t xml:space="preserve">(17A,455B) and </w:t>
      </w:r>
      <w:hyperlink r:id="rId12">
        <w:r>
          <w:rPr>
            <w:rStyle w:val="Hyperlink"/>
            <w:rFonts w:ascii="Times New Roman" w:hAnsi="Times New Roman"/>
            <w:b w:val="false"/>
            <w:i w:val="false"/>
            <w:color w:val="000000"/>
            <w:sz w:val="22"/>
          </w:rPr>
          <w:t>567—subrule 50.8(3)</w:t>
        </w:r>
      </w:hyperlink>
      <w:r>
        <w:rPr>
          <w:rFonts w:ascii="Times New Roman" w:hAnsi="Times New Roman"/>
          <w:b w:val="false"/>
          <w:i w:val="false"/>
          <w:color w:val="000000"/>
          <w:sz w:val="22"/>
        </w:rPr>
        <w:t xml:space="preserve"> are inadequate to ensure the long-term availability of the source and to preserve the public health and welfare.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53.2(2)</w:t>
      </w:r>
      <w:r>
        <w:rPr>
          <w:rFonts w:ascii="Times New Roman" w:hAnsi="Times New Roman"/>
          <w:b w:val="false"/>
          <w:i w:val="false"/>
          <w:color w:val="000000"/>
          <w:sz w:val="22"/>
        </w:rPr>
        <w:t> </w:t>
      </w:r>
      <w:r>
        <w:rPr>
          <w:rFonts w:ascii="Times New Roman" w:hAnsi="Times New Roman"/>
          <w:b w:val="false"/>
          <w:i w:val="false"/>
          <w:color w:val="000000"/>
          <w:sz w:val="22"/>
        </w:rPr>
        <w:t>Predictive geohydrological and chemical analyses of the groundwater source if the petition is to prevent or minimize the movement of known or suspected contaminants.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53.2(3)</w:t>
      </w:r>
      <w:r>
        <w:rPr>
          <w:rFonts w:ascii="Times New Roman" w:hAnsi="Times New Roman"/>
          <w:b w:val="false"/>
          <w:i w:val="false"/>
          <w:color w:val="000000"/>
          <w:sz w:val="22"/>
        </w:rPr>
        <w:t> </w:t>
      </w:r>
      <w:r>
        <w:rPr>
          <w:rFonts w:ascii="Times New Roman" w:hAnsi="Times New Roman"/>
          <w:b w:val="false"/>
          <w:i w:val="false"/>
          <w:color w:val="000000"/>
          <w:sz w:val="22"/>
        </w:rPr>
        <w:t>Facts and arguments demonstrating the effect that additional withdrawals from a stream or stream segment proposed for designation would have on downstream discharges, surrounding alluvial systems, and biological systems, and on potential changes in the frequency at which the protected stream discharge levels are reached.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3">
        <w:r>
          <w:rPr>
            <w:rStyle w:val="Hyperlink"/>
            <w:rFonts w:ascii="Times New Roman" w:hAnsi="Times New Roman"/>
            <w:b w:val="false"/>
            <w:i w:val="false"/>
            <w:color w:val="000000"/>
            <w:sz w:val="22"/>
          </w:rPr>
          <w:t>455B.262</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455B.264</w:t>
        </w:r>
      </w:hyperlink>
      <w:r>
        <w:rPr>
          <w:rFonts w:ascii="Times New Roman" w:hAnsi="Times New Roman"/>
          <w:b w:val="false"/>
          <w:i w:val="false"/>
          <w:color w:val="000000"/>
          <w:sz w:val="22"/>
        </w:rPr>
        <w:t xml:space="preserve"> through </w:t>
      </w:r>
      <w:hyperlink r:id="rId15">
        <w:r>
          <w:rPr>
            <w:rStyle w:val="Hyperlink"/>
            <w:rFonts w:ascii="Times New Roman" w:hAnsi="Times New Roman"/>
            <w:b w:val="false"/>
            <w:i w:val="false"/>
            <w:color w:val="000000"/>
            <w:sz w:val="22"/>
          </w:rPr>
          <w:t>455B.274</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455B.278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9200C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567—53.3</w:t>
      </w:r>
      <w:r>
        <w:rPr>
          <w:rFonts w:ascii="Times New Roman" w:hAnsi="Times New Roman"/>
          <w:b/>
          <w:i w:val="false"/>
          <w:color w:val="000000"/>
          <w:sz w:val="22"/>
        </w:rPr>
        <w:t xml:space="preserve">(455B) </w:t>
      </w:r>
      <w:r>
        <w:rPr>
          <w:rFonts w:ascii="Times New Roman" w:hAnsi="Times New Roman"/>
          <w:b/>
          <w:i w:val="false"/>
          <w:color w:val="000000"/>
          <w:sz w:val="22"/>
        </w:rPr>
        <w:t xml:space="preserve">Information requirements for applications to withdraw water from protected sources. </w:t>
      </w:r>
      <w:r>
        <w:rPr>
          <w:rFonts w:ascii="Times New Roman" w:hAnsi="Times New Roman"/>
          <w:b w:val="false"/>
          <w:i w:val="false"/>
          <w:color w:val="000000"/>
          <w:sz w:val="22"/>
        </w:rPr>
        <w:t xml:space="preserve">An applicant proposing to withdraw water from a protected source, as listed in rule </w:t>
      </w:r>
      <w:hyperlink r:id="rId17">
        <w:r>
          <w:rPr>
            <w:rStyle w:val="Hyperlink"/>
            <w:rFonts w:ascii="Times New Roman" w:hAnsi="Times New Roman"/>
            <w:b w:val="false"/>
            <w:i w:val="false"/>
            <w:color w:val="000000"/>
            <w:sz w:val="22"/>
          </w:rPr>
          <w:t>567—53.5</w:t>
        </w:r>
      </w:hyperlink>
      <w:r>
        <w:rPr>
          <w:rFonts w:ascii="Times New Roman" w:hAnsi="Times New Roman"/>
          <w:b w:val="false"/>
          <w:i w:val="false"/>
          <w:color w:val="000000"/>
          <w:sz w:val="22"/>
        </w:rPr>
        <w:t>(455B), may be required to submit information necessary for the department to determine the effects resulting from such withdrawal.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53.3(1)</w:t>
      </w:r>
      <w:r>
        <w:rPr>
          <w:rFonts w:ascii="Times New Roman" w:hAnsi="Times New Roman"/>
          <w:b w:val="false"/>
          <w:i w:val="false"/>
          <w:color w:val="000000"/>
          <w:sz w:val="22"/>
        </w:rPr>
        <w:t> </w:t>
      </w:r>
      <w:r>
        <w:rPr>
          <w:rFonts w:ascii="Times New Roman" w:hAnsi="Times New Roman"/>
          <w:b w:val="false"/>
          <w:i/>
          <w:color w:val="000000"/>
          <w:sz w:val="22"/>
        </w:rPr>
        <w:t xml:space="preserve">Withdrawals from protected groundwater sources. </w:t>
      </w:r>
      <w:r>
        <w:rPr>
          <w:rFonts w:ascii="Times New Roman" w:hAnsi="Times New Roman"/>
          <w:b w:val="false"/>
          <w:i w:val="false"/>
          <w:color w:val="000000"/>
          <w:sz w:val="22"/>
        </w:rPr>
        <w:t xml:space="preserve">Applicants for water use permits may be required to provide the information detailed in rule </w:t>
      </w:r>
      <w:hyperlink r:id="rId18">
        <w:r>
          <w:rPr>
            <w:rStyle w:val="Hyperlink"/>
            <w:rFonts w:ascii="Times New Roman" w:hAnsi="Times New Roman"/>
            <w:b w:val="false"/>
            <w:i w:val="false"/>
            <w:color w:val="000000"/>
            <w:sz w:val="22"/>
          </w:rPr>
          <w:t>567—50.7</w:t>
        </w:r>
      </w:hyperlink>
      <w:r>
        <w:rPr>
          <w:rFonts w:ascii="Times New Roman" w:hAnsi="Times New Roman"/>
          <w:b w:val="false"/>
          <w:i w:val="false"/>
          <w:color w:val="000000"/>
          <w:sz w:val="22"/>
        </w:rPr>
        <w:t>(17A,455B) and additional predictive geohydrological and chemical analyses of the groundwater source. Where there is potential for a known contaminant to migrate, predictive analyses may also be requested to show potential movement and effects of the withdrawal on the hydraulic head. Monitoring may be required in permits authorizing withdrawals from a protected groundwater source.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53.3(2)</w:t>
      </w:r>
      <w:r>
        <w:rPr>
          <w:rFonts w:ascii="Times New Roman" w:hAnsi="Times New Roman"/>
          <w:b w:val="false"/>
          <w:i w:val="false"/>
          <w:color w:val="000000"/>
          <w:sz w:val="22"/>
        </w:rPr>
        <w:t> </w:t>
      </w:r>
      <w:r>
        <w:rPr>
          <w:rFonts w:ascii="Times New Roman" w:hAnsi="Times New Roman"/>
          <w:b w:val="false"/>
          <w:i/>
          <w:color w:val="000000"/>
          <w:sz w:val="22"/>
        </w:rPr>
        <w:t xml:space="preserve">Withdrawals from protected surface water sources. </w:t>
      </w:r>
      <w:r>
        <w:rPr>
          <w:rFonts w:ascii="Times New Roman" w:hAnsi="Times New Roman"/>
          <w:b w:val="false"/>
          <w:i w:val="false"/>
          <w:color w:val="000000"/>
          <w:sz w:val="22"/>
        </w:rPr>
        <w:t xml:space="preserve">Applicants for water use permits may be required to demonstrate the effect of proposed withdrawals on downstream discharges, surrounding alluvial systems, and biological systems, and of potential changes in the frequency at which protected stream discharge levels are reached, for any stream or stream reaches listed in rule </w:t>
      </w:r>
      <w:hyperlink r:id="rId19">
        <w:r>
          <w:rPr>
            <w:rStyle w:val="Hyperlink"/>
            <w:rFonts w:ascii="Times New Roman" w:hAnsi="Times New Roman"/>
            <w:b w:val="false"/>
            <w:i w:val="false"/>
            <w:color w:val="000000"/>
            <w:sz w:val="22"/>
          </w:rPr>
          <w:t>567—53.5</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0">
        <w:r>
          <w:rPr>
            <w:rStyle w:val="Hyperlink"/>
            <w:rFonts w:ascii="Times New Roman" w:hAnsi="Times New Roman"/>
            <w:b w:val="false"/>
            <w:i w:val="false"/>
            <w:color w:val="000000"/>
            <w:sz w:val="22"/>
          </w:rPr>
          <w:t>455B.262</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455B.264</w:t>
        </w:r>
      </w:hyperlink>
      <w:r>
        <w:rPr>
          <w:rFonts w:ascii="Times New Roman" w:hAnsi="Times New Roman"/>
          <w:b w:val="false"/>
          <w:i w:val="false"/>
          <w:color w:val="000000"/>
          <w:sz w:val="22"/>
        </w:rPr>
        <w:t xml:space="preserve"> through </w:t>
      </w:r>
      <w:hyperlink r:id="rId22">
        <w:r>
          <w:rPr>
            <w:rStyle w:val="Hyperlink"/>
            <w:rFonts w:ascii="Times New Roman" w:hAnsi="Times New Roman"/>
            <w:b w:val="false"/>
            <w:i w:val="false"/>
            <w:color w:val="000000"/>
            <w:sz w:val="22"/>
          </w:rPr>
          <w:t>455B.274</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455B.278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9200C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567—53.4</w:t>
      </w:r>
      <w:r>
        <w:rPr>
          <w:rFonts w:ascii="Times New Roman" w:hAnsi="Times New Roman"/>
          <w:b/>
          <w:i w:val="false"/>
          <w:color w:val="000000"/>
          <w:sz w:val="22"/>
        </w:rPr>
        <w:t xml:space="preserve">(455B) </w:t>
      </w:r>
      <w:r>
        <w:rPr>
          <w:rFonts w:ascii="Times New Roman" w:hAnsi="Times New Roman"/>
          <w:b/>
          <w:i w:val="false"/>
          <w:color w:val="000000"/>
          <w:sz w:val="22"/>
        </w:rPr>
        <w:t xml:space="preserve">Conditions in permits for withdrawals of water from a protected source. </w:t>
      </w:r>
      <w:r>
        <w:rPr>
          <w:rFonts w:ascii="Times New Roman" w:hAnsi="Times New Roman"/>
          <w:b w:val="false"/>
          <w:i w:val="false"/>
          <w:color w:val="000000"/>
          <w:sz w:val="22"/>
        </w:rPr>
        <w:t xml:space="preserve">The designation of a protected water source in rule </w:t>
      </w:r>
      <w:hyperlink r:id="rId24">
        <w:r>
          <w:rPr>
            <w:rStyle w:val="Hyperlink"/>
            <w:rFonts w:ascii="Times New Roman" w:hAnsi="Times New Roman"/>
            <w:b w:val="false"/>
            <w:i w:val="false"/>
            <w:color w:val="000000"/>
            <w:sz w:val="22"/>
          </w:rPr>
          <w:t>567—53.5</w:t>
        </w:r>
      </w:hyperlink>
      <w:r>
        <w:rPr>
          <w:rFonts w:ascii="Times New Roman" w:hAnsi="Times New Roman"/>
          <w:b w:val="false"/>
          <w:i w:val="false"/>
          <w:color w:val="000000"/>
          <w:sz w:val="22"/>
        </w:rPr>
        <w:t xml:space="preserve">(455B) may include a list of special conditions for permits issued for withdrawals of water from the designated source. The designation may also include guidelines for the imposition of special limitations on withdrawals authorized by permits that were in force on the effective date of the protected source designation. However, such guidelines may be enforced only in accordance with the procedures in rule </w:t>
      </w:r>
      <w:hyperlink r:id="rId25">
        <w:r>
          <w:rPr>
            <w:rStyle w:val="Hyperlink"/>
            <w:rFonts w:ascii="Times New Roman" w:hAnsi="Times New Roman"/>
            <w:b w:val="false"/>
            <w:i w:val="false"/>
            <w:color w:val="000000"/>
            <w:sz w:val="22"/>
          </w:rPr>
          <w:t>567—50.14</w:t>
        </w:r>
      </w:hyperlink>
      <w:r>
        <w:rPr>
          <w:rFonts w:ascii="Times New Roman" w:hAnsi="Times New Roman"/>
          <w:b w:val="false"/>
          <w:i w:val="false"/>
          <w:color w:val="000000"/>
          <w:sz w:val="22"/>
        </w:rPr>
        <w:t xml:space="preserve">(455B) for modification, termination, and emergency suspension of permits, or after a permittee has had an opportunity to contest the imposition of proposed special limitations in permit renewal proceedings. When a group of permits is potentially affected by the guidelines in rule </w:t>
      </w:r>
      <w:hyperlink r:id="rId26">
        <w:r>
          <w:rPr>
            <w:rStyle w:val="Hyperlink"/>
            <w:rFonts w:ascii="Times New Roman" w:hAnsi="Times New Roman"/>
            <w:b w:val="false"/>
            <w:i w:val="false"/>
            <w:color w:val="000000"/>
            <w:sz w:val="22"/>
          </w:rPr>
          <w:t>567—53.5</w:t>
        </w:r>
      </w:hyperlink>
      <w:r>
        <w:rPr>
          <w:rFonts w:ascii="Times New Roman" w:hAnsi="Times New Roman"/>
          <w:b w:val="false"/>
          <w:i w:val="false"/>
          <w:color w:val="000000"/>
          <w:sz w:val="22"/>
        </w:rPr>
        <w:t xml:space="preserve">(455B), hearings under rule </w:t>
      </w:r>
      <w:hyperlink r:id="rId27">
        <w:r>
          <w:rPr>
            <w:rStyle w:val="Hyperlink"/>
            <w:rFonts w:ascii="Times New Roman" w:hAnsi="Times New Roman"/>
            <w:b w:val="false"/>
            <w:i w:val="false"/>
            <w:color w:val="000000"/>
            <w:sz w:val="22"/>
          </w:rPr>
          <w:t>567—50.14</w:t>
        </w:r>
      </w:hyperlink>
      <w:r>
        <w:rPr>
          <w:rFonts w:ascii="Times New Roman" w:hAnsi="Times New Roman"/>
          <w:b w:val="false"/>
          <w:i w:val="false"/>
          <w:color w:val="000000"/>
          <w:sz w:val="22"/>
        </w:rPr>
        <w:t>(455B) may be consolidated.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53.4(1)</w:t>
      </w:r>
      <w:r>
        <w:rPr>
          <w:rFonts w:ascii="Times New Roman" w:hAnsi="Times New Roman"/>
          <w:b w:val="false"/>
          <w:i w:val="false"/>
          <w:color w:val="000000"/>
          <w:sz w:val="22"/>
        </w:rPr>
        <w:t> </w:t>
      </w:r>
      <w:r>
        <w:rPr>
          <w:rFonts w:ascii="Times New Roman" w:hAnsi="Times New Roman"/>
          <w:b w:val="false"/>
          <w:i/>
          <w:color w:val="000000"/>
          <w:sz w:val="22"/>
        </w:rPr>
        <w:t xml:space="preserve">Withdrawals from streams or associated alluvium that are protected sources. </w:t>
      </w:r>
      <w:r>
        <w:rPr>
          <w:rFonts w:ascii="Times New Roman" w:hAnsi="Times New Roman"/>
          <w:b w:val="false"/>
          <w:i w:val="false"/>
          <w:color w:val="000000"/>
          <w:sz w:val="22"/>
        </w:rPr>
        <w:t xml:space="preserve">The department may apply special conditions on all water use permits for withdrawals from streams and associated alluvial systems that are protected water sources listed in rule </w:t>
      </w:r>
      <w:hyperlink r:id="rId28">
        <w:r>
          <w:rPr>
            <w:rStyle w:val="Hyperlink"/>
            <w:rFonts w:ascii="Times New Roman" w:hAnsi="Times New Roman"/>
            <w:b w:val="false"/>
            <w:i w:val="false"/>
            <w:color w:val="000000"/>
            <w:sz w:val="22"/>
          </w:rPr>
          <w:t>567—53.5</w:t>
        </w:r>
      </w:hyperlink>
      <w:r>
        <w:rPr>
          <w:rFonts w:ascii="Times New Roman" w:hAnsi="Times New Roman"/>
          <w:b w:val="false"/>
          <w:i w:val="false"/>
          <w:color w:val="000000"/>
          <w:sz w:val="22"/>
        </w:rPr>
        <w:t xml:space="preserve">(455B). Such conditions may include a cessation of withdrawals at a stream discharge rate as determined by the department when withdrawals may be in excess of the level required by </w:t>
      </w:r>
      <w:hyperlink r:id="rId29">
        <w:r>
          <w:rPr>
            <w:rStyle w:val="Hyperlink"/>
            <w:rFonts w:ascii="Times New Roman" w:hAnsi="Times New Roman"/>
            <w:b w:val="false"/>
            <w:i w:val="false"/>
            <w:color w:val="000000"/>
            <w:sz w:val="22"/>
          </w:rPr>
          <w:t>567—subrule 50.15(3)</w:t>
        </w:r>
      </w:hyperlink>
      <w:r>
        <w:rPr>
          <w:rFonts w:ascii="Times New Roman" w:hAnsi="Times New Roman"/>
          <w:b w:val="false"/>
          <w:i w:val="false"/>
          <w:color w:val="000000"/>
          <w:sz w:val="22"/>
        </w:rPr>
        <w:t>. These conditions may apply to both consumptive and nonconsumptive withdrawals.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53.4(2)</w:t>
      </w:r>
      <w:r>
        <w:rPr>
          <w:rFonts w:ascii="Times New Roman" w:hAnsi="Times New Roman"/>
          <w:b w:val="false"/>
          <w:i w:val="false"/>
          <w:color w:val="000000"/>
          <w:sz w:val="22"/>
        </w:rPr>
        <w:t> </w:t>
      </w:r>
      <w:r>
        <w:rPr>
          <w:rFonts w:ascii="Times New Roman" w:hAnsi="Times New Roman"/>
          <w:b w:val="false"/>
          <w:i/>
          <w:color w:val="000000"/>
          <w:sz w:val="22"/>
        </w:rPr>
        <w:t xml:space="preserve">Withdrawals from groundwater sources that are protected sources. </w:t>
      </w:r>
      <w:r>
        <w:rPr>
          <w:rFonts w:ascii="Times New Roman" w:hAnsi="Times New Roman"/>
          <w:b w:val="false"/>
          <w:i w:val="false"/>
          <w:color w:val="000000"/>
          <w:sz w:val="22"/>
        </w:rPr>
        <w:t xml:space="preserve">The department may apply special conditions on all water use permits for withdrawals from groundwater systems that are protected water sources listed in rule </w:t>
      </w:r>
      <w:hyperlink r:id="rId30">
        <w:r>
          <w:rPr>
            <w:rStyle w:val="Hyperlink"/>
            <w:rFonts w:ascii="Times New Roman" w:hAnsi="Times New Roman"/>
            <w:b w:val="false"/>
            <w:i w:val="false"/>
            <w:color w:val="000000"/>
            <w:sz w:val="22"/>
          </w:rPr>
          <w:t>567—53.5</w:t>
        </w:r>
      </w:hyperlink>
      <w:r>
        <w:rPr>
          <w:rFonts w:ascii="Times New Roman" w:hAnsi="Times New Roman"/>
          <w:b w:val="false"/>
          <w:i w:val="false"/>
          <w:color w:val="000000"/>
          <w:sz w:val="22"/>
        </w:rPr>
        <w:t>(455B). Such conditions may include immediate cessation of withdrawals if declines in hydraulic head or movement of known contaminants in the source are detected. These conditions may apply to both consumptive and nonconsumptive withdrawals.</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31">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9200C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567—53.5</w:t>
      </w:r>
      <w:r>
        <w:rPr>
          <w:rFonts w:ascii="Times New Roman" w:hAnsi="Times New Roman"/>
          <w:b/>
          <w:i w:val="false"/>
          <w:color w:val="000000"/>
          <w:sz w:val="22"/>
        </w:rPr>
        <w:t xml:space="preserve">(455B) </w:t>
      </w:r>
      <w:r>
        <w:rPr>
          <w:rFonts w:ascii="Times New Roman" w:hAnsi="Times New Roman"/>
          <w:b/>
          <w:i w:val="false"/>
          <w:color w:val="000000"/>
          <w:sz w:val="22"/>
        </w:rPr>
        <w:t xml:space="preserve">List of protected water sources. </w:t>
      </w:r>
      <w:r>
        <w:rPr>
          <w:rFonts w:ascii="Times New Roman" w:hAnsi="Times New Roman"/>
          <w:b w:val="false"/>
          <w:i w:val="false"/>
          <w:color w:val="000000"/>
          <w:sz w:val="22"/>
        </w:rPr>
        <w:t>The following list identifies water sources designated as protected sources under this chapter. Each listing includes the name of the designated surface water or groundwater source, the geographical areas affected, the specific purposes for designating the source, and special limitations imposed or recommended to achieve the purpose of the protected source designation. The listing may also include special monitoring requirements or specify a date by which the department must review a protected source designation.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53.5(1)</w:t>
      </w:r>
      <w:r>
        <w:rPr>
          <w:rFonts w:ascii="Times New Roman" w:hAnsi="Times New Roman"/>
          <w:b w:val="false"/>
          <w:i w:val="false"/>
          <w:color w:val="000000"/>
          <w:sz w:val="22"/>
        </w:rPr>
        <w:t> </w:t>
      </w:r>
      <w:r>
        <w:rPr>
          <w:rFonts w:ascii="Times New Roman" w:hAnsi="Times New Roman"/>
          <w:b w:val="false"/>
          <w:i/>
          <w:color w:val="000000"/>
          <w:sz w:val="22"/>
        </w:rPr>
        <w:t xml:space="preserve">Ralston Site, Linn County.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Geographic area. </w:t>
      </w:r>
      <w:r>
        <w:rPr>
          <w:rFonts w:ascii="Times New Roman" w:hAnsi="Times New Roman"/>
          <w:b w:val="false"/>
          <w:i w:val="false"/>
          <w:color w:val="000000"/>
          <w:sz w:val="22"/>
        </w:rPr>
        <w:t xml:space="preserve">The protected water source area includes an area within the boundaries of the cities of Cedar Rapids and Marion in Linn County. The actual geographical boundaries of the area are defined in </w:t>
      </w:r>
      <w:hyperlink r:id="rId32">
        <w:r>
          <w:rPr>
            <w:rStyle w:val="Hyperlink"/>
            <w:rFonts w:ascii="Times New Roman" w:hAnsi="Times New Roman"/>
            <w:b w:val="false"/>
            <w:i w:val="false"/>
            <w:color w:val="000000"/>
            <w:sz w:val="22"/>
          </w:rPr>
          <w:t>53.5(1)</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New or modified water use permits. </w:t>
      </w:r>
      <w:r>
        <w:rPr>
          <w:rFonts w:ascii="Times New Roman" w:hAnsi="Times New Roman"/>
          <w:b w:val="false"/>
          <w:i w:val="false"/>
          <w:color w:val="000000"/>
          <w:sz w:val="22"/>
        </w:rPr>
        <w:t>Any new application for a permit to withdraw groundwater or to increase an existing permitted groundwater withdrawal from within the protected water source area will be restricted or denied, if necessary, to preserve public health and welfare or to minimize movement of groundwater contaminants from the Ralston Site. The Ralston Site is identified as an EPA Comprehensive Environmental Response, Compensation, and Liability Act site under identification number IAD 980632491.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Groundwater withdrawal. </w:t>
      </w:r>
      <w:r>
        <w:rPr>
          <w:rFonts w:ascii="Times New Roman" w:hAnsi="Times New Roman"/>
          <w:b w:val="false"/>
          <w:i w:val="false"/>
          <w:color w:val="000000"/>
          <w:sz w:val="22"/>
        </w:rPr>
        <w:t>Groundwater withdrawal from within the protected water source area may also be restricted or denied from what would otherwise be nonregulated wells, if necessary, to preserve public health and welfare or to minimize the movement of groundwater contaminants from the Ralston Site. The Linn County health department will refer any application for a private well construction permit within the protected water source area to the department, which will determine whether to permit the proposed well.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Map of protected water source area. </w:t>
      </w:r>
      <w:r>
        <w:rPr>
          <w:rFonts w:ascii="Times New Roman" w:hAnsi="Times New Roman"/>
          <w:b w:val="false"/>
          <w:i w:val="false"/>
          <w:color w:val="000000"/>
          <w:sz w:val="22"/>
        </w:rPr>
        <w:t>The department shall maintain a map of the protected water source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entire following described area within Linn County is defined as a protected water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areas of Section 35, Township 84 North, Range 7 West.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areas of the SW ¼ of Section 36, Township 84 North, Range 7 West.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areas of the SW ¼ of the NW ¼ of Section 36, Township 84 North, Range 7 West.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areas of the SE ¼ of Section 34, Township 84 North, Range 7 West.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All areas of the SE ¼ of the SE ¼ of Section 34, Township 84 North, Range 7 West.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All areas of Section 2, Township 83 North, Range 7 West.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All areas of the NW ¼ of the NW ¼ of Section 1, Township 83 North, Range 7 West.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All areas of the N ½ of the SW ¼ of Section 1, Township 83 North, Range 7 West.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All areas of the SW ¼ of the SW ¼ of Section 1, Township 83 North, Range 7 West.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All areas of the NE ¼ of Section 3, Township 83 North, Range 7 West.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All areas of the N ½ of the SE ¼ of Section 3, Township 83 North, Range 7 West.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All areas of the SE ¼ of the SE ¼ of Section 3, Township 83 North, Range 7 West.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Map of the protected source area.</w:t>
      </w:r>
    </w:p>
    <w:p>
      <w:pPr>
        <w:spacing w:before="0" w:after="0"/>
        <w:ind w:left="120"/>
        <w:jc w:val="both"/>
      </w:pPr>
      <w:r>
        <w:drawing>
          <wp:inline distT="0" distB="0" distL="0" distR="0">
            <wp:extent cx="5486400" cy="5588280"/>
            <wp:effectExtent l="0" t="0" r="0" b="0"/>
            <wp:docPr id="2" name="" descr=""/>
            <wp:cNvGraphicFramePr>
              <a:graphicFrameLocks noChangeAspect="true"/>
            </wp:cNvGraphicFramePr>
            <a:graphic>
              <a:graphicData uri="http://schemas.openxmlformats.org/drawingml/2006/picture">
                <pic:pic>
                  <pic:nvPicPr>
                    <pic:cNvPr id="1" name=""/>
                    <pic:cNvPicPr/>
                  </pic:nvPicPr>
                  <pic:blipFill>
                    <a:blip r:embed="rId33"/>
                    <a:stretch>
                      <a:fillRect/>
                    </a:stretch>
                  </pic:blipFill>
                  <pic:spPr>
                    <a:xfrm>
                      <a:off x="0" y="0"/>
                      <a:ext cx="5486400" cy="5588280"/>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53.5(2)</w:t>
      </w:r>
      <w:r>
        <w:rPr>
          <w:rFonts w:ascii="Times New Roman" w:hAnsi="Times New Roman"/>
          <w:b w:val="false"/>
          <w:i w:val="false"/>
          <w:color w:val="000000"/>
          <w:sz w:val="22"/>
        </w:rPr>
        <w:t> </w:t>
      </w:r>
      <w:r>
        <w:rPr>
          <w:rFonts w:ascii="Times New Roman" w:hAnsi="Times New Roman"/>
          <w:b w:val="false"/>
          <w:i/>
          <w:color w:val="000000"/>
          <w:sz w:val="22"/>
        </w:rPr>
        <w:t xml:space="preserve">Cambrian-Ordovician (Jordan) aquifer in Johnson and Linn Counties.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Geographical area. </w:t>
      </w:r>
      <w:r>
        <w:rPr>
          <w:rFonts w:ascii="Times New Roman" w:hAnsi="Times New Roman"/>
          <w:b w:val="false"/>
          <w:i w:val="false"/>
          <w:color w:val="000000"/>
          <w:sz w:val="22"/>
        </w:rPr>
        <w:t xml:space="preserve">The protected water source area includes portions of Johnson and Linn Counties. The actual geographical boundaries of the area are defined in </w:t>
      </w:r>
      <w:hyperlink r:id="rId34">
        <w:r>
          <w:rPr>
            <w:rStyle w:val="Hyperlink"/>
            <w:rFonts w:ascii="Times New Roman" w:hAnsi="Times New Roman"/>
            <w:b w:val="false"/>
            <w:i w:val="false"/>
            <w:color w:val="000000"/>
            <w:sz w:val="22"/>
          </w:rPr>
          <w:t>53.5(2)</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New or modified water use permits. </w:t>
      </w:r>
      <w:r>
        <w:rPr>
          <w:rFonts w:ascii="Times New Roman" w:hAnsi="Times New Roman"/>
          <w:b w:val="false"/>
          <w:i w:val="false"/>
          <w:color w:val="000000"/>
          <w:sz w:val="22"/>
        </w:rPr>
        <w:t>Any new application for a permit to withdraw groundwater or to increase an existing permitted groundwater withdrawal from the Cambrian-Ordovician (Jordan) aquifer within the protected water source area will be restricted or denied if necessary to preserve public health and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Groundwater withdrawal. </w:t>
      </w:r>
      <w:r>
        <w:rPr>
          <w:rFonts w:ascii="Times New Roman" w:hAnsi="Times New Roman"/>
          <w:b w:val="false"/>
          <w:i w:val="false"/>
          <w:color w:val="000000"/>
          <w:sz w:val="22"/>
        </w:rPr>
        <w:t>Groundwater withdrawal from within the protected water source area may also be restricted or denied from water supply wells constructed in the Cambrian-Ordovician (Jordan) aquifer, public or private, and the construction of all new water supply wells in this aquifer shall be restricted or denied, if necessary, to preserve public health and welfare or to minimize adverse effects to the available head. The Johnson County and Linn County health departments are not authorized to issue a construction permit for a private well drilled into or through the Cambrian-Ordovician (Jordan) aquifer within the protected water source area without department approval. The department will determine whether the proposed well can be constructed and may require that the well meet public water well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Map of protected water source area. </w:t>
      </w:r>
      <w:r>
        <w:rPr>
          <w:rFonts w:ascii="Times New Roman" w:hAnsi="Times New Roman"/>
          <w:b w:val="false"/>
          <w:i w:val="false"/>
          <w:color w:val="000000"/>
          <w:sz w:val="22"/>
        </w:rPr>
        <w:t>The department shall maintain a map of the protected water source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entire following described area within Johnson County and within Linn County is defined as a protected water source.</w:t>
      </w:r>
    </w:p>
    <w:p>
      <w:pPr>
        <w:spacing w:before="0" w:after="0"/>
        <w:ind w:left="120"/>
        <w:jc w:val="both"/>
      </w:pPr>
      <w:r>
        <w:rPr>
          <w:rFonts w:ascii="Times New Roman" w:hAnsi="Times New Roman"/>
          <w:b/>
          <w:i w:val="false"/>
          <w:color w:val="000000"/>
          <w:sz w:val="22"/>
        </w:rPr>
        <w:t>Johnson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areas of Township 79 North, Range 6 West.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areas of Township 79 North, Range 7 West.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areas of Township 79 North, Range 8 West.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areas of Township 80 North, Range 6 West.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All areas of Township 80 North, Range 7 West.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All areas of Township 80 North, Range 8 West.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All areas of Township 81 North, Range 6 West.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All areas of Township 81 North, Range 7 West.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All areas of Township 81 North, Range 8 West.</w:t>
      </w:r>
    </w:p>
    <w:p>
      <w:pPr>
        <w:spacing w:before="0" w:after="0"/>
        <w:ind w:left="120"/>
        <w:jc w:val="both"/>
      </w:pPr>
      <w:r>
        <w:rPr>
          <w:rFonts w:ascii="Times New Roman" w:hAnsi="Times New Roman"/>
          <w:b/>
          <w:i w:val="false"/>
          <w:color w:val="000000"/>
          <w:sz w:val="22"/>
        </w:rPr>
        <w:t>Linn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areas of Township 82 North, Range 6 West.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areas of Township 82 North, Range 7 West.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areas of Township 82 North, Range 8 West.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areas of Township 83 North, Range 6 West.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All areas of Township 83 North, Range 7 West.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All areas of Township 83 North, Range 8 West.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All areas of Township 84 North, Range 6 West.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All areas of Township 84 North, Range 7 West.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All areas of Township 84 North, Range 8 West.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Map of the described protected water source area in Linn and Johnson Counties.</w:t>
      </w:r>
    </w:p>
    <w:p>
      <w:pPr>
        <w:spacing w:before="0" w:after="0"/>
        <w:ind w:left="120"/>
        <w:jc w:val="both"/>
      </w:pPr>
      <w:r>
        <w:drawing>
          <wp:inline distT="0" distB="0" distL="0" distR="0">
            <wp:extent cx="5486400" cy="5600250"/>
            <wp:effectExtent l="0" t="0" r="0" b="0"/>
            <wp:docPr id="3" name="" descr=""/>
            <wp:cNvGraphicFramePr>
              <a:graphicFrameLocks noChangeAspect="true"/>
            </wp:cNvGraphicFramePr>
            <a:graphic>
              <a:graphicData uri="http://schemas.openxmlformats.org/drawingml/2006/picture">
                <pic:pic>
                  <pic:nvPicPr>
                    <pic:cNvPr id="1" name=""/>
                    <pic:cNvPicPr/>
                  </pic:nvPicPr>
                  <pic:blipFill>
                    <a:blip r:embed="rId35"/>
                    <a:stretch>
                      <a:fillRect/>
                    </a:stretch>
                  </pic:blipFill>
                  <pic:spPr>
                    <a:xfrm>
                      <a:off x="0" y="0"/>
                      <a:ext cx="5486400" cy="5600250"/>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53.5(3)</w:t>
      </w:r>
      <w:r>
        <w:rPr>
          <w:rFonts w:ascii="Times New Roman" w:hAnsi="Times New Roman"/>
          <w:b w:val="false"/>
          <w:i w:val="false"/>
          <w:color w:val="000000"/>
          <w:sz w:val="22"/>
        </w:rPr>
        <w:t> </w:t>
      </w:r>
      <w:r>
        <w:rPr>
          <w:rFonts w:ascii="Times New Roman" w:hAnsi="Times New Roman"/>
          <w:b w:val="false"/>
          <w:i/>
          <w:color w:val="000000"/>
          <w:sz w:val="22"/>
        </w:rPr>
        <w:t xml:space="preserve">Cambrian-Ordovician (Jordan) aquifer in Webster County.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Geographical area. </w:t>
      </w:r>
      <w:r>
        <w:rPr>
          <w:rFonts w:ascii="Times New Roman" w:hAnsi="Times New Roman"/>
          <w:b w:val="false"/>
          <w:i w:val="false"/>
          <w:color w:val="000000"/>
          <w:sz w:val="22"/>
        </w:rPr>
        <w:t xml:space="preserve">The protected water source area includes portions of Webster County. The actual geographical boundaries of the area are defined in </w:t>
      </w:r>
      <w:hyperlink r:id="rId36">
        <w:r>
          <w:rPr>
            <w:rStyle w:val="Hyperlink"/>
            <w:rFonts w:ascii="Times New Roman" w:hAnsi="Times New Roman"/>
            <w:b w:val="false"/>
            <w:i w:val="false"/>
            <w:color w:val="000000"/>
            <w:sz w:val="22"/>
          </w:rPr>
          <w:t>53.5(3)</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New or modified water use permits. </w:t>
      </w:r>
      <w:r>
        <w:rPr>
          <w:rFonts w:ascii="Times New Roman" w:hAnsi="Times New Roman"/>
          <w:b w:val="false"/>
          <w:i w:val="false"/>
          <w:color w:val="000000"/>
          <w:sz w:val="22"/>
        </w:rPr>
        <w:t>Any new application for a permit to withdraw groundwater or to increase an existing permitted groundwater withdrawal from the Cambrian-Ordovician (Jordan) aquifer within the protected water source area will be restricted or denied if necessary to preserve public health and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Groundwater withdrawal. </w:t>
      </w:r>
      <w:r>
        <w:rPr>
          <w:rFonts w:ascii="Times New Roman" w:hAnsi="Times New Roman"/>
          <w:b w:val="false"/>
          <w:i w:val="false"/>
          <w:color w:val="000000"/>
          <w:sz w:val="22"/>
        </w:rPr>
        <w:t>Groundwater withdrawal from within the protected water source area may also be restricted or denied from water supply wells constructed in the Cambrian-Ordovician (Jordan) aquifer, public or private, and the construction of all new water supply wells in this aquifer shall be restricted or denied, if necessary, to preserve public health and welfare or to minimize adverse effects to the available head. The Webster County health department is not authorized to issue a construction permit for a private well drilled into or through the Cambrian-Ordovician (Jordan) aquifer within the protected water source area without department approval. The department will determine whether the proposed well can be constructed and may require that the well meet public water well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Map of protected water source. </w:t>
      </w:r>
      <w:r>
        <w:rPr>
          <w:rFonts w:ascii="Times New Roman" w:hAnsi="Times New Roman"/>
          <w:b w:val="false"/>
          <w:i w:val="false"/>
          <w:color w:val="000000"/>
          <w:sz w:val="22"/>
        </w:rPr>
        <w:t>The department shall maintain a map of the protected water source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entire following described area within Webster County is defined as a protected water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areas of Township 88 North, Range 28 West.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areas of Township 88 North, Range 29 West.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areas of Township 89 North, Range 28 West.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areas of Township 89 North, Range 29 West.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Map of the described protected water source area in Webster County.</w:t>
      </w:r>
    </w:p>
    <w:p>
      <w:pPr>
        <w:spacing w:before="0" w:after="0"/>
        <w:ind w:left="120"/>
        <w:jc w:val="both"/>
      </w:pPr>
      <w:r>
        <w:drawing>
          <wp:inline distT="0" distB="0" distL="0" distR="0">
            <wp:extent cx="5486400" cy="5793736"/>
            <wp:effectExtent l="0" t="0" r="0" b="0"/>
            <wp:docPr id="4" name="" descr=""/>
            <wp:cNvGraphicFramePr>
              <a:graphicFrameLocks noChangeAspect="true"/>
            </wp:cNvGraphicFramePr>
            <a:graphic>
              <a:graphicData uri="http://schemas.openxmlformats.org/drawingml/2006/picture">
                <pic:pic>
                  <pic:nvPicPr>
                    <pic:cNvPr id="1" name=""/>
                    <pic:cNvPicPr/>
                  </pic:nvPicPr>
                  <pic:blipFill>
                    <a:blip r:embed="rId37"/>
                    <a:stretch>
                      <a:fillRect/>
                    </a:stretch>
                  </pic:blipFill>
                  <pic:spPr>
                    <a:xfrm>
                      <a:off x="0" y="0"/>
                      <a:ext cx="5486400" cy="5793736"/>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53.5(4)</w:t>
      </w:r>
      <w:r>
        <w:rPr>
          <w:rFonts w:ascii="Times New Roman" w:hAnsi="Times New Roman"/>
          <w:b w:val="false"/>
          <w:i w:val="false"/>
          <w:color w:val="000000"/>
          <w:sz w:val="22"/>
        </w:rPr>
        <w:t> </w:t>
      </w:r>
      <w:r>
        <w:rPr>
          <w:rFonts w:ascii="Times New Roman" w:hAnsi="Times New Roman"/>
          <w:b w:val="false"/>
          <w:i/>
          <w:color w:val="000000"/>
          <w:sz w:val="22"/>
        </w:rPr>
        <w:t xml:space="preserve">Iowa Army Ammunition Plant (IAAAP) RDX Contaminant Site in Des Moines County and Lee County. </w:t>
      </w:r>
      <w:r>
        <w:rPr>
          <w:rFonts w:ascii="Times New Roman" w:hAnsi="Times New Roman"/>
          <w:b w:val="false"/>
          <w:i w:val="false"/>
          <w:color w:val="000000"/>
          <w:sz w:val="22"/>
        </w:rPr>
        <w:t>The IAAAP hexahydro-1,3,5-trinitro-1,3,5-triazine (CAS Registry Number 121-82-4, also known as RDX, or Royal demolition explosive) protected water source area is known as the IAAAP RDX protected water source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Geographical area. </w:t>
      </w:r>
      <w:r>
        <w:rPr>
          <w:rFonts w:ascii="Times New Roman" w:hAnsi="Times New Roman"/>
          <w:b w:val="false"/>
          <w:i w:val="false"/>
          <w:color w:val="000000"/>
          <w:sz w:val="22"/>
        </w:rPr>
        <w:t xml:space="preserve">The IAAAP RDX protected water source area includes portions of Des Moines and Lee Counties. The geographical boundaries of the area are defined in </w:t>
      </w:r>
      <w:hyperlink r:id="rId38">
        <w:r>
          <w:rPr>
            <w:rStyle w:val="Hyperlink"/>
            <w:rFonts w:ascii="Times New Roman" w:hAnsi="Times New Roman"/>
            <w:b w:val="false"/>
            <w:i w:val="false"/>
            <w:color w:val="000000"/>
            <w:sz w:val="22"/>
          </w:rPr>
          <w:t>53.5(4)</w:t>
        </w:r>
      </w:hyperlink>
      <w:r>
        <w:rPr>
          <w:rFonts w:ascii="Times New Roman" w:hAnsi="Times New Roman"/>
          <w:b w:val="false"/>
          <w:i/>
          <w:color w:val="000000"/>
          <w:sz w:val="22"/>
        </w:rPr>
        <w:t>“e.”</w:t>
      </w:r>
      <w:r>
        <w:rPr>
          <w:rFonts w:ascii="Times New Roman" w:hAnsi="Times New Roman"/>
          <w:b w:val="false"/>
          <w:i w:val="false"/>
          <w:color w:val="000000"/>
          <w:sz w:val="22"/>
        </w:rPr>
        <w:t xml:space="preserve"> The IAAAP site is identified as an EPA Comprehensive Environmental Response, Compensation, and Liability Act site under identification number IA7213820445.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New or modified water use permits. </w:t>
      </w:r>
      <w:r>
        <w:rPr>
          <w:rFonts w:ascii="Times New Roman" w:hAnsi="Times New Roman"/>
          <w:b w:val="false"/>
          <w:i w:val="false"/>
          <w:color w:val="000000"/>
          <w:sz w:val="22"/>
        </w:rPr>
        <w:t>Any new application for a permit to withdraw groundwater or to increase an existing permitted groundwater withdrawal from the IAAAP RDX protected water source area will be restricted or denied if necessary to preserve public health and welfare and to minimize the movement of groundwater contaminants from the IAAAP RDX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Groundwater withdrawal. </w:t>
      </w:r>
      <w:r>
        <w:rPr>
          <w:rFonts w:ascii="Times New Roman" w:hAnsi="Times New Roman"/>
          <w:b w:val="false"/>
          <w:i w:val="false"/>
          <w:color w:val="000000"/>
          <w:sz w:val="22"/>
        </w:rPr>
        <w:t>Groundwater withdrawal from within the protected water source area may also be restricted or denied from regulated or nonregulated water supply wells, and the construction of all new water supply wells shall be restricted or denied, if necessary, to preserve public health and welfare and to minimize movement of groundwater contaminants.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is the only authorized well permitting authority within the protected water source area. No well shall be constructed within the protected water source area unless a written permit is obtained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well construction permit applications for this protected water source area shall be submitted to the department. The Des Moines County and Lee County health departments or their designated permitting authorities shall refer all private well construction permit applications to the department when the proposed wells are located within the protected water source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department will determine whether the proposed well can be installed and the well construction standards that are required for the well’s installation. All approved well construction shall use department-approved well construction standards and operational standards to ensure the protection of public health and welfare and to minimize the potential movement of contaminants in the groundwater within the protected water source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Boundaries. </w:t>
      </w:r>
      <w:r>
        <w:rPr>
          <w:rFonts w:ascii="Times New Roman" w:hAnsi="Times New Roman"/>
          <w:b w:val="false"/>
          <w:i w:val="false"/>
          <w:color w:val="000000"/>
          <w:sz w:val="22"/>
        </w:rPr>
        <w:t>When monitoring results, or an investigation conducted by the department, the IAAAP, or an agent designated by either party indicates that the monitored contaminant concentrations or the monitored contaminant boundaries have significantly changed, the department may increase or decrease the boundaries of the protected water source area to maintain the separation distance to the monitored contamination. The department will publish any changes in the contaminant boundaries and send a notice to the IAAAP, the Des Moines County and Lee County health departments, and the affected landowners.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Map of protected water source. </w:t>
      </w:r>
      <w:r>
        <w:rPr>
          <w:rFonts w:ascii="Times New Roman" w:hAnsi="Times New Roman"/>
          <w:b w:val="false"/>
          <w:i w:val="false"/>
          <w:color w:val="000000"/>
          <w:sz w:val="22"/>
        </w:rPr>
        <w:t>The department shall maintain a map of the protected water source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following described area within Des Moines County and Lee County is defined as a protected water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Des Moines County, Union Township</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East one-half of section 34 in Township 69 North, Range 3 West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All areas of section 35 in Township 69 North, Range 3 West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West one-half of section 36 in Township 69 North, Range 3 West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Des Moines County, Green Bay Township</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Northeast quarter section 3 in Township 68 North, Range 3 West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All areas of section 2 in Township 68 North, Range 3 West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West one-half of section 1, Township 68 North, Range 3 West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Lee County, Green Bay Township</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All areas of section 2 in Township 68 North, Range 3 West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All areas of section 1 in Township 68 North, Range 3 West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Map of the described protected water source area in Des Moines and Lee Counties.</w:t>
      </w:r>
    </w:p>
    <w:p>
      <w:pPr>
        <w:spacing w:before="0" w:after="0"/>
        <w:ind w:left="120"/>
        <w:jc w:val="both"/>
      </w:pPr>
      <w:r>
        <w:drawing>
          <wp:inline distT="0" distB="0" distL="0" distR="0">
            <wp:extent cx="5486400" cy="6103620"/>
            <wp:effectExtent l="0" t="0" r="0" b="0"/>
            <wp:docPr id="5" name="" descr=""/>
            <wp:cNvGraphicFramePr>
              <a:graphicFrameLocks noChangeAspect="true"/>
            </wp:cNvGraphicFramePr>
            <a:graphic>
              <a:graphicData uri="http://schemas.openxmlformats.org/drawingml/2006/picture">
                <pic:pic>
                  <pic:nvPicPr>
                    <pic:cNvPr id="1" name=""/>
                    <pic:cNvPicPr/>
                  </pic:nvPicPr>
                  <pic:blipFill>
                    <a:blip r:embed="rId39"/>
                    <a:stretch>
                      <a:fillRect/>
                    </a:stretch>
                  </pic:blipFill>
                  <pic:spPr>
                    <a:xfrm>
                      <a:off x="0" y="0"/>
                      <a:ext cx="5486400" cy="6103620"/>
                    </a:xfrm>
                    <a:prstGeom prst="rect">
                      <a:avLst/>
                    </a:prstGeom>
                  </pic:spPr>
                </pic:pic>
              </a:graphicData>
            </a:graphic>
          </wp:inline>
        </w:drawing>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9200C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When protected sources are designated, they will be listed as part of this rule.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0">
        <w:r>
          <w:rPr>
            <w:rStyle w:val="Hyperlink"/>
            <w:rFonts w:ascii="Times New Roman" w:hAnsi="Times New Roman"/>
            <w:b w:val="false"/>
            <w:i w:val="false"/>
            <w:color w:val="000000"/>
            <w:sz w:val="22"/>
          </w:rPr>
          <w:t>455B.262</w:t>
        </w:r>
      </w:hyperlink>
      <w:r>
        <w:rPr>
          <w:rFonts w:ascii="Times New Roman" w:hAnsi="Times New Roman"/>
          <w:b w:val="false"/>
          <w:i w:val="false"/>
          <w:color w:val="000000"/>
          <w:sz w:val="22"/>
        </w:rPr>
        <w:t xml:space="preserve">, </w:t>
      </w:r>
      <w:hyperlink r:id="rId41">
        <w:r>
          <w:rPr>
            <w:rStyle w:val="Hyperlink"/>
            <w:rFonts w:ascii="Times New Roman" w:hAnsi="Times New Roman"/>
            <w:b w:val="false"/>
            <w:i w:val="false"/>
            <w:color w:val="000000"/>
            <w:sz w:val="22"/>
          </w:rPr>
          <w:t>455B.264</w:t>
        </w:r>
      </w:hyperlink>
      <w:r>
        <w:rPr>
          <w:rFonts w:ascii="Times New Roman" w:hAnsi="Times New Roman"/>
          <w:b w:val="false"/>
          <w:i w:val="false"/>
          <w:color w:val="000000"/>
          <w:sz w:val="22"/>
        </w:rPr>
        <w:t xml:space="preserve"> through </w:t>
      </w:r>
      <w:hyperlink r:id="rId42">
        <w:r>
          <w:rPr>
            <w:rStyle w:val="Hyperlink"/>
            <w:rFonts w:ascii="Times New Roman" w:hAnsi="Times New Roman"/>
            <w:b w:val="false"/>
            <w:i w:val="false"/>
            <w:color w:val="000000"/>
            <w:sz w:val="22"/>
          </w:rPr>
          <w:t>455B.274</w:t>
        </w:r>
      </w:hyperlink>
      <w:r>
        <w:rPr>
          <w:rFonts w:ascii="Times New Roman" w:hAnsi="Times New Roman"/>
          <w:b w:val="false"/>
          <w:i w:val="false"/>
          <w:color w:val="000000"/>
          <w:sz w:val="22"/>
        </w:rPr>
        <w:t xml:space="preserve"> and </w:t>
      </w:r>
      <w:hyperlink r:id="rId43">
        <w:r>
          <w:rPr>
            <w:rStyle w:val="Hyperlink"/>
            <w:rFonts w:ascii="Times New Roman" w:hAnsi="Times New Roman"/>
            <w:b w:val="false"/>
            <w:i w:val="false"/>
            <w:color w:val="000000"/>
            <w:sz w:val="22"/>
          </w:rPr>
          <w:t>455B.278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11/1/85, Notice 7/31/85—published 11/20/85, effective 12/25/85]</w:t>
      </w:r>
    </w:p>
    <w:p>
      <w:pPr>
        <w:spacing w:before="0" w:after="0"/>
        <w:ind w:left="120"/>
        <w:jc w:val="center"/>
      </w:pPr>
      <w:r>
        <w:rPr>
          <w:rFonts w:ascii="Times New Roman" w:hAnsi="Times New Roman"/>
          <w:b w:val="false"/>
          <w:i w:val="false"/>
          <w:color w:val="000000"/>
          <w:sz w:val="21"/>
        </w:rPr>
        <w:t>[Filed emergency 11/14/86—published 12/3/86, effective 12/3/86]</w:t>
      </w:r>
    </w:p>
    <w:p>
      <w:pPr>
        <w:spacing w:before="0" w:after="0"/>
        <w:ind w:left="120"/>
        <w:jc w:val="center"/>
      </w:pPr>
      <w:r>
        <w:rPr>
          <w:rFonts w:ascii="Times New Roman" w:hAnsi="Times New Roman"/>
          <w:b w:val="false"/>
          <w:i w:val="false"/>
          <w:color w:val="000000"/>
          <w:sz w:val="21"/>
        </w:rPr>
        <w:t>[Filed 9/20/96, Notice 7/17/96—published 10/9/96, effective 11/13/96]</w:t>
      </w:r>
    </w:p>
    <w:p>
      <w:pPr>
        <w:spacing w:before="0" w:after="0"/>
        <w:ind w:left="120"/>
        <w:jc w:val="center"/>
      </w:pPr>
      <w:r>
        <w:rPr>
          <w:rFonts w:ascii="Times New Roman" w:hAnsi="Times New Roman"/>
          <w:b w:val="false"/>
          <w:i w:val="false"/>
          <w:color w:val="000000"/>
          <w:sz w:val="21"/>
        </w:rPr>
        <w:t>[Filed 5/17/06, Notice 3/15/06—published 6/7/06, effective 7/12/06]</w:t>
      </w:r>
    </w:p>
    <w:p>
      <w:pPr>
        <w:spacing w:before="0" w:after="0"/>
        <w:ind w:left="120"/>
        <w:jc w:val="center"/>
      </w:pPr>
      <w:r>
        <w:rPr>
          <w:rFonts w:ascii="Times New Roman" w:hAnsi="Times New Roman"/>
          <w:b w:val="false"/>
          <w:i w:val="false"/>
          <w:color w:val="000000"/>
          <w:sz w:val="21"/>
        </w:rPr>
        <w:t>[Filed ARC 2053C</w:t>
      </w:r>
      <w:r>
        <w:rPr>
          <w:rFonts w:ascii="Times New Roman" w:hAnsi="Times New Roman"/>
          <w:b w:val="false"/>
          <w:i w:val="false"/>
          <w:color w:val="000000"/>
          <w:sz w:val="21"/>
        </w:rPr>
        <w:t xml:space="preserve"> (Notice ARC 1914C, IAB 3/18/15)</w:t>
      </w:r>
      <w:r>
        <w:rPr>
          <w:rFonts w:ascii="Times New Roman" w:hAnsi="Times New Roman"/>
          <w:b w:val="false"/>
          <w:i w:val="false"/>
          <w:color w:val="000000"/>
          <w:sz w:val="21"/>
        </w:rPr>
        <w:t>, IAB 7/8/15, effective 8/12/15]</w:t>
      </w:r>
    </w:p>
    <w:p>
      <w:pPr>
        <w:spacing w:before="0" w:after="0"/>
        <w:ind w:left="120"/>
        <w:jc w:val="center"/>
      </w:pPr>
      <w:r>
        <w:rPr>
          <w:rFonts w:ascii="Times New Roman" w:hAnsi="Times New Roman"/>
          <w:b w:val="false"/>
          <w:i w:val="false"/>
          <w:color w:val="000000"/>
          <w:sz w:val="21"/>
        </w:rPr>
        <w:t>[Filed ARC 4426C</w:t>
      </w:r>
      <w:r>
        <w:rPr>
          <w:rFonts w:ascii="Times New Roman" w:hAnsi="Times New Roman"/>
          <w:b w:val="false"/>
          <w:i w:val="false"/>
          <w:color w:val="000000"/>
          <w:sz w:val="21"/>
        </w:rPr>
        <w:t xml:space="preserve"> (Notice ARC 4277C, IAB 2/13/19)</w:t>
      </w:r>
      <w:r>
        <w:rPr>
          <w:rFonts w:ascii="Times New Roman" w:hAnsi="Times New Roman"/>
          <w:b w:val="false"/>
          <w:i w:val="false"/>
          <w:color w:val="000000"/>
          <w:sz w:val="21"/>
        </w:rPr>
        <w:t>, IAB 5/8/19, effective 6/12/19]</w:t>
      </w:r>
    </w:p>
    <w:p>
      <w:pPr>
        <w:spacing w:before="0" w:after="0"/>
        <w:ind w:left="120"/>
        <w:jc w:val="center"/>
      </w:pPr>
      <w:r>
        <w:rPr>
          <w:rFonts w:ascii="Times New Roman" w:hAnsi="Times New Roman"/>
          <w:b w:val="false"/>
          <w:i w:val="false"/>
          <w:color w:val="000000"/>
          <w:sz w:val="21"/>
        </w:rPr>
        <w:t>[Filed ARC 9200C</w:t>
      </w:r>
      <w:r>
        <w:rPr>
          <w:rFonts w:ascii="Times New Roman" w:hAnsi="Times New Roman"/>
          <w:b w:val="false"/>
          <w:i w:val="false"/>
          <w:color w:val="000000"/>
          <w:sz w:val="21"/>
        </w:rPr>
        <w:t xml:space="preserve"> (Notice ARC 8652C, IAB 1/8/25)</w:t>
      </w:r>
      <w:r>
        <w:rPr>
          <w:rFonts w:ascii="Times New Roman" w:hAnsi="Times New Roman"/>
          <w:b w:val="false"/>
          <w:i w:val="false"/>
          <w:color w:val="000000"/>
          <w:sz w:val="21"/>
        </w:rPr>
        <w:t>, IAB 5/14/25, effective 6/18/25]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55B.262.pdf" Type="http://schemas.openxmlformats.org/officeDocument/2006/relationships/hyperlink" Id="rId5"/>
    <Relationship TargetMode="External" Target="https://www.legis.iowa.gov/docs/ico/chapter/455B.264.pdf" Type="http://schemas.openxmlformats.org/officeDocument/2006/relationships/hyperlink" Id="rId6"/>
    <Relationship TargetMode="External" Target="https://www.legis.iowa.gov/docs/ico/chapter/455B.274.pdf" Type="http://schemas.openxmlformats.org/officeDocument/2006/relationships/hyperlink" Id="rId7"/>
    <Relationship TargetMode="External" Target="https://www.legis.iowa.gov/docs/ico/chapter/455B.278.pdf" Type="http://schemas.openxmlformats.org/officeDocument/2006/relationships/hyperlink" Id="rId8"/>
    <Relationship TargetMode="External" Target="https://www.legis.iowa.gov/docs/iac/rule/567.53.5.pdf" Type="http://schemas.openxmlformats.org/officeDocument/2006/relationships/hyperlink" Id="rId9"/>
    <Relationship TargetMode="External" Target="https://www.legis.iowa.gov/docs/iac/rule/561.5.1.pdf" Type="http://schemas.openxmlformats.org/officeDocument/2006/relationships/hyperlink" Id="rId10"/>
    <Relationship TargetMode="External" Target="https://www.legis.iowa.gov/docs/iac/rule/567.50.7.pdf" Type="http://schemas.openxmlformats.org/officeDocument/2006/relationships/hyperlink" Id="rId11"/>
    <Relationship TargetMode="External" Target="https://www.legis.iowa.gov/docs/iac/rule/567.50.8.pdf" Type="http://schemas.openxmlformats.org/officeDocument/2006/relationships/hyperlink" Id="rId12"/>
    <Relationship TargetMode="External" Target="https://www.legis.iowa.gov/docs/ico/chapter/455B.262.pdf" Type="http://schemas.openxmlformats.org/officeDocument/2006/relationships/hyperlink" Id="rId13"/>
    <Relationship TargetMode="External" Target="https://www.legis.iowa.gov/docs/ico/chapter/455B.264.pdf" Type="http://schemas.openxmlformats.org/officeDocument/2006/relationships/hyperlink" Id="rId14"/>
    <Relationship TargetMode="External" Target="https://www.legis.iowa.gov/docs/ico/chapter/455B.274.pdf" Type="http://schemas.openxmlformats.org/officeDocument/2006/relationships/hyperlink" Id="rId15"/>
    <Relationship TargetMode="External" Target="https://www.legis.iowa.gov/docs/ico/chapter/455B.278.pdf" Type="http://schemas.openxmlformats.org/officeDocument/2006/relationships/hyperlink" Id="rId16"/>
    <Relationship TargetMode="External" Target="https://www.legis.iowa.gov/docs/iac/rule/567.53.5.pdf" Type="http://schemas.openxmlformats.org/officeDocument/2006/relationships/hyperlink" Id="rId17"/>
    <Relationship TargetMode="External" Target="https://www.legis.iowa.gov/docs/iac/rule/567.50.7.pdf" Type="http://schemas.openxmlformats.org/officeDocument/2006/relationships/hyperlink" Id="rId18"/>
    <Relationship TargetMode="External" Target="https://www.legis.iowa.gov/docs/iac/rule/567.53.5.pdf" Type="http://schemas.openxmlformats.org/officeDocument/2006/relationships/hyperlink" Id="rId19"/>
    <Relationship TargetMode="External" Target="https://www.legis.iowa.gov/docs/ico/chapter/455B.262.pdf" Type="http://schemas.openxmlformats.org/officeDocument/2006/relationships/hyperlink" Id="rId20"/>
    <Relationship TargetMode="External" Target="https://www.legis.iowa.gov/docs/ico/chapter/455B.264.pdf" Type="http://schemas.openxmlformats.org/officeDocument/2006/relationships/hyperlink" Id="rId21"/>
    <Relationship TargetMode="External" Target="https://www.legis.iowa.gov/docs/ico/chapter/455B.274.pdf" Type="http://schemas.openxmlformats.org/officeDocument/2006/relationships/hyperlink" Id="rId22"/>
    <Relationship TargetMode="External" Target="https://www.legis.iowa.gov/docs/ico/chapter/455B.278.pdf" Type="http://schemas.openxmlformats.org/officeDocument/2006/relationships/hyperlink" Id="rId23"/>
    <Relationship TargetMode="External" Target="https://www.legis.iowa.gov/docs/iac/rule/567.53.5.pdf" Type="http://schemas.openxmlformats.org/officeDocument/2006/relationships/hyperlink" Id="rId24"/>
    <Relationship TargetMode="External" Target="https://www.legis.iowa.gov/docs/iac/rule/567.50.14.pdf" Type="http://schemas.openxmlformats.org/officeDocument/2006/relationships/hyperlink" Id="rId25"/>
    <Relationship TargetMode="External" Target="https://www.legis.iowa.gov/docs/iac/rule/567.53.5.pdf" Type="http://schemas.openxmlformats.org/officeDocument/2006/relationships/hyperlink" Id="rId26"/>
    <Relationship TargetMode="External" Target="https://www.legis.iowa.gov/docs/iac/rule/567.50.14.pdf" Type="http://schemas.openxmlformats.org/officeDocument/2006/relationships/hyperlink" Id="rId27"/>
    <Relationship TargetMode="External" Target="https://www.legis.iowa.gov/docs/iac/rule/567.53.5.pdf" Type="http://schemas.openxmlformats.org/officeDocument/2006/relationships/hyperlink" Id="rId28"/>
    <Relationship TargetMode="External" Target="https://www.legis.iowa.gov/docs/iac/rule/567.50.15.pdf" Type="http://schemas.openxmlformats.org/officeDocument/2006/relationships/hyperlink" Id="rId29"/>
    <Relationship TargetMode="External" Target="https://www.legis.iowa.gov/docs/iac/rule/567.53.5.pdf" Type="http://schemas.openxmlformats.org/officeDocument/2006/relationships/hyperlink" Id="rId30"/>
    <Relationship TargetMode="External" Target="https://www.legis.iowa.gov/docs/ico/chapter/455B.pdf" Type="http://schemas.openxmlformats.org/officeDocument/2006/relationships/hyperlink" Id="rId31"/>
    <Relationship TargetMode="External" Target="https://www.legis.iowa.gov/docs/iac/rule/567.53.5.pdf" Type="http://schemas.openxmlformats.org/officeDocument/2006/relationships/hyperlink" Id="rId32"/>
    <Relationship Target="media/document_image_rId33.png" Type="http://schemas.openxmlformats.org/officeDocument/2006/relationships/image" Id="rId33"/>
    <Relationship TargetMode="External" Target="https://www.legis.iowa.gov/docs/iac/rule/567.53.5.pdf" Type="http://schemas.openxmlformats.org/officeDocument/2006/relationships/hyperlink" Id="rId34"/>
    <Relationship Target="media/document_image_rId35.png" Type="http://schemas.openxmlformats.org/officeDocument/2006/relationships/image" Id="rId35"/>
    <Relationship TargetMode="External" Target="https://www.legis.iowa.gov/docs/iac/rule/567.53.5.pdf" Type="http://schemas.openxmlformats.org/officeDocument/2006/relationships/hyperlink" Id="rId36"/>
    <Relationship Target="media/document_image_rId37.png" Type="http://schemas.openxmlformats.org/officeDocument/2006/relationships/image" Id="rId37"/>
    <Relationship TargetMode="External" Target="https://www.legis.iowa.gov/docs/iac/rule/567.53.5.pdf" Type="http://schemas.openxmlformats.org/officeDocument/2006/relationships/hyperlink" Id="rId38"/>
    <Relationship Target="media/document_image_rId39.png" Type="http://schemas.openxmlformats.org/officeDocument/2006/relationships/image" Id="rId39"/>
    <Relationship TargetMode="External" Target="https://www.legis.iowa.gov/docs/ico/chapter/455B.262.pdf" Type="http://schemas.openxmlformats.org/officeDocument/2006/relationships/hyperlink" Id="rId40"/>
    <Relationship TargetMode="External" Target="https://www.legis.iowa.gov/docs/ico/chapter/455B.264.pdf" Type="http://schemas.openxmlformats.org/officeDocument/2006/relationships/hyperlink" Id="rId41"/>
    <Relationship TargetMode="External" Target="https://www.legis.iowa.gov/docs/ico/chapter/455B.274.pdf" Type="http://schemas.openxmlformats.org/officeDocument/2006/relationships/hyperlink" Id="rId42"/>
    <Relationship TargetMode="External" Target="https://www.legis.iowa.gov/docs/ico/chapter/455B.278.pdf" Type="http://schemas.openxmlformats.org/officeDocument/2006/relationships/hyperlink" Id="rId4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