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48.png"/>
  <Override ContentType="image/png" PartName="/word/media/document_image_rId49.png"/>
  <Override ContentType="image/png" PartName="/word/media/document_image_rId50.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NONPUBLIC WATER WELLS—PERMITS AND CONSTRUCTION</w:t>
      </w:r>
    </w:p>
    <w:p>
      <w:pPr>
        <w:spacing w:before="0" w:after="0"/>
        <w:ind w:left="120"/>
        <w:jc w:val="center"/>
      </w:pPr>
      <w:r>
        <w:rPr>
          <w:rFonts w:ascii="Times New Roman" w:hAnsi="Times New Roman"/>
          <w:b w:val="false"/>
          <w:i w:val="false"/>
          <w:color w:val="000000"/>
          <w:sz w:val="14"/>
        </w:rPr>
        <w:t>[Prior to 7/1/83, Health Dept.</w:t>
      </w:r>
      <w:r>
        <w:rPr>
          <w:rFonts w:ascii="Times New Roman" w:hAnsi="Times New Roman"/>
          <w:b w:val="false"/>
          <w:i w:val="false"/>
          <w:color w:val="000000"/>
          <w:sz w:val="14"/>
        </w:rPr>
        <w:t> </w:t>
      </w:r>
    </w:p>
    <w:p>
      <w:pPr>
        <w:spacing w:before="0" w:after="0"/>
        <w:ind w:left="0"/>
        <w:jc w:val="center"/>
      </w:pPr>
      <w:r>
        <w:rPr>
          <w:rFonts w:ascii="Times New Roman" w:hAnsi="Times New Roman"/>
          <w:b w:val="false"/>
          <w:i w:val="false"/>
          <w:color w:val="000000"/>
          <w:sz w:val="14"/>
        </w:rPr>
        <w:t>Ch 45]</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567—49.1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protect the public health by protecting groundwater supplies from contamination by establishing uniform minimum standards and methods for nonpublic water supply well construction and reconstruction. This chapter provides minimum standards for installation of well pumps or equipment employed in withdrawing or obtaining water from a well for any use, except monitoring wells, including safeguards as may be necessary to protect from contamination the water in an aquifer and water being pumped from a well.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references, and abbreviations.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 xml:space="preserve">; the references and abbreviations in </w:t>
      </w:r>
      <w:hyperlink r:id="rId8">
        <w:r>
          <w:rPr>
            <w:rStyle w:val="Hyperlink"/>
            <w:rFonts w:ascii="Times New Roman" w:hAnsi="Times New Roman"/>
            <w:b w:val="false"/>
            <w:i w:val="false"/>
            <w:color w:val="000000"/>
            <w:sz w:val="22"/>
          </w:rPr>
          <w:t>567—Chapter 40</w:t>
        </w:r>
      </w:hyperlink>
      <w:r>
        <w:rPr>
          <w:rFonts w:ascii="Times New Roman" w:hAnsi="Times New Roman"/>
          <w:b w:val="false"/>
          <w:i w:val="false"/>
          <w:color w:val="000000"/>
          <w:sz w:val="22"/>
        </w:rPr>
        <w:t xml:space="preserve">; and Iowa Code sections </w:t>
      </w:r>
      <w:hyperlink r:id="rId9">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455B.190A</w:t>
        </w:r>
      </w:hyperlink>
      <w:r>
        <w:rPr>
          <w:rFonts w:ascii="Times New Roman" w:hAnsi="Times New Roman"/>
          <w:b w:val="false"/>
          <w:i w:val="false"/>
          <w:color w:val="000000"/>
          <w:sz w:val="22"/>
        </w:rPr>
        <w:t>, the following definitions and abbreviations shall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means the county board of supervisors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signed document between the department and the county board of supervisors with which the department delegates the authority to issue private well drilling permits to the county board of supervisors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“Anaerobic lagoon” </w:t>
      </w:r>
      <w:r>
        <w:rPr>
          <w:rFonts w:ascii="Times New Roman" w:hAnsi="Times New Roman"/>
          <w:b w:val="false"/>
          <w:i w:val="false"/>
          <w:color w:val="000000"/>
          <w:sz w:val="22"/>
        </w:rPr>
        <w:t>means an impoundment, the primary function of which is to store and stabilize organic wastes. The impoundment is designed to receive wastes on a regular basis, and the design waste loading rates are such that the predominant biological activity in the impoundment will be anaerobic. An anaerobic lagoon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runoff control basin that collects and stores only precipitation-induced runoff from an open feedlot feeding operation;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waste slurry storage basin that receives waste discharges from confinement feeding operations and that is designed for complete removal of accumulated wastes from the basin at least semiannually; or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anaerobic treatment system that includes collection and treatment facilities for all off-gases.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“Annular space” </w:t>
      </w:r>
      <w:r>
        <w:rPr>
          <w:rFonts w:ascii="Times New Roman" w:hAnsi="Times New Roman"/>
          <w:b w:val="false"/>
          <w:i w:val="false"/>
          <w:color w:val="000000"/>
          <w:sz w:val="22"/>
        </w:rPr>
        <w:t>means the open space between the well hole excavation and the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“Cesspool” </w:t>
      </w:r>
      <w:r>
        <w:rPr>
          <w:rFonts w:ascii="Times New Roman" w:hAnsi="Times New Roman"/>
          <w:b w:val="false"/>
          <w:i w:val="false"/>
          <w:color w:val="000000"/>
          <w:sz w:val="22"/>
        </w:rPr>
        <w:t>means a covered excavation, lined or unlined, into which wastes from toilets or urinals are discharged for disposal. Cesspools are not an approved method of sewage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for well interference” </w:t>
      </w:r>
      <w:r>
        <w:rPr>
          <w:rFonts w:ascii="Times New Roman" w:hAnsi="Times New Roman"/>
          <w:b w:val="false"/>
          <w:i w:val="false"/>
          <w:color w:val="000000"/>
          <w:sz w:val="22"/>
        </w:rPr>
        <w:t>means payment to the owner of a nonregulated well for damages caused by a lowered water level in the well due to withdrawal of water for a permitted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building” </w:t>
      </w:r>
      <w:r>
        <w:rPr>
          <w:rFonts w:ascii="Times New Roman" w:hAnsi="Times New Roman"/>
          <w:b w:val="false"/>
          <w:i w:val="false"/>
          <w:color w:val="000000"/>
          <w:sz w:val="22"/>
        </w:rPr>
        <w:t>means a building used in conjunction with a confinement feeding operation to house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“Conforming well” </w:t>
      </w:r>
      <w:r>
        <w:rPr>
          <w:rFonts w:ascii="Times New Roman" w:hAnsi="Times New Roman"/>
          <w:b w:val="false"/>
          <w:i w:val="false"/>
          <w:color w:val="000000"/>
          <w:sz w:val="22"/>
        </w:rPr>
        <w:t xml:space="preserve">means a well that complies with the standards of this chapter, including wells properly plugged according to </w:t>
      </w:r>
      <w:hyperlink r:id="rId13">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“Contiguous” </w:t>
      </w:r>
      <w:r>
        <w:rPr>
          <w:rFonts w:ascii="Times New Roman" w:hAnsi="Times New Roman"/>
          <w:b w:val="false"/>
          <w:i w:val="false"/>
          <w:color w:val="000000"/>
          <w:sz w:val="22"/>
        </w:rPr>
        <w:t>means any number of parcels of land that physically touch one another, including tracts of land separated by roads, railroads or streams, except that for the purpose of reporting on other existing wells on the property, the radius of a contiguous piece of land shall be limited to one mile from the site of the newly constructed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is defined in Iowa Code section </w:t>
      </w:r>
      <w:hyperlink r:id="rId14">
        <w:r>
          <w:rPr>
            <w:rStyle w:val="Hyperlink"/>
            <w:rFonts w:ascii="Times New Roman" w:hAnsi="Times New Roman"/>
            <w:b w:val="false"/>
            <w:i w:val="false"/>
            <w:color w:val="000000"/>
            <w:sz w:val="22"/>
          </w:rPr>
          <w:t>455B.171(3)</w:t>
        </w:r>
      </w:hyperlink>
      <w:r>
        <w:rPr>
          <w:rFonts w:ascii="Times New Roman" w:hAnsi="Times New Roman"/>
          <w:b w:val="false"/>
          <w:i w:val="false"/>
          <w:color w:val="000000"/>
          <w:sz w:val="22"/>
        </w:rPr>
        <w:t>. For the purposes of this chapter, the term also includes a corporation, partnership, sole proprietorship, association or any other business entity, and any employee or officer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“Established grade” </w:t>
      </w:r>
      <w:r>
        <w:rPr>
          <w:rFonts w:ascii="Times New Roman" w:hAnsi="Times New Roman"/>
          <w:b w:val="false"/>
          <w:i w:val="false"/>
          <w:color w:val="000000"/>
          <w:sz w:val="22"/>
        </w:rPr>
        <w:t>means the permanent point of contact of the ground to artificial surface with the casing or curbing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“GHEX” </w:t>
      </w:r>
      <w:r>
        <w:rPr>
          <w:rFonts w:ascii="Times New Roman" w:hAnsi="Times New Roman"/>
          <w:b w:val="false"/>
          <w:i w:val="false"/>
          <w:color w:val="000000"/>
          <w:sz w:val="22"/>
        </w:rPr>
        <w:t>means ground heat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“GHEX loop borehole construction” </w:t>
      </w:r>
      <w:r>
        <w:rPr>
          <w:rFonts w:ascii="Times New Roman" w:hAnsi="Times New Roman"/>
          <w:b w:val="false"/>
          <w:i w:val="false"/>
          <w:color w:val="000000"/>
          <w:sz w:val="22"/>
        </w:rPr>
        <w:t>means the borehole excavation, emplacement of the closed loop, grouting of the loop, and installation of the heat exchange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“GHEX loop boreholes” </w:t>
      </w:r>
      <w:r>
        <w:rPr>
          <w:rFonts w:ascii="Times New Roman" w:hAnsi="Times New Roman"/>
          <w:b w:val="false"/>
          <w:i w:val="false"/>
          <w:color w:val="000000"/>
          <w:sz w:val="22"/>
        </w:rPr>
        <w:t>means ground heat exchange borehole(s); ground-coupled, closed-loop, heat exchange borehole(s); or any excavation 20 feet or greater in depth that is augered, bored, cored, drilled, driven, dug, jetted, washed, or is otherwise constructed into which a closed loop used for ground heat exchange is installed. A GHEX loop borehole is not a water supply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“GHEX loop system services” </w:t>
      </w:r>
      <w:r>
        <w:rPr>
          <w:rFonts w:ascii="Times New Roman" w:hAnsi="Times New Roman"/>
          <w:b w:val="false"/>
          <w:i w:val="false"/>
          <w:color w:val="000000"/>
          <w:sz w:val="22"/>
        </w:rPr>
        <w:t>means any construction, installation, rehabilitation, repair, or plugging of the various components of ground heat exchange systems, including the borehole, piping, grout, and heat-exchange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“Health-related problem” </w:t>
      </w:r>
      <w:r>
        <w:rPr>
          <w:rFonts w:ascii="Times New Roman" w:hAnsi="Times New Roman"/>
          <w:b w:val="false"/>
          <w:i w:val="false"/>
          <w:color w:val="000000"/>
          <w:sz w:val="22"/>
        </w:rPr>
        <w:t>means well water that contains any contaminant at a level that exceeds MCLs (maximum contaminant levels) or HALs (health advisory levels) as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“Heavy drilling fluid” </w:t>
      </w:r>
      <w:r>
        <w:rPr>
          <w:rFonts w:ascii="Times New Roman" w:hAnsi="Times New Roman"/>
          <w:b w:val="false"/>
          <w:i w:val="false"/>
          <w:color w:val="000000"/>
          <w:sz w:val="22"/>
        </w:rPr>
        <w:t>means water used for drilling that, because of the natural clay content of the borehole or by addition of bentonite grout, has a solids density of at least 10 percent by weight or a mud weight of at least 9.25 lbs/gal.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well” </w:t>
      </w:r>
      <w:r>
        <w:rPr>
          <w:rFonts w:ascii="Times New Roman" w:hAnsi="Times New Roman"/>
          <w:b w:val="false"/>
          <w:i w:val="false"/>
          <w:color w:val="000000"/>
          <w:sz w:val="22"/>
        </w:rPr>
        <w:t>means a well that is not currently in use and is capped or sealed to prevent the entrance of contaminants into the well but is in such a condition that it can be activated to produce a safe supply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“Landowner” </w:t>
      </w:r>
      <w:r>
        <w:rPr>
          <w:rFonts w:ascii="Times New Roman" w:hAnsi="Times New Roman"/>
          <w:b w:val="false"/>
          <w:i w:val="false"/>
          <w:color w:val="000000"/>
          <w:sz w:val="22"/>
        </w:rPr>
        <w:t>means an individual, trust, partnership, corporation, government or governmental subdivision or agency, association, or other legal entity that has legal or equitable title to a piece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“Landowner’s agent” </w:t>
      </w:r>
      <w:r>
        <w:rPr>
          <w:rFonts w:ascii="Times New Roman" w:hAnsi="Times New Roman"/>
          <w:b w:val="false"/>
          <w:i w:val="false"/>
          <w:color w:val="000000"/>
          <w:sz w:val="22"/>
        </w:rPr>
        <w:t>means a person who acts for or in place of the landowner by authority from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permeability material” </w:t>
      </w:r>
      <w:r>
        <w:rPr>
          <w:rFonts w:ascii="Times New Roman" w:hAnsi="Times New Roman"/>
          <w:b w:val="false"/>
          <w:i w:val="false"/>
          <w:color w:val="000000"/>
          <w:sz w:val="22"/>
        </w:rPr>
        <w:t>means a geological unit of unconsolidated material (usually clay or till) or bedrock (usually shale) that is all or partially saturated and having permeability low enough (10-7 cm/sec) to give water in the aquifer artesian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“Nonpublic water supply well” </w:t>
      </w:r>
      <w:r>
        <w:rPr>
          <w:rFonts w:ascii="Times New Roman" w:hAnsi="Times New Roman"/>
          <w:b w:val="false"/>
          <w:i w:val="false"/>
          <w:color w:val="000000"/>
          <w:sz w:val="22"/>
        </w:rPr>
        <w:t>means a well that does not supply a public water supply system (PWS).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“Nonregulated well” </w:t>
      </w:r>
      <w:r>
        <w:rPr>
          <w:rFonts w:ascii="Times New Roman" w:hAnsi="Times New Roman"/>
          <w:b w:val="false"/>
          <w:i w:val="false"/>
          <w:color w:val="000000"/>
          <w:sz w:val="22"/>
        </w:rPr>
        <w:t>means a well used to supply water for a nonregulated use (a use of water less than 25,000 gallons per day that is not required to have a water use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feedlot” </w:t>
      </w:r>
      <w:r>
        <w:rPr>
          <w:rFonts w:ascii="Times New Roman" w:hAnsi="Times New Roman"/>
          <w:b w:val="false"/>
          <w:i w:val="false"/>
          <w:color w:val="000000"/>
          <w:sz w:val="22"/>
        </w:rPr>
        <w:t>means an unroofed or partially roofed animal feeding operation in which no crop, vegetation, forage growth, or residue cover is maintained during the period that animals are confined in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“Permitted use” </w:t>
      </w:r>
      <w:r>
        <w:rPr>
          <w:rFonts w:ascii="Times New Roman" w:hAnsi="Times New Roman"/>
          <w:b w:val="false"/>
          <w:i w:val="false"/>
          <w:color w:val="000000"/>
          <w:sz w:val="22"/>
        </w:rPr>
        <w:t xml:space="preserve">means a use of water in excess of 25,000 gallons per day that requires a water use permit pursuant to </w:t>
      </w:r>
      <w:hyperlink r:id="rId15">
        <w:r>
          <w:rPr>
            <w:rStyle w:val="Hyperlink"/>
            <w:rFonts w:ascii="Times New Roman" w:hAnsi="Times New Roman"/>
            <w:b w:val="false"/>
            <w:i w:val="false"/>
            <w:color w:val="000000"/>
            <w:sz w:val="22"/>
          </w:rPr>
          <w:t>567—Chapter 50</w:t>
        </w:r>
      </w:hyperlink>
      <w:r>
        <w:rPr>
          <w:rFonts w:ascii="Times New Roman" w:hAnsi="Times New Roman"/>
          <w:b w:val="false"/>
          <w:i w:val="false"/>
          <w:color w:val="000000"/>
          <w:sz w:val="22"/>
        </w:rPr>
        <w:t xml:space="preserve"> and Iowa Code chapter </w:t>
      </w:r>
      <w:hyperlink r:id="rId1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III, part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“Pitless adapter” </w:t>
      </w:r>
      <w:r>
        <w:rPr>
          <w:rFonts w:ascii="Times New Roman" w:hAnsi="Times New Roman"/>
          <w:b w:val="false"/>
          <w:i w:val="false"/>
          <w:color w:val="000000"/>
          <w:sz w:val="22"/>
        </w:rPr>
        <w:t>means a device designed for attachment to one or more openings through a well casing. It shall be constructed so as to prevent the entrance of contaminants into the well through such openings, conduct water from the well, protect the water from freezing or extremes of temperature, and provide access to water system parts within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“Pitless unit” </w:t>
      </w:r>
      <w:r>
        <w:rPr>
          <w:rFonts w:ascii="Times New Roman" w:hAnsi="Times New Roman"/>
          <w:b w:val="false"/>
          <w:i w:val="false"/>
          <w:color w:val="000000"/>
          <w:sz w:val="22"/>
        </w:rPr>
        <w:t>means an assembly that extends the upper end of the well casing to above grade. It shall be constructed so as to prevent the entrance of contaminants into the well, conduct water from the well, and protect the water from freezing or extremes of temperature, and provide full access to the well and to water system parts within the well. It shall provide a pitless well cap for the top terminal of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well” </w:t>
      </w:r>
      <w:r>
        <w:rPr>
          <w:rFonts w:ascii="Times New Roman" w:hAnsi="Times New Roman"/>
          <w:b w:val="false"/>
          <w:i w:val="false"/>
          <w:color w:val="000000"/>
          <w:sz w:val="22"/>
        </w:rPr>
        <w:t>means a well that does not supply a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“Pumps and pumping equipment” </w:t>
      </w:r>
      <w:r>
        <w:rPr>
          <w:rFonts w:ascii="Times New Roman" w:hAnsi="Times New Roman"/>
          <w:b w:val="false"/>
          <w:i w:val="false"/>
          <w:color w:val="000000"/>
          <w:sz w:val="22"/>
        </w:rPr>
        <w:t>means any equipment or materials, including seals, tanks, fittings and controls utilized or intended for use in withdrawing or obtaining water for any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“Runoff control basin” </w:t>
      </w:r>
      <w:r>
        <w:rPr>
          <w:rFonts w:ascii="Times New Roman" w:hAnsi="Times New Roman"/>
          <w:b w:val="false"/>
          <w:i w:val="false"/>
          <w:color w:val="000000"/>
          <w:sz w:val="22"/>
        </w:rPr>
        <w:t>means an impoundment designed and operated to collect and store runoff from an open feedlot.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“Stuffing box” </w:t>
      </w:r>
      <w:r>
        <w:rPr>
          <w:rFonts w:ascii="Times New Roman" w:hAnsi="Times New Roman"/>
          <w:b w:val="false"/>
          <w:i w:val="false"/>
          <w:color w:val="000000"/>
          <w:sz w:val="22"/>
        </w:rPr>
        <w:t>means an approved receptacle in which packing may be compressed to form a watertight or airtight junction between two objects.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“Upper terminus” </w:t>
      </w:r>
      <w:r>
        <w:rPr>
          <w:rFonts w:ascii="Times New Roman" w:hAnsi="Times New Roman"/>
          <w:b w:val="false"/>
          <w:i w:val="false"/>
          <w:color w:val="000000"/>
          <w:sz w:val="22"/>
        </w:rPr>
        <w:t>means the upper ten feet of the well casing as measured from the finished surface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w:t>
      </w:r>
      <w:r>
        <w:rPr>
          <w:rFonts w:ascii="Times New Roman" w:hAnsi="Times New Roman"/>
          <w:b w:val="false"/>
          <w:i w:val="false"/>
          <w:color w:val="000000"/>
          <w:sz w:val="22"/>
        </w:rPr>
        <w:t xml:space="preserve">is synonymous with “water well” as defined in Iowa Code section </w:t>
      </w:r>
      <w:hyperlink r:id="rId17">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The term does not include heat pump or geothermal heat exchange systems less than 20 feet deep or temporary dewatering wells in place for seven days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construction” </w:t>
      </w:r>
      <w:r>
        <w:rPr>
          <w:rFonts w:ascii="Times New Roman" w:hAnsi="Times New Roman"/>
          <w:b w:val="false"/>
          <w:i w:val="false"/>
          <w:color w:val="000000"/>
          <w:sz w:val="22"/>
        </w:rPr>
        <w:t>means constructing a well and installing necessary casing, screen, liners, grout, seals, and other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liner” </w:t>
      </w:r>
      <w:r>
        <w:rPr>
          <w:rFonts w:ascii="Times New Roman" w:hAnsi="Times New Roman"/>
          <w:b w:val="false"/>
          <w:i w:val="false"/>
          <w:color w:val="000000"/>
          <w:sz w:val="22"/>
        </w:rPr>
        <w:t>means a pipe used to line the inside of a well hole but not designed to hold hydraulic or structural loading. Liners shall be installed within a casing or in an ungrouted open borehole.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plugging” </w:t>
      </w:r>
      <w:r>
        <w:rPr>
          <w:rFonts w:ascii="Times New Roman" w:hAnsi="Times New Roman"/>
          <w:b w:val="false"/>
          <w:i w:val="false"/>
          <w:color w:val="000000"/>
          <w:sz w:val="22"/>
        </w:rPr>
        <w:t>means the closure of an abandoned well with plugging materials by procedures that will permanently seal the well from contamination by surface drainage and permanently seal off the well from contamination into an aquifer. “Well plugging” includes the proper application of filling and sealing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reconstruction” </w:t>
      </w:r>
      <w:r>
        <w:rPr>
          <w:rFonts w:ascii="Times New Roman" w:hAnsi="Times New Roman"/>
          <w:b w:val="false"/>
          <w:i w:val="false"/>
          <w:color w:val="000000"/>
          <w:sz w:val="22"/>
        </w:rPr>
        <w:t>means modification of the original construction of a well. “Well reconstruction” includes but is not limited to deepening the well, installing a liner, installing or replacing a screen with one of a different diameter or length, installing a pitless adapter, extending the casing, or hydrofracturing a well. Replacing a screen with one of identical diameter and length or replacing a pitless adapter is considered repair, not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rehabilitation” </w:t>
      </w:r>
      <w:r>
        <w:rPr>
          <w:rFonts w:ascii="Times New Roman" w:hAnsi="Times New Roman"/>
          <w:b w:val="false"/>
          <w:i w:val="false"/>
          <w:color w:val="000000"/>
          <w:sz w:val="22"/>
        </w:rPr>
        <w:t>means the physical or chemical cleaning of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“Well seal” </w:t>
      </w:r>
      <w:r>
        <w:rPr>
          <w:rFonts w:ascii="Times New Roman" w:hAnsi="Times New Roman"/>
          <w:b w:val="false"/>
          <w:i w:val="false"/>
          <w:color w:val="000000"/>
          <w:sz w:val="22"/>
        </w:rPr>
        <w:t>means a device used to cover or seal a well that establishes or maintains a junction between the well casing and the piping, electric conduit, or equipment installed, so as to prevent water or other foreign material from entering the well at the uppermost terminal.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“Well cap” means a snug-fitting, watertight device used above flood level that excludes dust and vermin and allows for screened venting.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“Sanitary seal” means a watertight fitting that uses mechanical compression that is installed on wells that terminate in a wellhouse.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p>
    <w:tbl>
      <w:tblPr>
        <w:tblW w:w="5000" w:type="pct"/>
        <w:tblCellSpacing w:w="0" w:type="auto"/>
        <w:tblBorders>
          <w:top w:val="none"/>
          <w:left w:val="none"/>
          <w:bottom w:val="none"/>
          <w:right w:val="none"/>
          <w:insideH w:val="none"/>
          <w:insideV w:val="none"/>
        </w:tblBorders>
        <w:tblLayout w:type="fixed"/>
      </w:tblPr>
      <w:tblGrid>
        <w:gridCol w:w="3579"/>
        <w:gridCol w:w="7611"/>
      </w:tblGrid>
      <w:tr>
        <w:trPr>
          <w:trHeight w:val="270"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Abbreviation</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Meaning</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ABS</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acrylonitrile-butadiene-styrene</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DR</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dimension ratio</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FDA</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U.S. Food and Drug Administration</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HDPE</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high-density polyethylene</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HTH</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high test hypochlorite</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psi</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pounds per square inch</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PVC</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polyvinyl chloride</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SCH</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schedule, as in a SCH 40 rating</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SD</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separation distance (a.k.a. setback distance)</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SDR</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standard dimension ratio</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USP</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United States Pharmacopeia</w:t>
            </w:r>
          </w:p>
        </w:tc>
      </w:tr>
      <w:tr>
        <w:trPr>
          <w:trHeight w:val="255" w:hRule="atLeast"/>
        </w:trPr>
        <w:tc>
          <w:tcPr>
            <w:tcW w:w="357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VFD</w:t>
            </w:r>
          </w:p>
        </w:tc>
        <w:tc>
          <w:tcPr>
            <w:tcW w:w="76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variable frequency drive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567—49.3</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provisions contained herein apply to the construction and reconstruction of all nonpublic water supply wells 20 feet or greater in depth.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w:t>
      </w:r>
      <w:r>
        <w:rPr>
          <w:rFonts w:ascii="Times New Roman" w:hAnsi="Times New Roman"/>
          <w:b w:val="false"/>
          <w:i w:val="false"/>
          <w:color w:val="000000"/>
          <w:sz w:val="22"/>
        </w:rPr>
        <w:t> </w:t>
      </w:r>
      <w:r>
        <w:rPr>
          <w:rFonts w:ascii="Times New Roman" w:hAnsi="Times New Roman"/>
          <w:b w:val="false"/>
          <w:i/>
          <w:color w:val="000000"/>
          <w:sz w:val="22"/>
        </w:rPr>
        <w:t xml:space="preserve">Nonconforming well construction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well drillers and pump installers shall ensure that the reconstruction of nonconforming wells adheres to all applicable provisions of this chapter or to comparable construction or installation requirements approved by the administrative authority, except for separation distances (SDs).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any construction or reconstruction is done on a nonconforming feature of a well, that feature shall be upgraded and brought into compliance with the material and installation standards in this chapter, except for SDs.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49.3(2)</w:t>
      </w:r>
      <w:r>
        <w:rPr>
          <w:rFonts w:ascii="Times New Roman" w:hAnsi="Times New Roman"/>
          <w:b w:val="false"/>
          <w:i w:val="false"/>
          <w:color w:val="000000"/>
          <w:sz w:val="22"/>
        </w:rPr>
        <w:t> </w:t>
      </w:r>
      <w:r>
        <w:rPr>
          <w:rFonts w:ascii="Times New Roman" w:hAnsi="Times New Roman"/>
          <w:b w:val="false"/>
          <w:i/>
          <w:color w:val="000000"/>
          <w:sz w:val="22"/>
        </w:rPr>
        <w:t xml:space="preserve">Nonconforming water system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pump installers shall ensure that the reconstruction or repair of nonconforming water systems adheres to all applicable provisions of this chapter or to comparable construction or installation requirements approved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pump services are performed on a well that has a contamination problem, the well shall be upgraded and brought into compliance with the installation standards in this chapter, except for SDs.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pump services are performed on a well that does not have a contamination problem, the well may be put back into service with nonconforming features. However, the certified installer shall notify the well owner in writing of the defects and include recommendations to correct these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49.3(3)</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8">
        <w:r>
          <w:rPr>
            <w:rStyle w:val="Hyperlink"/>
            <w:rFonts w:ascii="Times New Roman" w:hAnsi="Times New Roman"/>
            <w:b w:val="false"/>
            <w:i w:val="false"/>
            <w:color w:val="000000"/>
            <w:sz w:val="22"/>
          </w:rPr>
          <w:t>455B.187(2)</w:t>
        </w:r>
      </w:hyperlink>
      <w:r>
        <w:rPr>
          <w:rFonts w:ascii="Times New Roman" w:hAnsi="Times New Roman"/>
          <w:b w:val="false"/>
          <w:i w:val="false"/>
          <w:color w:val="000000"/>
          <w:sz w:val="22"/>
        </w:rPr>
        <w:t>, a landowner or landowner’s agent shall not construct a new private well without first obtaining a well construction permit from the department or a county authorized to issue permits pursuant to this chapter. Examples of private wells requiring well construction permits include but are not limited to domestic wells, livestock wells, irrigation wells, recreational-use wells, monitoring wells, heat pump wells, horizontal and lateral geothermal wells, industrial wells, and dewatering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private well construction permit is required for all replacement wells and for modification of the physical dimensions of a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49.3(4)</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permitting and construction rules in this chapter shall not apply to public water supply wells; elevator shafts; underground storage tank monitoring wells covered under </w:t>
      </w:r>
      <w:hyperlink r:id="rId19">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monitoring wells for solid waste disposal facilities covered in </w:t>
      </w:r>
      <w:hyperlink r:id="rId20">
        <w:r>
          <w:rPr>
            <w:rStyle w:val="Hyperlink"/>
            <w:rFonts w:ascii="Times New Roman" w:hAnsi="Times New Roman"/>
            <w:b w:val="false"/>
            <w:i w:val="false"/>
            <w:color w:val="000000"/>
            <w:sz w:val="22"/>
          </w:rPr>
          <w:t>567—Chapter 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dewatering wells are exempt from the construction standards of this chapter, except that a construction permit is required if a dewatering well will be in place for more than seven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Private well construction permits are not required for temporary test holes or wells that are in place for seven consecutive days or less; soil borings; mineral, rock, gas, and other non-groundwater wells or exploration boreholes; and all monitoring wells required as part of a permit or a construction approval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567—49.4</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49.4(1)</w:t>
      </w:r>
      <w:r>
        <w:rPr>
          <w:rFonts w:ascii="Times New Roman" w:hAnsi="Times New Roman"/>
          <w:b w:val="false"/>
          <w:i w:val="false"/>
          <w:color w:val="000000"/>
          <w:sz w:val="22"/>
        </w:rPr>
        <w:t> </w:t>
      </w:r>
      <w:r>
        <w:rPr>
          <w:rFonts w:ascii="Times New Roman" w:hAnsi="Times New Roman"/>
          <w:b w:val="false"/>
          <w:i w:val="false"/>
          <w:color w:val="000000"/>
          <w:sz w:val="22"/>
        </w:rPr>
        <w:t>Duties of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the authority to visit well sites during any phase of the work without prior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the issuance of permits and the submission of well logs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administrative authority may also require posting of performance bonds and the collection and submission of other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49.4(2)</w:t>
      </w:r>
      <w:r>
        <w:rPr>
          <w:rFonts w:ascii="Times New Roman" w:hAnsi="Times New Roman"/>
          <w:b w:val="false"/>
          <w:i w:val="false"/>
          <w:color w:val="000000"/>
          <w:sz w:val="22"/>
        </w:rPr>
        <w:t> </w:t>
      </w:r>
      <w:r>
        <w:rPr>
          <w:rFonts w:ascii="Times New Roman" w:hAnsi="Times New Roman"/>
          <w:b w:val="false"/>
          <w:i w:val="false"/>
          <w:color w:val="000000"/>
          <w:sz w:val="22"/>
        </w:rPr>
        <w:t xml:space="preserve">No well construction or reconstruction shall be initiated until a permit has been issued by the proper authority. Construction permit issuance covered by this chapter shall be coordinated with water withdrawal permits issued by the department, pursuant to </w:t>
      </w:r>
      <w:hyperlink r:id="rId21">
        <w:r>
          <w:rPr>
            <w:rStyle w:val="Hyperlink"/>
            <w:rFonts w:ascii="Times New Roman" w:hAnsi="Times New Roman"/>
            <w:b w:val="false"/>
            <w:i w:val="false"/>
            <w:color w:val="000000"/>
            <w:sz w:val="22"/>
          </w:rPr>
          <w:t>567—Chapter 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well services shall be performed by a certified well contractor or the property owner as specified in </w:t>
      </w:r>
      <w:hyperlink r:id="rId22">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49.4(4)</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certified well contractor to ensure that a well construction permit has been issued prior to initiation of well construction or reconstruction and to ensure that all well services are performed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49.4(5)</w:t>
      </w:r>
      <w:r>
        <w:rPr>
          <w:rFonts w:ascii="Times New Roman" w:hAnsi="Times New Roman"/>
          <w:b w:val="false"/>
          <w:i w:val="false"/>
          <w:color w:val="000000"/>
          <w:sz w:val="22"/>
        </w:rPr>
        <w:t> </w:t>
      </w:r>
      <w:r>
        <w:rPr>
          <w:rFonts w:ascii="Times New Roman" w:hAnsi="Times New Roman"/>
          <w:b w:val="false"/>
          <w:i w:val="false"/>
          <w:color w:val="000000"/>
          <w:sz w:val="22"/>
        </w:rPr>
        <w:t>Waivers. Waivers to these rules may be granted by the administrative authority if sufficient information is provided to substantiate equal protection and the need for such action. Waiver requests and reasoning shall be in writing. Waiver approvals or rejections shall also be in writing. Where permitting authority has not been delegated to the county, the department will review and grant or deny any waiver requests within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49.4(6)</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Violations of any of the provisions of this chapter may be addressed by the department pursuant to Iowa Code sections </w:t>
      </w:r>
      <w:hyperlink r:id="rId23">
        <w:r>
          <w:rPr>
            <w:rStyle w:val="Hyperlink"/>
            <w:rFonts w:ascii="Times New Roman" w:hAnsi="Times New Roman"/>
            <w:b w:val="false"/>
            <w:i w:val="false"/>
            <w:color w:val="000000"/>
            <w:sz w:val="22"/>
          </w:rPr>
          <w:t>455B.109</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455B.110</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455B.175</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455B.191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567—49.5</w:t>
      </w:r>
      <w:r>
        <w:rPr>
          <w:rFonts w:ascii="Times New Roman" w:hAnsi="Times New Roman"/>
          <w:b/>
          <w:i w:val="false"/>
          <w:color w:val="000000"/>
          <w:sz w:val="22"/>
        </w:rPr>
        <w:t xml:space="preserve">(455B) </w:t>
      </w:r>
      <w:r>
        <w:rPr>
          <w:rFonts w:ascii="Times New Roman" w:hAnsi="Times New Roman"/>
          <w:b/>
          <w:i w:val="false"/>
          <w:color w:val="000000"/>
          <w:sz w:val="22"/>
        </w:rPr>
        <w:t xml:space="preserve">Private well construction permit applications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a private well construction permit shall be made on forms provided by the department. However, counties that have active delegation of authority to issue new private well construction permits pursuant to rule </w:t>
      </w:r>
      <w:hyperlink r:id="rId27">
        <w:r>
          <w:rPr>
            <w:rStyle w:val="Hyperlink"/>
            <w:rFonts w:ascii="Times New Roman" w:hAnsi="Times New Roman"/>
            <w:b w:val="false"/>
            <w:i w:val="false"/>
            <w:color w:val="000000"/>
            <w:sz w:val="22"/>
          </w:rPr>
          <w:t>567—49.7</w:t>
        </w:r>
      </w:hyperlink>
      <w:r>
        <w:rPr>
          <w:rFonts w:ascii="Times New Roman" w:hAnsi="Times New Roman"/>
          <w:b w:val="false"/>
          <w:i w:val="false"/>
          <w:color w:val="000000"/>
          <w:sz w:val="22"/>
        </w:rPr>
        <w:t>(455B) may develop and use their own application forms, subject to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list all wells, including non-plugged abandoned wells, on the applicant’s property contiguous to the well site described in the application and describe the location of each well site. The location(s) shall be given as a legal land description (section, township and range) to the nearest quarter of a quarter of a quarter of a section, or as a latitude and longitude in degrees to four-decimal accuracy.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proper application shall consist of a fully completed form and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application for a private well construction permit shall be accompanied by a nonrefundable fee of $125 payable to the department of natural resources unless a county is authorized to issue private well construction permits pursuant to rule </w:t>
      </w:r>
      <w:hyperlink r:id="rId28">
        <w:r>
          <w:rPr>
            <w:rStyle w:val="Hyperlink"/>
            <w:rFonts w:ascii="Times New Roman" w:hAnsi="Times New Roman"/>
            <w:b w:val="false"/>
            <w:i w:val="false"/>
            <w:color w:val="000000"/>
            <w:sz w:val="22"/>
          </w:rPr>
          <w:t>567—49.7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where the permitting authority is delegated to a county, it may set a different fee and designate the terms for fee payment and shall submit to the department a permit fee of $25 per application. This $25 fee shall be submitted quarterly by the counties in a manner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More than one proposed well for the same use on one contiguous piece of property of less than ten acres may be listed on one application and only one fee need be paid irrespective of the number of wells listed on the application form. Additional wells on the same property at a later time shall require another permit. Separate permits are required for individual wells and geothermal systems that are not interconnected and supply or will supply separate domestic or commercial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is exempt from the fee payment requirements to the counties. The department shall remit fees directly to the department’s private well permit program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567—49.6</w:t>
      </w:r>
      <w:r>
        <w:rPr>
          <w:rFonts w:ascii="Times New Roman" w:hAnsi="Times New Roman"/>
          <w:b/>
          <w:i w:val="false"/>
          <w:color w:val="000000"/>
          <w:sz w:val="22"/>
        </w:rPr>
        <w:t xml:space="preserve">(455B) </w:t>
      </w:r>
      <w:r>
        <w:rPr>
          <w:rFonts w:ascii="Times New Roman" w:hAnsi="Times New Roman"/>
          <w:b/>
          <w:i w:val="false"/>
          <w:color w:val="000000"/>
          <w:sz w:val="22"/>
        </w:rPr>
        <w:t xml:space="preserve">Private well construction permit issuance, conditions, expiration, and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 xml:space="preserve">Upon receipt of a complete application, the department or contracting county shall issue a private well construction permit to the landowner or landowner’s agent, except as provided in </w:t>
      </w:r>
      <w:r>
        <w:rPr>
          <w:rFonts w:ascii="Times New Roman" w:hAnsi="Times New Roman"/>
          <w:b w:val="false"/>
          <w:i w:val="false"/>
          <w:color w:val="000000"/>
          <w:sz w:val="22"/>
        </w:rPr>
        <w:t>49.6(6)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49.6(2)</w:t>
      </w:r>
      <w:r>
        <w:rPr>
          <w:rFonts w:ascii="Times New Roman" w:hAnsi="Times New Roman"/>
          <w:b w:val="false"/>
          <w:i w:val="false"/>
          <w:color w:val="000000"/>
          <w:sz w:val="22"/>
        </w:rPr>
        <w:t> </w:t>
      </w:r>
      <w:r>
        <w:rPr>
          <w:rFonts w:ascii="Times New Roman" w:hAnsi="Times New Roman"/>
          <w:b w:val="false"/>
          <w:i/>
          <w:color w:val="000000"/>
          <w:sz w:val="22"/>
        </w:rPr>
        <w:t xml:space="preserve">Not a water withdrawal permit. </w:t>
      </w:r>
      <w:r>
        <w:rPr>
          <w:rFonts w:ascii="Times New Roman" w:hAnsi="Times New Roman"/>
          <w:b w:val="false"/>
          <w:i w:val="false"/>
          <w:color w:val="000000"/>
          <w:sz w:val="22"/>
        </w:rPr>
        <w:t xml:space="preserve">Each permit shall include notification that a private well construction permit is not a water withdrawal permit and does not eliminate the necessity of obtaining any water withdrawal permits required in 567—Chapters </w:t>
      </w:r>
      <w:hyperlink r:id="rId29">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53</w:t>
        </w:r>
      </w:hyperlink>
      <w:r>
        <w:rPr>
          <w:rFonts w:ascii="Times New Roman" w:hAnsi="Times New Roman"/>
          <w:b w:val="false"/>
          <w:i w:val="false"/>
          <w:color w:val="000000"/>
          <w:sz w:val="22"/>
        </w:rPr>
        <w:t xml:space="preserve"> through </w:t>
      </w:r>
      <w:hyperlink r:id="rId31">
        <w:r>
          <w:rPr>
            <w:rStyle w:val="Hyperlink"/>
            <w:rFonts w:ascii="Times New Roman" w:hAnsi="Times New Roman"/>
            <w:b w:val="false"/>
            <w:i w:val="false"/>
            <w:color w:val="000000"/>
            <w:sz w:val="22"/>
          </w:rPr>
          <w:t>55</w:t>
        </w:r>
      </w:hyperlink>
      <w:r>
        <w:rPr>
          <w:rFonts w:ascii="Times New Roman" w:hAnsi="Times New Roman"/>
          <w:b w:val="false"/>
          <w:i w:val="false"/>
          <w:color w:val="000000"/>
          <w:sz w:val="22"/>
        </w:rPr>
        <w:t xml:space="preserve"> for water withdrawal in excess of 25,000 gallons of water per day from any source or combination of sources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w:t>
      </w:r>
      <w:r>
        <w:rPr>
          <w:rFonts w:ascii="Times New Roman" w:hAnsi="Times New Roman"/>
          <w:b w:val="false"/>
          <w:i w:val="false"/>
          <w:color w:val="000000"/>
          <w:sz w:val="22"/>
        </w:rPr>
        <w:t> </w:t>
      </w:r>
      <w:r>
        <w:rPr>
          <w:rFonts w:ascii="Times New Roman" w:hAnsi="Times New Roman"/>
          <w:b w:val="false"/>
          <w:i/>
          <w:color w:val="000000"/>
          <w:sz w:val="22"/>
        </w:rPr>
        <w:t xml:space="preserve">Construction by certified well contractor. </w:t>
      </w:r>
      <w:r>
        <w:rPr>
          <w:rFonts w:ascii="Times New Roman" w:hAnsi="Times New Roman"/>
          <w:b w:val="false"/>
          <w:i w:val="false"/>
          <w:color w:val="000000"/>
          <w:sz w:val="22"/>
        </w:rPr>
        <w:t xml:space="preserve">Each well construction permit shall require that each well be constructed by a certified well contractor in compliance with this chapter and </w:t>
      </w:r>
      <w:hyperlink r:id="rId32">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A private well construction permit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 xml:space="preserve">A private well construction permit shall expire one calendar year from the date of issuance. If the well construction is not started prior to the permit expiration date, a new application plus a new nonrefundable fee must be filed with the department or the county pursuant to </w:t>
      </w:r>
      <w:hyperlink r:id="rId33">
        <w:r>
          <w:rPr>
            <w:rStyle w:val="Hyperlink"/>
            <w:rFonts w:ascii="Times New Roman" w:hAnsi="Times New Roman"/>
            <w:b w:val="false"/>
            <w:i w:val="false"/>
            <w:color w:val="000000"/>
            <w:sz w:val="22"/>
          </w:rPr>
          <w:t>49.5(2)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49.6(6)</w:t>
      </w:r>
      <w:r>
        <w:rPr>
          <w:rFonts w:ascii="Times New Roman" w:hAnsi="Times New Roman"/>
          <w:b w:val="false"/>
          <w:i w:val="false"/>
          <w:color w:val="000000"/>
          <w:sz w:val="22"/>
        </w:rPr>
        <w:t> </w:t>
      </w:r>
      <w:r>
        <w:rPr>
          <w:rFonts w:ascii="Times New Roman" w:hAnsi="Times New Roman"/>
          <w:b w:val="false"/>
          <w:i/>
          <w:color w:val="000000"/>
          <w:sz w:val="22"/>
        </w:rPr>
        <w:t xml:space="preserve">Permit denial. </w:t>
      </w:r>
      <w:r>
        <w:rPr>
          <w:rFonts w:ascii="Times New Roman" w:hAnsi="Times New Roman"/>
          <w:b w:val="false"/>
          <w:i w:val="false"/>
          <w:color w:val="000000"/>
          <w:sz w:val="22"/>
        </w:rPr>
        <w:t>The department or contracting county may deny a private well construction permit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granting the permit would lead to the violation of state law, could result in groundwater contamination, or would lead to withdrawal from a protected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well could threaten public health or the environment;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well would be an underground agricultural drainage injection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49.6(7)</w:t>
      </w:r>
      <w:r>
        <w:rPr>
          <w:rFonts w:ascii="Times New Roman" w:hAnsi="Times New Roman"/>
          <w:b w:val="false"/>
          <w:i w:val="false"/>
          <w:color w:val="000000"/>
          <w:sz w:val="22"/>
        </w:rPr>
        <w:t> </w:t>
      </w:r>
      <w:r>
        <w:rPr>
          <w:rFonts w:ascii="Times New Roman" w:hAnsi="Times New Roman"/>
          <w:b w:val="false"/>
          <w:i/>
          <w:color w:val="000000"/>
          <w:sz w:val="22"/>
        </w:rPr>
        <w:t xml:space="preserve">Appeal of permit denial. </w:t>
      </w:r>
      <w:r>
        <w:rPr>
          <w:rFonts w:ascii="Times New Roman" w:hAnsi="Times New Roman"/>
          <w:b w:val="false"/>
          <w:i w:val="false"/>
          <w:color w:val="000000"/>
          <w:sz w:val="22"/>
        </w:rPr>
        <w:t xml:space="preserve">Any applicant aggrieved by a decision issued under the provisions of this chapter may file a notice of appeal with the director. The notice of appeal must be filed within 30 days of the date of the permit decision. The form of the notice of appeal and appeal procedures are governed by </w:t>
      </w:r>
      <w:hyperlink r:id="rId34">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Appeal of a permit denied by a county that has been delegated authority to issue private well construction permits shall be administered by the county in accordance with its appeal or judiciary review process. Appeal to the department is possible only when the appeal involves well design or construction variances or if delegation to the county is suspended, rescinded,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567—49.7</w:t>
      </w:r>
      <w:r>
        <w:rPr>
          <w:rFonts w:ascii="Times New Roman" w:hAnsi="Times New Roman"/>
          <w:b/>
          <w:i w:val="false"/>
          <w:color w:val="000000"/>
          <w:sz w:val="22"/>
        </w:rPr>
        <w:t xml:space="preserve">(455B) </w:t>
      </w:r>
      <w:r>
        <w:rPr>
          <w:rFonts w:ascii="Times New Roman" w:hAnsi="Times New Roman"/>
          <w:b/>
          <w:i w:val="false"/>
          <w:color w:val="000000"/>
          <w:sz w:val="22"/>
        </w:rPr>
        <w:t xml:space="preserve">Delegation of construction permitting authority to a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county board of supervisors, board of health, or the board’s designee, hereafter referred to as a “county,” requesting the authority to issue private well construction permits shall enter into an intergovernmental (28E) service agreement with the department in accordance with Iowa Code chapter </w:t>
      </w:r>
      <w:hyperlink r:id="rId3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The agreement shall be signed by the department and the county and include statements complying with this chapter and </w:t>
      </w:r>
      <w:hyperlink r:id="rId36">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Additional information supporting an application may be requested by the department. The department may contract for all or part of the private well permitting services in those counties that do not receive or maintain delegation authority or for permit authorities retained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49.7(2)</w:t>
      </w:r>
      <w:r>
        <w:rPr>
          <w:rFonts w:ascii="Times New Roman" w:hAnsi="Times New Roman"/>
          <w:b w:val="false"/>
          <w:i w:val="false"/>
          <w:color w:val="000000"/>
          <w:sz w:val="22"/>
        </w:rPr>
        <w:t> </w:t>
      </w:r>
      <w:r>
        <w:rPr>
          <w:rFonts w:ascii="Times New Roman" w:hAnsi="Times New Roman"/>
          <w:b w:val="false"/>
          <w:i/>
          <w:color w:val="000000"/>
          <w:sz w:val="22"/>
        </w:rPr>
        <w:t xml:space="preserve">Information to the department. </w:t>
      </w:r>
      <w:r>
        <w:rPr>
          <w:rFonts w:ascii="Times New Roman" w:hAnsi="Times New Roman"/>
          <w:b w:val="false"/>
          <w:i w:val="false"/>
          <w:color w:val="000000"/>
          <w:sz w:val="22"/>
        </w:rPr>
        <w:t>The delegation agreement shall provide for the method, format, and frequency of reporting all permit application information and remission of fees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49.7(3)</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After delegation of authority to a county, all applications in that county shall be made to the board or its designee, except that all new private well construction permit applications by state or federal agencies shall be made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49.7(4)</w:t>
      </w:r>
      <w:r>
        <w:rPr>
          <w:rFonts w:ascii="Times New Roman" w:hAnsi="Times New Roman"/>
          <w:b w:val="false"/>
          <w:i w:val="false"/>
          <w:color w:val="000000"/>
          <w:sz w:val="22"/>
        </w:rPr>
        <w:t> </w:t>
      </w:r>
      <w:r>
        <w:rPr>
          <w:rFonts w:ascii="Times New Roman" w:hAnsi="Times New Roman"/>
          <w:b w:val="false"/>
          <w:i/>
          <w:color w:val="000000"/>
          <w:sz w:val="22"/>
        </w:rPr>
        <w:t xml:space="preserve">Delegation term. </w:t>
      </w:r>
      <w:r>
        <w:rPr>
          <w:rFonts w:ascii="Times New Roman" w:hAnsi="Times New Roman"/>
          <w:b w:val="false"/>
          <w:i w:val="false"/>
          <w:color w:val="000000"/>
          <w:sz w:val="22"/>
        </w:rPr>
        <w:t>A delegation of authority may be for up to five years and may be redelegated at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49.7(5)</w:t>
      </w:r>
      <w:r>
        <w:rPr>
          <w:rFonts w:ascii="Times New Roman" w:hAnsi="Times New Roman"/>
          <w:b w:val="false"/>
          <w:i w:val="false"/>
          <w:color w:val="000000"/>
          <w:sz w:val="22"/>
        </w:rPr>
        <w:t> </w:t>
      </w:r>
      <w:r>
        <w:rPr>
          <w:rFonts w:ascii="Times New Roman" w:hAnsi="Times New Roman"/>
          <w:b w:val="false"/>
          <w:i/>
          <w:color w:val="000000"/>
          <w:sz w:val="22"/>
        </w:rPr>
        <w:t xml:space="preserve">Permit number. </w:t>
      </w:r>
      <w:r>
        <w:rPr>
          <w:rFonts w:ascii="Times New Roman" w:hAnsi="Times New Roman"/>
          <w:b w:val="false"/>
          <w:i w:val="false"/>
          <w:color w:val="000000"/>
          <w:sz w:val="22"/>
        </w:rPr>
        <w:t>Each permit shall be given a unique number as prescribed by the department. This numbering system shall be consistent throughout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49.7(6)</w:t>
      </w:r>
      <w:r>
        <w:rPr>
          <w:rFonts w:ascii="Times New Roman" w:hAnsi="Times New Roman"/>
          <w:b w:val="false"/>
          <w:i w:val="false"/>
          <w:color w:val="000000"/>
          <w:sz w:val="22"/>
        </w:rPr>
        <w:t> </w:t>
      </w:r>
      <w:r>
        <w:rPr>
          <w:rFonts w:ascii="Times New Roman" w:hAnsi="Times New Roman"/>
          <w:b w:val="false"/>
          <w:i/>
          <w:color w:val="000000"/>
          <w:sz w:val="22"/>
        </w:rPr>
        <w:t xml:space="preserve">Emergency permits. </w:t>
      </w:r>
      <w:r>
        <w:rPr>
          <w:rFonts w:ascii="Times New Roman" w:hAnsi="Times New Roman"/>
          <w:b w:val="false"/>
          <w:i w:val="false"/>
          <w:color w:val="000000"/>
          <w:sz w:val="22"/>
        </w:rPr>
        <w:t>Contracting counties must have policies and procedures in place to accommodate the issuance of permits on an emergency basis for the immediate replacement or reconstruction of wells in response to the sudden and unforeseen loss or serious impairment of a well for its intended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49.7(7)</w:t>
      </w:r>
      <w:r>
        <w:rPr>
          <w:rFonts w:ascii="Times New Roman" w:hAnsi="Times New Roman"/>
          <w:b w:val="false"/>
          <w:i w:val="false"/>
          <w:color w:val="000000"/>
          <w:sz w:val="22"/>
        </w:rPr>
        <w:t> </w:t>
      </w:r>
      <w:r>
        <w:rPr>
          <w:rFonts w:ascii="Times New Roman" w:hAnsi="Times New Roman"/>
          <w:b w:val="false"/>
          <w:i/>
          <w:color w:val="000000"/>
          <w:sz w:val="22"/>
        </w:rPr>
        <w:t xml:space="preserve">Delegation agreement revocation. </w:t>
      </w:r>
      <w:r>
        <w:rPr>
          <w:rFonts w:ascii="Times New Roman" w:hAnsi="Times New Roman"/>
          <w:b w:val="false"/>
          <w:i w:val="false"/>
          <w:color w:val="000000"/>
          <w:sz w:val="22"/>
        </w:rPr>
        <w:t>The department may revoke a county delegation agreement if the board of supervisors or the board’s designee failed or refused to carry out the provisions of this chapter in a timely manner or violated any of the provisions of the delegation agreement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567—49.8</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location and separation distances (SDs).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49.8(1)</w:t>
      </w:r>
      <w:r>
        <w:rPr>
          <w:rFonts w:ascii="Times New Roman" w:hAnsi="Times New Roman"/>
          <w:b w:val="false"/>
          <w:i w:val="false"/>
          <w:color w:val="000000"/>
          <w:sz w:val="22"/>
        </w:rPr>
        <w:t> </w:t>
      </w:r>
      <w:r>
        <w:rPr>
          <w:rFonts w:ascii="Times New Roman" w:hAnsi="Times New Roman"/>
          <w:b w:val="false"/>
          <w:i w:val="false"/>
          <w:color w:val="000000"/>
          <w:sz w:val="22"/>
        </w:rPr>
        <w:t>Wells shall be located with consideration given to the lot size; soil contour, porosity, and absorbency; local groundwater conditions; flooding; publicly available geologic data including but not limited to well logs; and other factors necessary to implement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Frost pits. </w:t>
      </w:r>
      <w:r>
        <w:rPr>
          <w:rFonts w:ascii="Times New Roman" w:hAnsi="Times New Roman"/>
          <w:b w:val="false"/>
          <w:i w:val="false"/>
          <w:color w:val="000000"/>
          <w:sz w:val="22"/>
        </w:rPr>
        <w:t>Wells cannot be located within frost pits. Frost pits that do not contain wells are allowed for the purpose of housing other appurtenances, such as pressure tanks and valves, provided the frost pits are not located closer than ten feet from any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Relation to buildings. </w:t>
      </w:r>
      <w:r>
        <w:rPr>
          <w:rFonts w:ascii="Times New Roman" w:hAnsi="Times New Roman"/>
          <w:b w:val="false"/>
          <w:i w:val="false"/>
          <w:color w:val="000000"/>
          <w:sz w:val="22"/>
        </w:rPr>
        <w:t>Wells shall be located so that no building interferes with reasonable access for cleaning, treatment, repair, testing, inspection, or other maintenance. Wells cannot be located in basements.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Easements. </w:t>
      </w:r>
      <w:r>
        <w:rPr>
          <w:rFonts w:ascii="Times New Roman" w:hAnsi="Times New Roman"/>
          <w:b w:val="false"/>
          <w:i w:val="false"/>
          <w:color w:val="000000"/>
          <w:sz w:val="22"/>
        </w:rPr>
        <w:t>No well shall be located on a property not owned by the well owner unless an easement allowing such placement is reviewed and approved by the administrative authority and the easement is legally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49.8(2)</w:t>
      </w:r>
      <w:r>
        <w:rPr>
          <w:rFonts w:ascii="Times New Roman" w:hAnsi="Times New Roman"/>
          <w:b w:val="false"/>
          <w:i w:val="false"/>
          <w:color w:val="000000"/>
          <w:sz w:val="22"/>
        </w:rPr>
        <w:t> </w:t>
      </w:r>
      <w:r>
        <w:rPr>
          <w:rFonts w:ascii="Times New Roman" w:hAnsi="Times New Roman"/>
          <w:b w:val="false"/>
          <w:i w:val="false"/>
          <w:color w:val="000000"/>
          <w:sz w:val="22"/>
        </w:rPr>
        <w:t>The following minimum lateral SDs in Table I below from all private wells shall apply for the common structures or sources of contamination listed in the table. The lack of specific distances to other possible sources of contamination, such as refuse disposal sites and high-pressure gas lines, does not minimize their potential hazard. Other possible sources shall be evaluated in each particular situation and a distance arrived at that is based on pertinent facts. The well contractor shall consult the administrative authority for assistance in determining a proper distance in such cases.</w:t>
      </w:r>
    </w:p>
    <w:p>
      <w:pPr>
        <w:spacing w:before="60" w:after="0"/>
        <w:ind w:left="120"/>
        <w:jc w:val="center"/>
      </w:pPr>
      <w:r>
        <w:rPr>
          <w:rFonts w:ascii="Times New Roman" w:hAnsi="Times New Roman"/>
          <w:b w:val="false"/>
          <w:i w:val="false"/>
          <w:color w:val="000000"/>
          <w:sz w:val="22"/>
        </w:rPr>
        <w:t>TABLE I: Private Well Separation Distances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2880"/>
        <w:gridCol w:w="2880"/>
        <w:gridCol w:w="0"/>
      </w:tblGrid>
      <w:tr>
        <w:trPr>
          <w:trHeight w:val="600" w:hRule="atLeast"/>
        </w:trPr>
        <w:tc>
          <w:tcPr>
            <w:tcW w:w="576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Structure or Source of Contamination</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rPr>
              <w:t>Required Minimum Lateral Distance, as Measured Horizontally on the Ground Surface,</w:t>
            </w:r>
          </w:p>
          <w:p>
            <w:pPr>
              <w:spacing w:before="0" w:after="0"/>
              <w:ind w:left="164"/>
              <w:jc w:val="center"/>
            </w:pPr>
          </w:p>
          <w:p>
            <w:pPr>
              <w:spacing w:before="0" w:after="0"/>
              <w:ind w:left="164"/>
              <w:jc w:val="center"/>
            </w:pPr>
            <w:r>
              <w:rPr>
                <w:rFonts w:ascii="Times New Roman" w:hAnsi="Times New Roman"/>
                <w:b/>
                <w:i w:val="false"/>
                <w:color w:val="000000"/>
                <w:sz w:val="16"/>
              </w:rPr>
              <w:t>in feet</w:t>
            </w:r>
          </w:p>
        </w:tc>
      </w:tr>
      <w:tr>
        <w:trPr>
          <w:trHeight w:val="225" w:hRule="atLeast"/>
        </w:trPr>
        <w:tc>
          <w:tcPr>
            <w:tcW w:w="0" w:type="auto"/>
            <w:vMerge/>
            <w:tcBorders>
              <w:top w:val="nil"/>
              <w:bottom w:val="single" w:color="000000" w:sz="8"/>
              <w:right w:val="single" w:color="000000" w:sz="8"/>
            </w:tcBorders>
          </w:tcPr>
          <w:p/>
        </w:tc>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Private Wells</w:t>
            </w:r>
          </w:p>
        </w:tc>
      </w:tr>
      <w:tr>
        <w:trPr>
          <w:trHeight w:val="270" w:hRule="atLeast"/>
        </w:trPr>
        <w:tc>
          <w:tcPr>
            <w:tcW w:w="0" w:type="auto"/>
            <w:vMerge/>
            <w:tcBorders>
              <w:top w:val="nil"/>
              <w:bottom w:val="single" w:color="000000" w:sz="8"/>
              <w:right w:val="single" w:color="000000" w:sz="8"/>
            </w:tcBorders>
          </w:tcP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Deep Well</w:t>
            </w:r>
            <w:r>
              <w:rPr>
                <w:rFonts w:ascii="Times New Roman" w:hAnsi="Times New Roman"/>
                <w:b/>
                <w:i w:val="false"/>
                <w:color w:val="000000"/>
                <w:sz w:val="18"/>
                <w:vertAlign w:val="superscript"/>
              </w:rPr>
              <w:t>1</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Shallow Well</w:t>
            </w:r>
            <w:r>
              <w:rPr>
                <w:rFonts w:ascii="Times New Roman" w:hAnsi="Times New Roman"/>
                <w:b/>
                <w:i w:val="false"/>
                <w:color w:val="000000"/>
                <w:sz w:val="18"/>
                <w:vertAlign w:val="superscript"/>
              </w:rPr>
              <w:t>1</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WELLS:</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344"/>
              <w:jc w:val="left"/>
            </w:pPr>
            <w:r>
              <w:rPr>
                <w:rFonts w:ascii="Times New Roman" w:hAnsi="Times New Roman"/>
                <w:b w:val="false"/>
                <w:i w:val="false"/>
                <w:color w:val="000000"/>
                <w:sz w:val="16"/>
              </w:rPr>
              <w:t>Public wells:</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Public water supply well – deep or shallow</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524"/>
              <w:jc w:val="left"/>
            </w:pPr>
            <w:r>
              <w:rPr>
                <w:rFonts w:ascii="Times New Roman" w:hAnsi="Times New Roman"/>
                <w:b w:val="false"/>
                <w:i w:val="false"/>
                <w:color w:val="000000"/>
                <w:sz w:val="16"/>
              </w:rPr>
              <w:t>Below-ground level finished water storage facility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70"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Private wells:</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Existing private wells that do not conform to </w:t>
            </w:r>
            <w:hyperlink r:id="rId37">
              <w:r>
                <w:rPr>
                  <w:rStyle w:val="Hyperlink"/>
                  <w:rFonts w:ascii="Times New Roman" w:hAnsi="Times New Roman"/>
                  <w:b w:val="false"/>
                  <w:i w:val="false"/>
                  <w:color w:val="000000"/>
                  <w:sz w:val="16"/>
                </w:rPr>
                <w:t>567—Chapter 49</w:t>
              </w:r>
            </w:hyperlink>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Existing private wells that conform to </w:t>
            </w:r>
            <w:hyperlink r:id="rId38">
              <w:r>
                <w:rPr>
                  <w:rStyle w:val="Hyperlink"/>
                  <w:rFonts w:ascii="Times New Roman" w:hAnsi="Times New Roman"/>
                  <w:b w:val="false"/>
                  <w:i w:val="false"/>
                  <w:color w:val="000000"/>
                  <w:sz w:val="16"/>
                </w:rPr>
                <w:t>567—Chapter 49</w:t>
              </w:r>
            </w:hyperlink>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WASTEWATER DISPOSAL SYSTEMS:</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PSDSs and onsite treatment systems – closed portion</w:t>
            </w:r>
            <w:r>
              <w:rPr>
                <w:rFonts w:ascii="Times New Roman" w:hAnsi="Times New Roman"/>
                <w:b w:val="false"/>
                <w:i w:val="false"/>
                <w:color w:val="000000"/>
                <w:sz w:val="18"/>
                <w:vertAlign w:val="superscript"/>
              </w:rPr>
              <w:t>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PSDSs and onsite treatment systems – open portion</w:t>
            </w:r>
            <w:r>
              <w:rPr>
                <w:rFonts w:ascii="Times New Roman" w:hAnsi="Times New Roman"/>
                <w:b w:val="false"/>
                <w:i w:val="false"/>
                <w:color w:val="000000"/>
                <w:sz w:val="18"/>
                <w:vertAlign w:val="superscript"/>
              </w:rPr>
              <w:t>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Wastewater treatment works</w:t>
            </w:r>
            <w:r>
              <w:rPr>
                <w:rFonts w:ascii="Times New Roman" w:hAnsi="Times New Roman"/>
                <w:b w:val="false"/>
                <w:i w:val="false"/>
                <w:color w:val="000000"/>
                <w:sz w:val="18"/>
                <w:vertAlign w:val="superscript"/>
              </w:rPr>
              <w:t>3,4,5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CHEMICALS:</w:t>
            </w:r>
          </w:p>
        </w:tc>
      </w:tr>
      <w:tr>
        <w:trPr>
          <w:trHeight w:val="43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Transmission pipelines (including but not limited to fertilizer, liquid petroleum, or anhydrous ammonia)</w:t>
            </w:r>
            <w:r>
              <w:rPr>
                <w:rFonts w:ascii="Times New Roman" w:hAnsi="Times New Roman"/>
                <w:b w:val="false"/>
                <w:i w:val="false"/>
                <w:color w:val="000000"/>
                <w:sz w:val="18"/>
                <w:vertAlign w:val="superscript"/>
              </w:rPr>
              <w:t>6</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r>
      <w:tr>
        <w:trPr>
          <w:trHeight w:val="76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Chemical and mineral storage or preparation areas, including areas for spray materials, commercial fertilizers, or chemicals that may contaminate groundwater, except for liquid propane gas (LPG)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Liquid hydrocarbon storage tanks, except for LPG</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LPG storage tanks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ANIMALS:</w:t>
            </w:r>
          </w:p>
        </w:tc>
      </w:tr>
      <w:tr>
        <w:trPr>
          <w:trHeight w:val="40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Animal enclosures (such as confinement buildings or open feedlots)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Animal Wastes:</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Storage basins or lagoons, or runoff control basins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5</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Solids stockpiles, solids settling facilities, or storage tanks</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WATERBODIES:</w:t>
            </w:r>
          </w:p>
        </w:tc>
      </w:tr>
      <w:tr>
        <w:trPr>
          <w:trHeight w:val="43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Flowing streams, ponds, lakes, reservoirs, wetlands, or drainage channels</w:t>
            </w:r>
            <w:r>
              <w:rPr>
                <w:rFonts w:ascii="Times New Roman" w:hAnsi="Times New Roman"/>
                <w:b w:val="false"/>
                <w:i w:val="false"/>
                <w:color w:val="000000"/>
                <w:sz w:val="18"/>
                <w:vertAlign w:val="superscript"/>
              </w:rPr>
              <w:t>7</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MISCELLANEOUS</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Anaerobic lagoons</w:t>
            </w:r>
            <w:r>
              <w:rPr>
                <w:rFonts w:ascii="Times New Roman" w:hAnsi="Times New Roman"/>
                <w:b w:val="false"/>
                <w:i w:val="false"/>
                <w:color w:val="000000"/>
                <w:sz w:val="18"/>
                <w:vertAlign w:val="superscript"/>
              </w:rPr>
              <w:t>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r>
              <w:rPr>
                <w:rFonts w:ascii="Times New Roman" w:hAnsi="Times New Roman"/>
                <w:b w:val="false"/>
                <w:i w:val="false"/>
                <w:color w:val="000000"/>
                <w:sz w:val="18"/>
                <w:vertAlign w:val="superscript"/>
              </w:rPr>
              <w:t>8</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Solid waste landfills and disposal sites</w:t>
            </w:r>
            <w:r>
              <w:rPr>
                <w:rFonts w:ascii="Times New Roman" w:hAnsi="Times New Roman"/>
                <w:b w:val="false"/>
                <w:i w:val="false"/>
                <w:color w:val="000000"/>
                <w:sz w:val="18"/>
                <w:vertAlign w:val="superscript"/>
              </w:rPr>
              <w:t>8</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Roadside ditches and road rights-of-way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40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Cisterns, well pits (containing a well head), yard hydrants, or frost pits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Property lines</w:t>
            </w:r>
            <w:r>
              <w:rPr>
                <w:rFonts w:ascii="Times New Roman" w:hAnsi="Times New Roman"/>
                <w:b w:val="false"/>
                <w:i w:val="false"/>
                <w:color w:val="000000"/>
                <w:sz w:val="18"/>
                <w:vertAlign w:val="superscript"/>
              </w:rPr>
              <w:t>9</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Land application of septage</w:t>
            </w:r>
            <w:r>
              <w:rPr>
                <w:rFonts w:ascii="Times New Roman" w:hAnsi="Times New Roman"/>
                <w:b w:val="false"/>
                <w:i w:val="false"/>
                <w:color w:val="000000"/>
                <w:sz w:val="18"/>
                <w:vertAlign w:val="superscript"/>
              </w:rPr>
              <w:t>10</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Land application of sewage sludge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r>
      <w:tr>
        <w:trPr>
          <w:trHeight w:val="25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CONVEYANCES:</w:t>
            </w:r>
            <w:r>
              <w:rPr>
                <w:rFonts w:ascii="Times New Roman" w:hAnsi="Times New Roman"/>
                <w:b w:val="false"/>
                <w:i w:val="false"/>
                <w:color w:val="000000"/>
                <w:sz w:val="18"/>
                <w:vertAlign w:val="superscript"/>
              </w:rPr>
              <w:t>11</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Gravity sanitary sewers and sanitary sewer force mains including those carrying water treatment plant wastes:</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main materials</w:t>
            </w:r>
            <w:r>
              <w:rPr>
                <w:rFonts w:ascii="Times New Roman" w:hAnsi="Times New Roman"/>
                <w:b w:val="false"/>
                <w:i w:val="false"/>
                <w:color w:val="000000"/>
                <w:sz w:val="18"/>
                <w:vertAlign w:val="superscript"/>
              </w:rPr>
              <w:t>12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w:t>
            </w:r>
            <w:r>
              <w:rPr>
                <w:rFonts w:ascii="Times New Roman" w:hAnsi="Times New Roman"/>
                <w:b w:val="false"/>
                <w:i w:val="false"/>
                <w:color w:val="000000"/>
                <w:sz w:val="18"/>
                <w:vertAlign w:val="superscript"/>
              </w:rPr>
              <w:t>13</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Standard sanitary sewer materials</w:t>
            </w:r>
            <w:r>
              <w:rPr>
                <w:rFonts w:ascii="Times New Roman" w:hAnsi="Times New Roman"/>
                <w:b w:val="false"/>
                <w:i w:val="false"/>
                <w:color w:val="000000"/>
                <w:sz w:val="18"/>
                <w:vertAlign w:val="superscript"/>
              </w:rPr>
              <w:t>12</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r>
              <w:rPr>
                <w:rFonts w:ascii="Times New Roman" w:hAnsi="Times New Roman"/>
                <w:b w:val="false"/>
                <w:i w:val="false"/>
                <w:color w:val="000000"/>
                <w:sz w:val="18"/>
                <w:vertAlign w:val="superscript"/>
              </w:rPr>
              <w:t>13</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Storm sewers, general minimums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2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 clear water drains or pump house floor drains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5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Building sewer service lines and laterals</w:t>
            </w:r>
            <w:r>
              <w:rPr>
                <w:rFonts w:ascii="Times New Roman" w:hAnsi="Times New Roman"/>
                <w:b w:val="false"/>
                <w:i w:val="false"/>
                <w:color w:val="000000"/>
                <w:sz w:val="18"/>
                <w:vertAlign w:val="superscript"/>
              </w:rPr>
              <w:t>14</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Deep and shallow wells are defined in rule </w:t>
      </w:r>
      <w:hyperlink r:id="rId39">
        <w:r>
          <w:rPr>
            <w:rStyle w:val="Hyperlink"/>
            <w:rFonts w:ascii="Times New Roman" w:hAnsi="Times New Roman"/>
            <w:b w:val="false"/>
            <w:i w:val="false"/>
            <w:color w:val="000000"/>
            <w:sz w:val="22"/>
          </w:rPr>
          <w:t>567—40.2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PSDS (private sewage disposal system) is defined in </w:t>
      </w:r>
      <w:hyperlink r:id="rId40">
        <w:r>
          <w:rPr>
            <w:rStyle w:val="Hyperlink"/>
            <w:rFonts w:ascii="Times New Roman" w:hAnsi="Times New Roman"/>
            <w:b w:val="false"/>
            <w:i w:val="false"/>
            <w:color w:val="000000"/>
            <w:sz w:val="22"/>
          </w:rPr>
          <w:t>567—subrule 69.1(2)</w:t>
        </w:r>
      </w:hyperlink>
      <w:r>
        <w:rPr>
          <w:rFonts w:ascii="Times New Roman" w:hAnsi="Times New Roman"/>
          <w:b w:val="false"/>
          <w:i w:val="false"/>
          <w:color w:val="000000"/>
          <w:sz w:val="22"/>
        </w:rPr>
        <w:t xml:space="preserve">. For the purposes of this table, “onsite treatment system” includes any wastewater treatment system not included in the definition of a PSDS (i.e., provides treatment or disposal of domestic sewage from more than four dwelling units or 16 or more individuals on a continuing basis) that is utilizing wastewater treatment technologies described in </w:t>
      </w:r>
      <w:hyperlink r:id="rId41">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xml:space="preserve"> to treat domestic waste. Closed portion refers to the part of a treatment system that is fully contained and does not allow effluent or pretreated effluent to enter soil or groundwater (e.g., septic tank or impervious vault toilet). Open portion refers to the part of a treatment system that allows effluent or pretreated effluent to discharge into soil or groundwater for treatment or disposal (e.g., soil absorption system or unlined ISSF system). These SDs also apply to septic systems that are not considered privately owned.</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For the purposes of this table, “wastewater treatment works” includes lagoons and mechanical treatment plants as described in this superscript. The term “lagoons” includes aerated lagoon systems, advanced aerated lagoon systems, and waste stabilization lagoons, as defined in </w:t>
      </w:r>
      <w:hyperlink r:id="rId42">
        <w:r>
          <w:rPr>
            <w:rStyle w:val="Hyperlink"/>
            <w:rFonts w:ascii="Times New Roman" w:hAnsi="Times New Roman"/>
            <w:b w:val="false"/>
            <w:i w:val="false"/>
            <w:color w:val="000000"/>
            <w:sz w:val="22"/>
          </w:rPr>
          <w:t>567—subrule 81.1(1)</w:t>
        </w:r>
      </w:hyperlink>
      <w:r>
        <w:rPr>
          <w:rFonts w:ascii="Times New Roman" w:hAnsi="Times New Roman"/>
          <w:b w:val="false"/>
          <w:i w:val="false"/>
          <w:color w:val="000000"/>
          <w:sz w:val="22"/>
        </w:rPr>
        <w:t xml:space="preserve">, and holding ponds, equalization basins, and sludge digestion or holding tanks, as described in the Iowa Wastewater Facilities Design Standards (IWFDS). The term does not include lagoons used to dispose of water treatment plant wastes and anaerobic lagoons used for animal wastes (as noted in superscript 5). The SD from lagoons shall be measured from the water surface. The term “mechanical treatment plants” includes activated sludge systems and fixed film biological treatment systems, as defined in </w:t>
      </w:r>
      <w:hyperlink r:id="rId43">
        <w:r>
          <w:rPr>
            <w:rStyle w:val="Hyperlink"/>
            <w:rFonts w:ascii="Times New Roman" w:hAnsi="Times New Roman"/>
            <w:b w:val="false"/>
            <w:i w:val="false"/>
            <w:color w:val="000000"/>
            <w:sz w:val="22"/>
          </w:rPr>
          <w:t>567—subrule 81.1(1)</w:t>
        </w:r>
      </w:hyperlink>
      <w:r>
        <w:rPr>
          <w:rFonts w:ascii="Times New Roman" w:hAnsi="Times New Roman"/>
          <w:b w:val="false"/>
          <w:i w:val="false"/>
          <w:color w:val="000000"/>
          <w:sz w:val="22"/>
        </w:rPr>
        <w:t>, and any other wastewater disposal system that is not a PSDS, an onsite treatment system, or a lagoon.</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The SD between an existing, nonpotable, deep or shallow private well and an industrial treatment works may be reduced from 400 feet to 200 feet to accommodate the expansion of an existing industrial treatment works, provided the well and the treatment works share the same ownership.</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xml:space="preserve">The 400-foot SD between a private well and an anaerobic lagoon, earthen manure storage basin, earthen manure slurry storage basin, or runoff control basin shall be 1,000 feet. If an applicant for a private well construction permit demonstrates through percolation testing that the seepage loss through the lagoon or basin does not exceed 1/16 inch per day (0.0625 inch/day), the SD shall be 400 feet. The percolation test shall meet the requirements of ASTM D1587/D1587M-15 and </w:t>
      </w:r>
      <w:hyperlink r:id="rId44">
        <w:r>
          <w:rPr>
            <w:rStyle w:val="Hyperlink"/>
            <w:rFonts w:ascii="Times New Roman" w:hAnsi="Times New Roman"/>
            <w:b w:val="false"/>
            <w:i w:val="false"/>
            <w:color w:val="000000"/>
            <w:sz w:val="22"/>
          </w:rPr>
          <w:t>567—subrule 65.15(11)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These private well SDs apply only if a more restrictive setback is not set by the pipeline owner.</w:t>
      </w:r>
    </w:p>
    <w:p>
      <w:pPr>
        <w:spacing w:before="0" w:after="0"/>
        <w:ind w:left="120"/>
        <w:jc w:val="both"/>
      </w:pP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Includes drainage channels that may have a direct connection to the groundwater table or a surface water.</w:t>
      </w:r>
    </w:p>
    <w:p>
      <w:pPr>
        <w:spacing w:before="0" w:after="0"/>
        <w:ind w:left="120"/>
        <w:jc w:val="both"/>
      </w:pPr>
      <w:r>
        <w:rPr>
          <w:rFonts w:ascii="Times New Roman" w:hAnsi="Times New Roman"/>
          <w:b w:val="false"/>
          <w:i w:val="false"/>
          <w:color w:val="000000"/>
          <w:sz w:val="18"/>
          <w:vertAlign w:val="superscript"/>
        </w:rPr>
        <w:t>8</w:t>
      </w:r>
      <w:r>
        <w:rPr>
          <w:rFonts w:ascii="Times New Roman" w:hAnsi="Times New Roman"/>
          <w:b w:val="false"/>
          <w:i w:val="false"/>
          <w:color w:val="000000"/>
          <w:sz w:val="22"/>
        </w:rPr>
        <w:t>Solid waste, when referring to landfills and disposal sites, means garbage, refuse, rubbish, and other similar discarded solid or semisolid materials, including but not limited to such materials resulting from industrial, commercial, agricultural, and domestic activities.</w:t>
      </w:r>
    </w:p>
    <w:p>
      <w:pPr>
        <w:spacing w:before="0" w:after="0"/>
        <w:ind w:left="120"/>
        <w:jc w:val="both"/>
      </w:pPr>
      <w:r>
        <w:rPr>
          <w:rFonts w:ascii="Times New Roman" w:hAnsi="Times New Roman"/>
          <w:b w:val="false"/>
          <w:i w:val="false"/>
          <w:color w:val="000000"/>
          <w:sz w:val="18"/>
          <w:vertAlign w:val="superscript"/>
        </w:rPr>
        <w:t>9</w:t>
      </w:r>
      <w:r>
        <w:rPr>
          <w:rFonts w:ascii="Times New Roman" w:hAnsi="Times New Roman"/>
          <w:b w:val="false"/>
          <w:i w:val="false"/>
          <w:color w:val="000000"/>
          <w:sz w:val="22"/>
        </w:rPr>
        <w:t>This distance applies unless a mutual easement is signed and recorded by both parties.</w:t>
      </w:r>
    </w:p>
    <w:p>
      <w:pPr>
        <w:spacing w:before="0" w:after="0"/>
        <w:ind w:left="120"/>
        <w:jc w:val="both"/>
      </w:pPr>
      <w:r>
        <w:rPr>
          <w:rFonts w:ascii="Times New Roman" w:hAnsi="Times New Roman"/>
          <w:b w:val="false"/>
          <w:i w:val="false"/>
          <w:color w:val="000000"/>
          <w:sz w:val="18"/>
          <w:vertAlign w:val="superscript"/>
        </w:rPr>
        <w:t>10</w:t>
      </w:r>
      <w:r>
        <w:rPr>
          <w:rFonts w:ascii="Times New Roman" w:hAnsi="Times New Roman"/>
          <w:b w:val="false"/>
          <w:i w:val="false"/>
          <w:color w:val="000000"/>
          <w:sz w:val="22"/>
        </w:rPr>
        <w:t xml:space="preserve">Septage shall be land applied in accordance with </w:t>
      </w:r>
      <w:hyperlink r:id="rId45">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18"/>
          <w:vertAlign w:val="superscript"/>
        </w:rPr>
        <w:t>11</w:t>
      </w:r>
      <w:r>
        <w:rPr>
          <w:rFonts w:ascii="Times New Roman" w:hAnsi="Times New Roman"/>
          <w:b w:val="false"/>
          <w:i w:val="false"/>
          <w:color w:val="000000"/>
          <w:sz w:val="22"/>
        </w:rPr>
        <w:t>The SDs are dependent upon two factors: the type of piping that is in the existing sewer or drain, as noted in the table, and that the piping was properly installed in accordance with the standards.</w:t>
      </w:r>
    </w:p>
    <w:p>
      <w:pPr>
        <w:spacing w:before="0" w:after="0"/>
        <w:ind w:left="120"/>
        <w:jc w:val="both"/>
      </w:pPr>
      <w:r>
        <w:rPr>
          <w:rFonts w:ascii="Times New Roman" w:hAnsi="Times New Roman"/>
          <w:b w:val="false"/>
          <w:i w:val="false"/>
          <w:color w:val="000000"/>
          <w:sz w:val="18"/>
          <w:vertAlign w:val="superscript"/>
        </w:rPr>
        <w:t>12</w:t>
      </w:r>
      <w:r>
        <w:rPr>
          <w:rFonts w:ascii="Times New Roman" w:hAnsi="Times New Roman"/>
          <w:b w:val="false"/>
          <w:i w:val="false"/>
          <w:color w:val="000000"/>
          <w:sz w:val="22"/>
        </w:rPr>
        <w:t xml:space="preserve">These are the type of materials or pipe used to construct the type of sewer, main, or drain as specified, in accordance with </w:t>
      </w:r>
      <w:hyperlink r:id="rId46">
        <w:r>
          <w:rPr>
            <w:rStyle w:val="Hyperlink"/>
            <w:rFonts w:ascii="Times New Roman" w:hAnsi="Times New Roman"/>
            <w:b w:val="false"/>
            <w:i w:val="false"/>
            <w:color w:val="000000"/>
            <w:sz w:val="22"/>
          </w:rPr>
          <w:t>567—subrule 43.3(2)</w:t>
        </w:r>
      </w:hyperlink>
      <w:r>
        <w:rPr>
          <w:rFonts w:ascii="Times New Roman" w:hAnsi="Times New Roman"/>
          <w:b w:val="false"/>
          <w:i w:val="false"/>
          <w:color w:val="000000"/>
          <w:sz w:val="22"/>
        </w:rPr>
        <w:t xml:space="preserve"> and Section 2.4 of the IWFDS.</w:t>
      </w:r>
    </w:p>
    <w:p>
      <w:pPr>
        <w:spacing w:before="0" w:after="0"/>
        <w:ind w:left="120"/>
        <w:jc w:val="both"/>
      </w:pPr>
      <w:r>
        <w:rPr>
          <w:rFonts w:ascii="Times New Roman" w:hAnsi="Times New Roman"/>
          <w:b w:val="false"/>
          <w:i w:val="false"/>
          <w:color w:val="000000"/>
          <w:sz w:val="18"/>
          <w:vertAlign w:val="superscript"/>
        </w:rPr>
        <w:t>13</w:t>
      </w:r>
      <w:r>
        <w:rPr>
          <w:rFonts w:ascii="Times New Roman" w:hAnsi="Times New Roman"/>
          <w:b w:val="false"/>
          <w:i w:val="false"/>
          <w:color w:val="000000"/>
          <w:sz w:val="22"/>
        </w:rPr>
        <w:t>The 25- and 50-foot SDs do not apply to private closed-loop geothermal wells. The SD between closed-loop geothermal systems and both gravity sanitary sewers and sanitary sewer force mains shall be 10 feet.</w:t>
      </w:r>
    </w:p>
    <w:p>
      <w:pPr>
        <w:spacing w:before="0" w:after="0"/>
        <w:ind w:left="120"/>
        <w:jc w:val="both"/>
      </w:pPr>
      <w:r>
        <w:rPr>
          <w:rFonts w:ascii="Times New Roman" w:hAnsi="Times New Roman"/>
          <w:b w:val="false"/>
          <w:i w:val="false"/>
          <w:color w:val="000000"/>
          <w:sz w:val="18"/>
          <w:vertAlign w:val="superscript"/>
        </w:rPr>
        <w:t>14</w:t>
      </w:r>
      <w:r>
        <w:rPr>
          <w:rFonts w:ascii="Times New Roman" w:hAnsi="Times New Roman"/>
          <w:b w:val="false"/>
          <w:i w:val="false"/>
          <w:color w:val="000000"/>
          <w:sz w:val="22"/>
        </w:rPr>
        <w:t>The SD for building sewer service lines and laterals shall be considered the minimum distance when constructing sewer lines and shall be increased where possible to provide better protection.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567—49.9</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construction requirements. </w:t>
      </w:r>
      <w:r>
        <w:rPr>
          <w:rFonts w:ascii="Times New Roman" w:hAnsi="Times New Roman"/>
          <w:b w:val="false"/>
          <w:i w:val="false"/>
          <w:color w:val="000000"/>
          <w:sz w:val="22"/>
        </w:rPr>
        <w:t>Wells shall be planned and constructed to adapt to the geologic and groundwater conditions of the proposed well site to ensure both the reasonable utilization of every natural protection against contamination of the water-bearing formation(s) and the exclusion of possible sources of contamination, to attempt to produce bacterially safe water free of health-related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49.9(1)</w:t>
      </w:r>
      <w:r>
        <w:rPr>
          <w:rFonts w:ascii="Times New Roman" w:hAnsi="Times New Roman"/>
          <w:b w:val="false"/>
          <w:i w:val="false"/>
          <w:color w:val="000000"/>
          <w:sz w:val="22"/>
        </w:rPr>
        <w:t> </w:t>
      </w:r>
      <w:r>
        <w:rPr>
          <w:rFonts w:ascii="Times New Roman" w:hAnsi="Times New Roman"/>
          <w:b w:val="false"/>
          <w:i/>
          <w:color w:val="000000"/>
          <w:sz w:val="22"/>
        </w:rPr>
        <w:t xml:space="preserve">Water used in construction. </w:t>
      </w:r>
      <w:r>
        <w:rPr>
          <w:rFonts w:ascii="Times New Roman" w:hAnsi="Times New Roman"/>
          <w:b w:val="false"/>
          <w:i w:val="false"/>
          <w:color w:val="000000"/>
          <w:sz w:val="22"/>
        </w:rPr>
        <w:t>Water used in the construction process shall be obtained from a potable water source that will not result in well contamination. Drilling water shall be treated with 3 pints of 5.25 percent sodium hypochlorite solution per 100 gallons of water, 0.25 pounds of 65 percent calcium hypochlorite per 100 gallons of water, or other additives to produce an equivalent concentration of chlorine residual (50 ppm).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49.9(2)</w:t>
      </w:r>
      <w:r>
        <w:rPr>
          <w:rFonts w:ascii="Times New Roman" w:hAnsi="Times New Roman"/>
          <w:b w:val="false"/>
          <w:i w:val="false"/>
          <w:color w:val="000000"/>
          <w:sz w:val="22"/>
        </w:rPr>
        <w:t> </w:t>
      </w:r>
      <w:r>
        <w:rPr>
          <w:rFonts w:ascii="Times New Roman" w:hAnsi="Times New Roman"/>
          <w:b w:val="false"/>
          <w:i/>
          <w:color w:val="000000"/>
          <w:sz w:val="22"/>
        </w:rPr>
        <w:t xml:space="preserve">Wellhead.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upper terminal casing of all wells shall extend at least 12 inches above established grade or pump house floor, or the 100-year flood level, whichever is higher. A well cap or sanitary seal shall be installed immediately following well completion. A well cap shall be used on an exposed well; a sanitary seal only on a well terminating within a wellhouse. Any openings in the cap or seal, such as for pump wiring or water depth measurement, shall be properly grommeted or sealed, except for properly screened and oriented vent openings.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ground surface immediately adjacent to the well casing shall be compacted and graded so that surface water is diverted away from the casing. Well platforms are not recommended, except those used as pump house floors.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49.9(3)</w:t>
      </w:r>
      <w:r>
        <w:rPr>
          <w:rFonts w:ascii="Times New Roman" w:hAnsi="Times New Roman"/>
          <w:b w:val="false"/>
          <w:i w:val="false"/>
          <w:color w:val="000000"/>
          <w:sz w:val="22"/>
        </w:rPr>
        <w:t> </w:t>
      </w:r>
      <w:r>
        <w:rPr>
          <w:rFonts w:ascii="Times New Roman" w:hAnsi="Times New Roman"/>
          <w:b w:val="false"/>
          <w:i/>
          <w:color w:val="000000"/>
          <w:sz w:val="22"/>
        </w:rPr>
        <w:t xml:space="preserve">Criteria for well interference protection. </w:t>
      </w:r>
      <w:hyperlink r:id="rId47">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 xml:space="preserve"> provides an administrative process for owners of nonregulated wells to receive compensation for well interference caused by permitted uses. To be eligible for compensation due to well interference, nonregulated wells shall be constructed to allow for some potential well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Allowance for potential well interference is accomplished by constructing a nonregulated well to anticipate a lowering of the well’s static head, which may be caused by interference from a nearby permitted use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well shall be drilled deep enough to allow for pump setting at least 10 feet or half the normal pumping drawdown, whichever is greater, below the initial recommended setting depth.</w:t>
      </w:r>
    </w:p>
    <w:p>
      <w:pPr>
        <w:spacing w:before="0" w:after="0"/>
        <w:ind w:left="120"/>
        <w:jc w:val="center"/>
      </w:pPr>
      <w:r>
        <w:drawing>
          <wp:inline distT="0" distB="0" distL="0" distR="0">
            <wp:extent cx="3590925" cy="154305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8"/>
                    <a:stretch>
                      <a:fillRect/>
                    </a:stretch>
                  </pic:blipFill>
                  <pic:spPr>
                    <a:xfrm>
                      <a:off x="0" y="0"/>
                      <a:ext cx="3590925" cy="15430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well draws from an unconfined aquifer, the static water level may drop to half the saturated thickness of the aquifer before well interference is considered, if the calculation in (1) above should indicate a shallower depth. Shallow aquifers that are only slightly confined may be classified as unconfined aquifers for this purpose.</w:t>
      </w:r>
    </w:p>
    <w:p>
      <w:pPr>
        <w:spacing w:before="0" w:after="0"/>
        <w:ind w:left="120"/>
        <w:jc w:val="center"/>
      </w:pPr>
      <w:r>
        <w:drawing>
          <wp:inline distT="0" distB="0" distL="0" distR="0">
            <wp:extent cx="3600450" cy="1990725"/>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49"/>
                    <a:stretch>
                      <a:fillRect/>
                    </a:stretch>
                  </pic:blipFill>
                  <pic:spPr>
                    <a:xfrm>
                      <a:off x="0" y="0"/>
                      <a:ext cx="3600450" cy="19907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a well penetrates a confined aquifer, the static water level is protected only to the top of the aquifer if the calculation in (1) above should indicate a deeper level.</w:t>
      </w:r>
    </w:p>
    <w:p>
      <w:pPr>
        <w:spacing w:before="0" w:after="0"/>
        <w:ind w:left="120"/>
        <w:jc w:val="center"/>
      </w:pPr>
      <w:r>
        <w:drawing>
          <wp:inline distT="0" distB="0" distL="0" distR="0">
            <wp:extent cx="3524250" cy="215265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50"/>
                    <a:stretch>
                      <a:fillRect/>
                    </a:stretch>
                  </pic:blipFill>
                  <pic:spPr>
                    <a:xfrm>
                      <a:off x="0" y="0"/>
                      <a:ext cx="3524250" cy="215265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Protected levels for flowing wells will be considered the top of the confined aquifer or 100 feet below the surface, whichever is higher. Flowing wells shall be constructed to accommodate a pump capable of supplying a sufficient water supply at protected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well design also needs to consider drought and reduced well efficiency. Additional information is provided in </w:t>
      </w:r>
      <w:hyperlink r:id="rId51">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well that is used to withdraw more than 25,000 gallons of water per day requires a water use permit from the department. Upon obtaining such a permit, the well is considered a permitted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permitted use exists prior to the construction of a well without a water use permit, no compensation for well interference will be allowed unless a significant change in the permitted use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physical change to withdrawal facilities may be considered a significant change to a permitted use (e.g., moving the withdrawal location, installing a new well, or installing a higher capacity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desiring to construct a well not requiring a water use permit should first obtain information concerning nearby permitted use wells. The department shall provide information on permitted use wells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49.9(4)</w:t>
      </w:r>
      <w:r>
        <w:rPr>
          <w:rFonts w:ascii="Times New Roman" w:hAnsi="Times New Roman"/>
          <w:b w:val="false"/>
          <w:i w:val="false"/>
          <w:color w:val="000000"/>
          <w:sz w:val="22"/>
        </w:rPr>
        <w:t> </w:t>
      </w:r>
      <w:r>
        <w:rPr>
          <w:rFonts w:ascii="Times New Roman" w:hAnsi="Times New Roman"/>
          <w:b w:val="false"/>
          <w:i/>
          <w:color w:val="000000"/>
          <w:sz w:val="22"/>
        </w:rPr>
        <w:t xml:space="preserve">Access port for water level measurement. </w:t>
      </w:r>
      <w:r>
        <w:rPr>
          <w:rFonts w:ascii="Times New Roman" w:hAnsi="Times New Roman"/>
          <w:b w:val="false"/>
          <w:i w:val="false"/>
          <w:color w:val="000000"/>
          <w:sz w:val="22"/>
        </w:rPr>
        <w:t>Permitted use wells shall be equipped with an access port having a minimum diameter of ¾ inch. The access port shall be fitted with a threaded cap or plug and be located to allow insertion of a steel tape or electric probe into the well for water level measurements. When a spool type of pitless adapter is used that obstructs clear access to the water, a ¾-inch pipe shall be attached to the spool and brought to the surface below the well cap to allow water level measurements. Wells not requiring a water use permit should be constructed with an access port for water level measurement for possible future well interference concerns.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49.9(5)</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of aquifers. </w:t>
      </w:r>
      <w:r>
        <w:rPr>
          <w:rFonts w:ascii="Times New Roman" w:hAnsi="Times New Roman"/>
          <w:b w:val="false"/>
          <w:i w:val="false"/>
          <w:color w:val="000000"/>
          <w:sz w:val="22"/>
        </w:rPr>
        <w:t>Permitted use wells shall use casing and grouting to maintain a hydraulic separation between distinct aquifers separated by confining intervals. Hydraulic separation of distinct aquifers for non-permitted use wells is not required; however, caution should be taken to prevent aquifer contamination, and the administrative authority shall be consulted for possible local regulations when interconnection of aquifers across confining intervals is anticipated.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567—49.10</w:t>
      </w:r>
      <w:r>
        <w:rPr>
          <w:rFonts w:ascii="Times New Roman" w:hAnsi="Times New Roman"/>
          <w:b/>
          <w:i w:val="false"/>
          <w:color w:val="000000"/>
          <w:sz w:val="22"/>
        </w:rPr>
        <w:t xml:space="preserve">(455B) </w:t>
      </w:r>
      <w:r>
        <w:rPr>
          <w:rFonts w:ascii="Times New Roman" w:hAnsi="Times New Roman"/>
          <w:b/>
          <w:i w:val="false"/>
          <w:color w:val="000000"/>
          <w:sz w:val="22"/>
        </w:rPr>
        <w:t xml:space="preserve">Types of well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49.10(1)</w:t>
      </w:r>
      <w:r>
        <w:rPr>
          <w:rFonts w:ascii="Times New Roman" w:hAnsi="Times New Roman"/>
          <w:b w:val="false"/>
          <w:i w:val="false"/>
          <w:color w:val="000000"/>
          <w:sz w:val="22"/>
        </w:rPr>
        <w:t> </w:t>
      </w:r>
      <w:r>
        <w:rPr>
          <w:rFonts w:ascii="Times New Roman" w:hAnsi="Times New Roman"/>
          <w:b w:val="false"/>
          <w:i/>
          <w:color w:val="000000"/>
          <w:sz w:val="22"/>
        </w:rPr>
        <w:t xml:space="preserve">Drilled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Non-bedrock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Casing depth. In no case shall less than 20 feet of permanent solid casing be installed in wells drilled in unconsolidated materials. If the alluvial aquifer where the water is to be drawn from is covered by less than 40 feet of low permeability materials, the well screen shall be set at the bottom of the water-bearing aquifer or at least 60 feet from the surface. Deeper depths may be required if nitrate contamination is excessive. If more than 40 feet of low permeability materials are present above the aquifer, the casing shall extend down at least to the top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Grout shall be placed to a minimum depth of 40 feet or along the full length of the casing where less than 40 feet of casing is set. Grouting the full length of the casing below 40 feet may be necessary to isolate any contaminated water lenses or aquifers.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layer of low permeability material at least 5 feet thick is encountered less than 40 feet from the surface, the grout may be terminated no less than 5 feet below the top of this low permeability material, but in no case less than 20 feet from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Grout shall be placed in accordance with </w:t>
      </w:r>
      <w:hyperlink r:id="rId52">
        <w:r>
          <w:rPr>
            <w:rStyle w:val="Hyperlink"/>
            <w:rFonts w:ascii="Times New Roman" w:hAnsi="Times New Roman"/>
            <w:b w:val="false"/>
            <w:i w:val="false"/>
            <w:color w:val="000000"/>
            <w:sz w:val="22"/>
          </w:rPr>
          <w:t>49.11(3)</w:t>
        </w:r>
      </w:hyperlink>
      <w:r>
        <w:rPr>
          <w:rFonts w:ascii="Times New Roman" w:hAnsi="Times New Roman"/>
          <w:b w:val="false"/>
          <w:i w:val="false"/>
          <w:color w:val="000000"/>
          <w:sz w:val="22"/>
        </w:rPr>
        <w:t>, except when driving casing. When driving casing, a cone-shaped depression or temporary outer casing that is filled with bentonite products must be maintained around the well casing. The bottom of the driven casing shall be equipped with a drive shoe.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Annular space.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borehole diameter shall be at least three inches greater than the outside diameter of the well casing to the minimum grouting depth.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steel well casing pipe is installed using percussion methods, the annular space shall be at least five inches greater than the outside diameter of the well casing to a minimum depth of 25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depth of casing is greater than 40 feet, the annular space below 40 feet may be filled with heavy drilling fluid taken from the borehole as long as the top 40 feet of annular space is properly grouted. In this case, the annular space below 40 feet shall be kept as small as possible to avoid settling.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Bored and augered non-bedrock wells with concrete, fiberglass, or clay tile casing. </w:t>
      </w:r>
      <w:r>
        <w:rPr>
          <w:rFonts w:ascii="Times New Roman" w:hAnsi="Times New Roman"/>
          <w:b w:val="false"/>
          <w:i w:val="false"/>
          <w:color w:val="000000"/>
          <w:sz w:val="22"/>
        </w:rPr>
        <w:t>The casing shall be at least 18 inches in diameter and buried-slab construction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top of the concrete, fiberglass, or vitrified clay pipe casing shall be terminated not less than 10 feet below ground surface and extend to a minimum depth of 20 feet.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Casing shall be fitted with a reinforced concrete, fiberglass, or steel plate, into which a watertight steel or thermoplastic casing is firmly embedded in or connected to a pipe that is cast or welded into the plate.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embedded casing shall be at least 5 inches in diameter and shall extend from the plate to not less than 12 inches above established grade or the 100-year flood level,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pitless adapter shall be installed below frost depth on newly installed plastic or steel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Grout. A 12-inch grout seal shall be poured over and around the 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Annular space. The annular space between the steel or thermoplastic casing and the borehole shall be backfilled with clean compacted soil free of debris or large organic material. During the backfilling process, the earth shall be thoroughly tamped to minimize settling. Grading around the well shall then be accomplished in accordance with </w:t>
      </w:r>
      <w:hyperlink r:id="rId53">
        <w:r>
          <w:rPr>
            <w:rStyle w:val="Hyperlink"/>
            <w:rFonts w:ascii="Times New Roman" w:hAnsi="Times New Roman"/>
            <w:b w:val="false"/>
            <w:i w:val="false"/>
            <w:color w:val="000000"/>
            <w:sz w:val="22"/>
          </w:rPr>
          <w:t>49.9(2)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Bedrock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Casing depth. Casing shall extend to a depth of at least 40 feet and be seated in firm rock. When the uppermost bedrock consists of creviced limestone or dolomite that does not produce water, the casing shall extend through the creviced formation, be seated in firm rock, and be properly grouted.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bedrock wells, full-length grouting of the casing is strongly recommended. Grout shall be placed to a minimum depth of 40 feet in accordance with </w:t>
      </w:r>
      <w:hyperlink r:id="rId54">
        <w:r>
          <w:rPr>
            <w:rStyle w:val="Hyperlink"/>
            <w:rFonts w:ascii="Times New Roman" w:hAnsi="Times New Roman"/>
            <w:b w:val="false"/>
            <w:i w:val="false"/>
            <w:color w:val="000000"/>
            <w:sz w:val="22"/>
          </w:rPr>
          <w:t>49.11(3)</w:t>
        </w:r>
      </w:hyperlink>
      <w:r>
        <w:rPr>
          <w:rFonts w:ascii="Times New Roman" w:hAnsi="Times New Roman"/>
          <w:b w:val="false"/>
          <w:i w:val="false"/>
          <w:color w:val="000000"/>
          <w:sz w:val="22"/>
        </w:rPr>
        <w:t xml:space="preserve">, except when driving casing using percussion or casing-hammer/rotary drilling.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driving casing, a cone-shaped depression or temporary outer casing that is filled with bentonite products shall be maintained around the outside of the casing. The bottom of the driven casing shall be equipped with a drive shoe.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layer of low permeability material at least 5 feet thick is encountered less than 40 feet from the surface, the grout may be terminated no less than 5 feet below the top of this low permeability material, but in no case less than 20 feet from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local conditions warrant, the administrative authority may require more extensive grouting to protect any aquifer(s) that are penetrated.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Annular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borehole shall be at least three inches greater than the outside diameter of the well casing for the upper 40 feet or the minimum grouting depth.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steel casing pipe is installed using percussion, or casing-hammer/rotary methods, the annular space shall be at least five inches greater than the outside diameter of the well casing to a minimum depth of 25 feet.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bedrock wells are full-length pressure-grouted through the casing, the borehole diameter shall be three inches larger than the outside diameter of the casing for the minimum depth of at least 25 feet.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depth of casing is greater than 40 feet, the annular space below 40 feet may be filled with heavy drilling fluid taken from the borehole as long as the top 40 feet of annular space is properly grouted. In this case, the annular space below 40 feet shall be kept as small as possible to avoid settling.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fractured rock, where circulation of slurry cannot be maintained, grouting may be done with bentonite chips. The chips shall be hydrated with one gallon of water per bag of bentonite.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49.10(2)</w:t>
      </w:r>
      <w:r>
        <w:rPr>
          <w:rFonts w:ascii="Times New Roman" w:hAnsi="Times New Roman"/>
          <w:b w:val="false"/>
          <w:i w:val="false"/>
          <w:color w:val="000000"/>
          <w:sz w:val="22"/>
        </w:rPr>
        <w:t> </w:t>
      </w:r>
      <w:r>
        <w:rPr>
          <w:rFonts w:ascii="Times New Roman" w:hAnsi="Times New Roman"/>
          <w:b w:val="false"/>
          <w:i/>
          <w:color w:val="000000"/>
          <w:sz w:val="22"/>
        </w:rPr>
        <w:t xml:space="preserve">Driven, direct push, and sandpoint wells. </w:t>
      </w:r>
      <w:r>
        <w:rPr>
          <w:rFonts w:ascii="Times New Roman" w:hAnsi="Times New Roman"/>
          <w:b w:val="false"/>
          <w:i w:val="false"/>
          <w:color w:val="000000"/>
          <w:sz w:val="22"/>
        </w:rPr>
        <w:t>Well construction in sandy areas with a high water table is not recommended for potable water supplies. These types of wells shall meet the requirements of this chapter, except for casing depth and grouting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49.10(3)</w:t>
      </w:r>
      <w:r>
        <w:rPr>
          <w:rFonts w:ascii="Times New Roman" w:hAnsi="Times New Roman"/>
          <w:b w:val="false"/>
          <w:i w:val="false"/>
          <w:color w:val="000000"/>
          <w:sz w:val="22"/>
        </w:rPr>
        <w:t> </w:t>
      </w:r>
      <w:r>
        <w:rPr>
          <w:rFonts w:ascii="Times New Roman" w:hAnsi="Times New Roman"/>
          <w:b w:val="false"/>
          <w:i/>
          <w:color w:val="000000"/>
          <w:sz w:val="22"/>
        </w:rPr>
        <w:t xml:space="preserve">Flowing artesian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Drilling operations shall extend into but not through the formation confining the water. The casing shall be installed and the annular space full-length pressure-grouted and allowed to set. After the grout is set, the drill hole shall be extended into the confined water-bearing 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Flow control from the well shall be provided by valved pipe connections or a receiving tank set at an altitude corresponding to that of the artesian head. Under no circumstances shall the water flow uncontrolled to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direct connection between the discharge pipe and a receiving tank, sewer, or other source of contamination is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567—49.11</w:t>
      </w:r>
      <w:r>
        <w:rPr>
          <w:rFonts w:ascii="Times New Roman" w:hAnsi="Times New Roman"/>
          <w:b/>
          <w:i w:val="false"/>
          <w:color w:val="000000"/>
          <w:sz w:val="22"/>
        </w:rPr>
        <w:t xml:space="preserve">(455B) </w:t>
      </w:r>
      <w:r>
        <w:rPr>
          <w:rFonts w:ascii="Times New Roman" w:hAnsi="Times New Roman"/>
          <w:b/>
          <w:i w:val="false"/>
          <w:color w:val="000000"/>
          <w:sz w:val="22"/>
        </w:rPr>
        <w:t xml:space="preserve">Material standards. </w:t>
      </w:r>
      <w:r>
        <w:rPr>
          <w:rFonts w:ascii="Times New Roman" w:hAnsi="Times New Roman"/>
          <w:b w:val="false"/>
          <w:i w:val="false"/>
          <w:color w:val="000000"/>
          <w:sz w:val="22"/>
        </w:rPr>
        <w:t>All materials utilized in well water construction shall conform to the standards and guidance of the AWWA, API, ASTM, and NGWA, except as modified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49.11(1)</w:t>
      </w:r>
      <w:r>
        <w:rPr>
          <w:rFonts w:ascii="Times New Roman" w:hAnsi="Times New Roman"/>
          <w:b w:val="false"/>
          <w:i w:val="false"/>
          <w:color w:val="000000"/>
          <w:sz w:val="22"/>
        </w:rPr>
        <w:t> </w:t>
      </w:r>
      <w:r>
        <w:rPr>
          <w:rFonts w:ascii="Times New Roman" w:hAnsi="Times New Roman"/>
          <w:b w:val="false"/>
          <w:i/>
          <w:color w:val="000000"/>
          <w:sz w:val="22"/>
        </w:rPr>
        <w:t xml:space="preserve"> Well casing.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Steel well casing and couplings.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Steel well casing pipe shall have the weights and dimensions specified in Table II. Well casing pipe shall be new steel pipe meeting one of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ASTM A-53-96,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ASTM A-106-95,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ASTM A-589-95a - Type I, II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API SPEC 5CT (5th Edition, 4/1/95),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API SPEC 5D (3rd Edition, 8/1/92),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API SPEC 5L (41st Edition, 4/1/95).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length of casing shall be legibly marked in accordance with API or ASTM marking specifications with the manufacturer’s or processor’s name or trademark, size in inches, weight in pounds per foot, whether seamless or welded (type of weld), and the API or ASTM specification or trade monogram.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casing pipe joints shall be watertight welded construction or threaded couplings.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Minimum casing pipe and coupling weights and dimensions are shown in Table II below:</w:t>
      </w:r>
    </w:p>
    <w:p>
      <w:pPr>
        <w:spacing w:before="60" w:after="0"/>
        <w:ind w:left="120"/>
        <w:jc w:val="center"/>
      </w:pPr>
      <w:r>
        <w:rPr>
          <w:rFonts w:ascii="Times New Roman" w:hAnsi="Times New Roman"/>
          <w:b/>
          <w:i w:val="false"/>
          <w:color w:val="000000"/>
          <w:sz w:val="22"/>
        </w:rPr>
        <w:t>Table II - Minimum Casing Pipe and Coupling Weights and Dimensions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83"/>
        <w:gridCol w:w="1268"/>
        <w:gridCol w:w="1267"/>
        <w:gridCol w:w="1267"/>
        <w:gridCol w:w="1267"/>
        <w:gridCol w:w="1267"/>
        <w:gridCol w:w="1267"/>
        <w:gridCol w:w="1267"/>
        <w:gridCol w:w="1267"/>
      </w:tblGrid>
      <w:tr>
        <w:trPr>
          <w:trHeight w:val="225" w:hRule="atLeast"/>
        </w:trPr>
        <w:tc>
          <w:tcPr>
            <w:tcW w:w="1383" w:type="dxa"/>
            <w:vMerge w:val="restart"/>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Size (inches)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Weight (lbs/ft)</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Pipe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Couplings</w:t>
            </w:r>
          </w:p>
        </w:tc>
      </w:tr>
      <w:tr>
        <w:trPr>
          <w:trHeight w:val="585" w:hRule="atLeast"/>
        </w:trPr>
        <w:tc>
          <w:tcPr>
            <w:tcW w:w="0" w:type="auto"/>
            <w:vMerge/>
            <w:tcBorders>
              <w:top w:val="nil"/>
              <w:bottom w:val="single" w:color="000000" w:sz="8"/>
            </w:tcBorders>
          </w:tcP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Threads &amp; coupling</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Plain end</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Thickness (inches)</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External diameter (inches)</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Internal diameter (inches)</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Threads per inch</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External diameter (inches)</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Length (inches)</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1.315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2-5/8</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1.660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1.380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2-3/4</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1.610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2-3/4</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2.067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11-1/2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2-7/8</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2.469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3-15/16</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3.068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4-1/16</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9.25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3.548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4.625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4-3/16</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4.026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4-5/16</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14.62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5.563</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5.047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4-1/2</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19.46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18.97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6.625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6.065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4-11/16</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6-5/8 OD</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19.49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6.625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6.049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4-11/16</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 OD</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19.54</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6.366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R</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7.657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4-11/16</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29.35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28.55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.322</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8.625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8.071</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9.625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5-1/16</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41.85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40.48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10.750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10.136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11.750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5-9/16</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51.15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49.56</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12.750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12.090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5-15/16</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OD</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57.00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54.57</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13.250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6-3/8</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OD</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65.30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62.58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15.250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6-3/4</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 OD</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70.59</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17.250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7-1/8</w:t>
            </w:r>
          </w:p>
        </w:tc>
      </w:tr>
      <w:tr>
        <w:trPr>
          <w:trHeight w:val="225" w:hRule="atLeast"/>
        </w:trPr>
        <w:tc>
          <w:tcPr>
            <w:tcW w:w="138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OD</w:t>
            </w:r>
          </w:p>
        </w:tc>
        <w:tc>
          <w:tcPr>
            <w:tcW w:w="12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78.60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.375</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19.250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21.000</w:t>
            </w:r>
          </w:p>
        </w:tc>
        <w:tc>
          <w:tcPr>
            <w:tcW w:w="126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7-5/8</w:t>
            </w:r>
          </w:p>
        </w:tc>
      </w:tr>
    </w:tbl>
    <w:p>
      <w:pPr>
        <w:spacing w:before="0" w:after="0"/>
        <w:ind w:left="120"/>
        <w:jc w:val="both"/>
      </w:pPr>
      <w:r>
        <w:rPr>
          <w:rFonts w:ascii="Times New Roman" w:hAnsi="Times New Roman"/>
          <w:b w:val="false"/>
          <w:i w:val="false"/>
          <w:color w:val="000000"/>
          <w:sz w:val="22"/>
        </w:rPr>
        <w:t>R = Round Threads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Thermoplastic casing and couplings.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Materials. Thermoplastic well casing pipe and couplings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new PVC or ABS material having a minimum pressure rating of 200 psi and meeting one of the following standards: ASTM F 480-12, ASTM D2241-09, AWWA C-900-16, or ASTM 1785-21;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SDR of 21, 17, or 13.5, a DR of 18 or 14, or a SCH 40 or 80 rating, depending upon the specification.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Potable water standards. The thermoplastic well casing pipe, pipe couplings, cement, primer, and other components shall be approved for well casing pipe in potable water supplies by the NSF 61-2016 or the health effects portion of NSF 14-2012 as they relate to well casing pipe, or an approved equivalent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Markings. Each length of casing shall be legibly marked with the manufacturer’s or processor’s name or trademark, the size in inches, and the ASTM F 480 specification or trade monogram.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Casing joints. Thermoplastic pipe shall be assembled with either flush-threaded joints, integral-bell, solvent-cemented joints, one-piece solvent-cemented couplings, or a nonmetallic restrained joint system in accordance with ASTM F 480-12.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cement grout is used with thermoplastic casing, the manufacturer’s specifications for use shall be followed, except in the top 40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Thermoplastic pipe extending above ground shall be protected from ultraviolet light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thermoplastic well casing be driven.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49.11(2)</w:t>
      </w:r>
      <w:r>
        <w:rPr>
          <w:rFonts w:ascii="Times New Roman" w:hAnsi="Times New Roman"/>
          <w:b w:val="false"/>
          <w:i w:val="false"/>
          <w:color w:val="000000"/>
          <w:sz w:val="22"/>
        </w:rPr>
        <w:t> </w:t>
      </w:r>
      <w:r>
        <w:rPr>
          <w:rFonts w:ascii="Times New Roman" w:hAnsi="Times New Roman"/>
          <w:b w:val="false"/>
          <w:i/>
          <w:color w:val="000000"/>
          <w:sz w:val="22"/>
        </w:rPr>
        <w:t xml:space="preserve">Grouting guides. </w:t>
      </w:r>
      <w:r>
        <w:rPr>
          <w:rFonts w:ascii="Times New Roman" w:hAnsi="Times New Roman"/>
          <w:b w:val="false"/>
          <w:i w:val="false"/>
          <w:color w:val="000000"/>
          <w:sz w:val="22"/>
        </w:rPr>
        <w:t>Casing that is to be grouted shall have a minimum of two sets of centering guides attached to the casing to allow for unobstructed flow and deposition of grout.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49.11(3)</w:t>
      </w:r>
      <w:r>
        <w:rPr>
          <w:rFonts w:ascii="Times New Roman" w:hAnsi="Times New Roman"/>
          <w:b w:val="false"/>
          <w:i w:val="false"/>
          <w:color w:val="000000"/>
          <w:sz w:val="22"/>
        </w:rPr>
        <w:t> </w:t>
      </w:r>
      <w:r>
        <w:rPr>
          <w:rFonts w:ascii="Times New Roman" w:hAnsi="Times New Roman"/>
          <w:b w:val="false"/>
          <w:i/>
          <w:color w:val="000000"/>
          <w:sz w:val="22"/>
        </w:rPr>
        <w:t xml:space="preserve">Grouting materials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Concrete grout. </w:t>
      </w:r>
      <w:r>
        <w:rPr>
          <w:rFonts w:ascii="Times New Roman" w:hAnsi="Times New Roman"/>
          <w:b w:val="false"/>
          <w:i w:val="false"/>
          <w:color w:val="000000"/>
          <w:sz w:val="22"/>
        </w:rPr>
        <w:t>This mixture shall consist of cement, sand aggregate, and water, in the proportion of one bag cement (94 lbs.) and an equal volume of aggregate to not more than six gallons of clean water. Concrete grout shall not be used below the water table. Admixtures to reduce permeability or control setting time shall meet ASTM C 494-19. Concrete grout may be used with administrative authority permission where large void spaces need to be 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Neat cement grout. </w:t>
      </w:r>
      <w:r>
        <w:rPr>
          <w:rFonts w:ascii="Times New Roman" w:hAnsi="Times New Roman"/>
          <w:b w:val="false"/>
          <w:i w:val="false"/>
          <w:color w:val="000000"/>
          <w:sz w:val="22"/>
        </w:rPr>
        <w:t>This mixture shall consist of one bag of cement (94 lbs.) to not more than six gallons of clean water. Admixtures to reduce permeability or control setting time shall meet ASTM C 494-19.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Bentonite grout. </w:t>
      </w:r>
      <w:r>
        <w:rPr>
          <w:rFonts w:ascii="Times New Roman" w:hAnsi="Times New Roman"/>
          <w:b w:val="false"/>
          <w:i w:val="false"/>
          <w:color w:val="000000"/>
          <w:sz w:val="22"/>
        </w:rPr>
        <w:t>This is a mixture of water and commercial sodium-bentonite clay manufactured for the purpose of well grouting. Mixing shall be per manufacturer’s specifications. Sodium-bentonite mixtures that have high viscosity but contain less than 10 percent solids are designed for drilling purposes and shall not be used as grout. Organic polymers used in grout mixtures shall meet NSF 60-2016.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Bentonite pellets, chips, or granular bentonite. </w:t>
      </w:r>
      <w:r>
        <w:rPr>
          <w:rFonts w:ascii="Times New Roman" w:hAnsi="Times New Roman"/>
          <w:b w:val="false"/>
          <w:i w:val="false"/>
          <w:color w:val="000000"/>
          <w:sz w:val="22"/>
        </w:rPr>
        <w:t>A layer of bentonite pellets, chips, or granular bentonite not exceeding five feet may be used between the gravel pack and grout. Bentonite pellets are otherwise not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Exclusion. </w:t>
      </w:r>
      <w:r>
        <w:rPr>
          <w:rFonts w:ascii="Times New Roman" w:hAnsi="Times New Roman"/>
          <w:b w:val="false"/>
          <w:i w:val="false"/>
          <w:color w:val="000000"/>
          <w:sz w:val="22"/>
        </w:rPr>
        <w:t>Drilling fluids and cuttings may not be used as grouting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Grouting shall be performed by pumping the mixture into the annular space from the bottom upward through the casing or through a tremie pipe until the annular space is filled. Grouting shall be done in one continuous operation, if possible. The bottom of the tremie pipe shall remain submerged in grout while grouting.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If buried-slab, percussion, or casing-hammer/rotary methods are used to construct a well, grouting shall be performed in accordance with </w:t>
      </w:r>
      <w:hyperlink r:id="rId55">
        <w:r>
          <w:rPr>
            <w:rStyle w:val="Hyperlink"/>
            <w:rFonts w:ascii="Times New Roman" w:hAnsi="Times New Roman"/>
            <w:b w:val="false"/>
            <w:i w:val="false"/>
            <w:color w:val="000000"/>
            <w:sz w:val="22"/>
          </w:rPr>
          <w:t>49.10(1)</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49.10(2)</w:t>
        </w:r>
      </w:hyperlink>
      <w:r>
        <w:rPr>
          <w:rFonts w:ascii="Times New Roman" w:hAnsi="Times New Roman"/>
          <w:b w:val="false"/>
          <w:i w:val="false"/>
          <w:color w:val="000000"/>
          <w:sz w:val="22"/>
        </w:rPr>
        <w:t xml:space="preserve">. If slurry circulation cannot be maintained, grouting shall be performed in accordance with </w:t>
      </w:r>
      <w:hyperlink r:id="rId57">
        <w:r>
          <w:rPr>
            <w:rStyle w:val="Hyperlink"/>
            <w:rFonts w:ascii="Times New Roman" w:hAnsi="Times New Roman"/>
            <w:b w:val="false"/>
            <w:i w:val="false"/>
            <w:color w:val="000000"/>
            <w:sz w:val="22"/>
          </w:rPr>
          <w:t>49.10(1)</w:t>
        </w:r>
      </w:hyperlink>
      <w:r>
        <w:rPr>
          <w:rFonts w:ascii="Times New Roman" w:hAnsi="Times New Roman"/>
          <w:b w:val="false"/>
          <w:i/>
          <w:color w:val="000000"/>
          <w:sz w:val="22"/>
        </w:rPr>
        <w:t>“c”</w:t>
      </w:r>
      <w:r>
        <w:rPr>
          <w:rFonts w:ascii="Times New Roman" w:hAnsi="Times New Roman"/>
          <w:b w:val="false"/>
          <w:i w:val="false"/>
          <w:color w:val="000000"/>
          <w:sz w:val="22"/>
        </w:rPr>
        <w:t>(5).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567—49.12</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reconstruction. </w:t>
      </w:r>
      <w:r>
        <w:rPr>
          <w:rFonts w:ascii="Times New Roman" w:hAnsi="Times New Roman"/>
          <w:b w:val="false"/>
          <w:i w:val="false"/>
          <w:color w:val="000000"/>
          <w:sz w:val="22"/>
        </w:rPr>
        <w:t>All well reconstruction shall meet the requirements of this chapter, except for SDs. If the well feature in need of reconstruction cannot be brought into compliance with these rules, the well shall be properly plugged.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49.12(1)</w:t>
      </w:r>
      <w:r>
        <w:rPr>
          <w:rFonts w:ascii="Times New Roman" w:hAnsi="Times New Roman"/>
          <w:b w:val="false"/>
          <w:i w:val="false"/>
          <w:color w:val="000000"/>
          <w:sz w:val="22"/>
        </w:rPr>
        <w:t> </w:t>
      </w:r>
      <w:r>
        <w:rPr>
          <w:rFonts w:ascii="Times New Roman" w:hAnsi="Times New Roman"/>
          <w:b w:val="false"/>
          <w:i/>
          <w:color w:val="000000"/>
          <w:sz w:val="22"/>
        </w:rPr>
        <w:t xml:space="preserve">Liner installation. </w:t>
      </w:r>
      <w:r>
        <w:rPr>
          <w:rFonts w:ascii="Times New Roman" w:hAnsi="Times New Roman"/>
          <w:b w:val="false"/>
          <w:i w:val="false"/>
          <w:color w:val="000000"/>
          <w:sz w:val="22"/>
        </w:rPr>
        <w:t xml:space="preserve">If reconstruction will involve the placement of a liner, a certified well contractor shall determine whether or not the proposed reconstruction is being done in order to correct a health-related problem. Based on the determination, the reconstruction shall be performed in accordance with either </w:t>
      </w:r>
      <w:hyperlink r:id="rId58">
        <w:r>
          <w:rPr>
            <w:rStyle w:val="Hyperlink"/>
            <w:rFonts w:ascii="Times New Roman" w:hAnsi="Times New Roman"/>
            <w:b w:val="false"/>
            <w:i w:val="false"/>
            <w:color w:val="000000"/>
            <w:sz w:val="22"/>
          </w:rPr>
          <w:t>49.12(1)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Standards for liner installation to correct a health-related problem.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minimum of two sets of centering guides to allow the proper placement of grout,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Extend to the ground surface or top of the pitless adapter.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no case shall the liner be driven into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annular space between the old casing and the liner shall be pressure-grouted in place throughout its entire length using an approved grout.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Standards for liner installation to correct a problem that is not health-related.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liner shall extend at least ten feet above the static water level or, if a caving zone is present, shall extend above this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liner may be pressure-grouted in place if there is a sufficient annular space for proper grout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Liner materials. </w:t>
      </w:r>
      <w:r>
        <w:rPr>
          <w:rFonts w:ascii="Times New Roman" w:hAnsi="Times New Roman"/>
          <w:b w:val="false"/>
          <w:i w:val="false"/>
          <w:color w:val="000000"/>
          <w:sz w:val="22"/>
        </w:rPr>
        <w:t xml:space="preserve">Liners shall meet the well casing standards in </w:t>
      </w:r>
      <w:hyperlink r:id="rId59">
        <w:r>
          <w:rPr>
            <w:rStyle w:val="Hyperlink"/>
            <w:rFonts w:ascii="Times New Roman" w:hAnsi="Times New Roman"/>
            <w:b w:val="false"/>
            <w:i w:val="false"/>
            <w:color w:val="000000"/>
            <w:sz w:val="22"/>
          </w:rPr>
          <w:t>49.11(1)</w:t>
        </w:r>
      </w:hyperlink>
      <w:r>
        <w:rPr>
          <w:rFonts w:ascii="Times New Roman" w:hAnsi="Times New Roman"/>
          <w:b w:val="false"/>
          <w:i w:val="false"/>
          <w:color w:val="000000"/>
          <w:sz w:val="22"/>
        </w:rPr>
        <w:t>. Liners may be composed of either steel or thermoplastic with a minimum inside diameter of four inches. Steel liners shall be new and have a minimum wall thickness of .188 inches. Plastic liners shall have an SDR of 26 or less or be SCH 40 or SCH 80. If the installation does not meet the definition of a liner, casing material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49.12(2)</w:t>
      </w:r>
      <w:r>
        <w:rPr>
          <w:rFonts w:ascii="Times New Roman" w:hAnsi="Times New Roman"/>
          <w:b w:val="false"/>
          <w:i w:val="false"/>
          <w:color w:val="000000"/>
          <w:sz w:val="22"/>
        </w:rPr>
        <w:t> </w:t>
      </w:r>
      <w:r>
        <w:rPr>
          <w:rFonts w:ascii="Times New Roman" w:hAnsi="Times New Roman"/>
          <w:b w:val="false"/>
          <w:i/>
          <w:color w:val="000000"/>
          <w:sz w:val="22"/>
        </w:rPr>
        <w:t xml:space="preserve">Upper terminus. </w:t>
      </w:r>
      <w:r>
        <w:rPr>
          <w:rFonts w:ascii="Times New Roman" w:hAnsi="Times New Roman"/>
          <w:b w:val="false"/>
          <w:i w:val="false"/>
          <w:color w:val="000000"/>
          <w:sz w:val="22"/>
        </w:rPr>
        <w:t>All well reconstruction performed on the upper terminus of a well shall meet the standards of this chapter, except for SDs.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567—49.13</w:t>
      </w:r>
      <w:r>
        <w:rPr>
          <w:rFonts w:ascii="Times New Roman" w:hAnsi="Times New Roman"/>
          <w:b/>
          <w:i w:val="false"/>
          <w:color w:val="000000"/>
          <w:sz w:val="22"/>
        </w:rPr>
        <w:t xml:space="preserve">(455B) </w:t>
      </w:r>
      <w:r>
        <w:rPr>
          <w:rFonts w:ascii="Times New Roman" w:hAnsi="Times New Roman"/>
          <w:b/>
          <w:i w:val="false"/>
          <w:color w:val="000000"/>
          <w:sz w:val="22"/>
        </w:rPr>
        <w:t xml:space="preserve">Drilling mud disposal. </w:t>
      </w:r>
      <w:r>
        <w:rPr>
          <w:rFonts w:ascii="Times New Roman" w:hAnsi="Times New Roman"/>
          <w:b w:val="false"/>
          <w:i w:val="false"/>
          <w:color w:val="000000"/>
          <w:sz w:val="22"/>
        </w:rPr>
        <w:t>Drilling fluid and mud remaining after construction of a well shall not be disposed of in a stream or storm sewer; nor shall these materials be discharged into a sanitary sewer without permission of the owner and operator of the wastewater treatment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567—49.14</w:t>
      </w:r>
      <w:r>
        <w:rPr>
          <w:rFonts w:ascii="Times New Roman" w:hAnsi="Times New Roman"/>
          <w:b/>
          <w:i w:val="false"/>
          <w:color w:val="000000"/>
          <w:sz w:val="22"/>
        </w:rPr>
        <w:t xml:space="preserve">(455B) </w:t>
      </w:r>
      <w:r>
        <w:rPr>
          <w:rFonts w:ascii="Times New Roman" w:hAnsi="Times New Roman"/>
          <w:b/>
          <w:i w:val="false"/>
          <w:color w:val="000000"/>
          <w:sz w:val="22"/>
        </w:rPr>
        <w:t xml:space="preserve">Pumps, pumping equipment, and wiring.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49.14(1)</w:t>
      </w:r>
      <w:r>
        <w:rPr>
          <w:rFonts w:ascii="Times New Roman" w:hAnsi="Times New Roman"/>
          <w:b w:val="false"/>
          <w:i w:val="false"/>
          <w:color w:val="000000"/>
          <w:sz w:val="22"/>
        </w:rPr>
        <w:t> </w:t>
      </w:r>
      <w:r>
        <w:rPr>
          <w:rFonts w:ascii="Times New Roman" w:hAnsi="Times New Roman"/>
          <w:b w:val="false"/>
          <w:i/>
          <w:color w:val="000000"/>
          <w:sz w:val="22"/>
        </w:rPr>
        <w:t xml:space="preserve">General pump installation requirements. </w:t>
      </w:r>
      <w:r>
        <w:rPr>
          <w:rFonts w:ascii="Times New Roman" w:hAnsi="Times New Roman"/>
          <w:b w:val="false"/>
          <w:i w:val="false"/>
          <w:color w:val="000000"/>
          <w:sz w:val="22"/>
        </w:rPr>
        <w:t>Pump installation shall be planned and carried out so the pump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Installed so that it and its surroundings are not exposed to chemical or biological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Properly sized so as to provide the volume of water necessary, where obtainable, for an adequate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Designed to meet the well characteristics and not exceed the yield of the well, except for low yield seepage/storage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Installed without repriming or breaking suction;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Installed in a manner that provides adequate protection against contamination of the water supply from any surface or subsurface 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Accessible for maintenance, repair, and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49.14(2)</w:t>
      </w:r>
      <w:r>
        <w:rPr>
          <w:rFonts w:ascii="Times New Roman" w:hAnsi="Times New Roman"/>
          <w:b w:val="false"/>
          <w:i w:val="false"/>
          <w:color w:val="000000"/>
          <w:sz w:val="22"/>
        </w:rPr>
        <w:t> </w:t>
      </w:r>
      <w:r>
        <w:rPr>
          <w:rFonts w:ascii="Times New Roman" w:hAnsi="Times New Roman"/>
          <w:b w:val="false"/>
          <w:i/>
          <w:color w:val="000000"/>
          <w:sz w:val="22"/>
        </w:rPr>
        <w:t xml:space="preserve">Lubrication. </w:t>
      </w:r>
      <w:r>
        <w:rPr>
          <w:rFonts w:ascii="Times New Roman" w:hAnsi="Times New Roman"/>
          <w:b w:val="false"/>
          <w:i w:val="false"/>
          <w:color w:val="000000"/>
          <w:sz w:val="22"/>
        </w:rPr>
        <w:t>Pump motor lubricant or coolant oil shall be NSF H1 approved or be FDA Generally Recognized As Safe (GRAS)-approved for incidental food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49.14(3)</w:t>
      </w:r>
      <w:r>
        <w:rPr>
          <w:rFonts w:ascii="Times New Roman" w:hAnsi="Times New Roman"/>
          <w:b w:val="false"/>
          <w:i w:val="false"/>
          <w:color w:val="000000"/>
          <w:sz w:val="22"/>
        </w:rPr>
        <w:t> </w:t>
      </w:r>
      <w:r>
        <w:rPr>
          <w:rFonts w:ascii="Times New Roman" w:hAnsi="Times New Roman"/>
          <w:b w:val="false"/>
          <w:i/>
          <w:color w:val="000000"/>
          <w:sz w:val="22"/>
        </w:rPr>
        <w:t xml:space="preserve">Other power pumps. </w:t>
      </w:r>
      <w:r>
        <w:rPr>
          <w:rFonts w:ascii="Times New Roman" w:hAnsi="Times New Roman"/>
          <w:b w:val="false"/>
          <w:i w:val="false"/>
          <w:color w:val="000000"/>
          <w:sz w:val="22"/>
        </w:rPr>
        <w:t>Other power pumps located over the well shall be mechanically joined to the casing or on a pump foundation or stand in a manner that effectively seals the top of the well. A sanitary seal shall be used where the pump is not located over the well, and the pump delivery or suction pipe emerges from the 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49.14(4)</w:t>
      </w:r>
      <w:r>
        <w:rPr>
          <w:rFonts w:ascii="Times New Roman" w:hAnsi="Times New Roman"/>
          <w:b w:val="false"/>
          <w:i w:val="false"/>
          <w:color w:val="000000"/>
          <w:sz w:val="22"/>
        </w:rPr>
        <w:t> </w:t>
      </w:r>
      <w:r>
        <w:rPr>
          <w:rFonts w:ascii="Times New Roman" w:hAnsi="Times New Roman"/>
          <w:b w:val="false"/>
          <w:i/>
          <w:color w:val="000000"/>
          <w:sz w:val="22"/>
        </w:rPr>
        <w:t xml:space="preserve">Hand pumps or similar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hand pump, hand pump head, hand pump stand, or similar device shall be constructed so that there are no openings into the interior of the pump or well casing where rain or surface water, dirt, insects, or animals, or other foreign matter can enter.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Hand pumps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provided with a casing vent as described in </w:t>
      </w:r>
      <w:hyperlink r:id="rId60">
        <w:r>
          <w:rPr>
            <w:rStyle w:val="Hyperlink"/>
            <w:rFonts w:ascii="Times New Roman" w:hAnsi="Times New Roman"/>
            <w:b w:val="false"/>
            <w:i w:val="false"/>
            <w:color w:val="000000"/>
            <w:sz w:val="22"/>
          </w:rPr>
          <w:t>49.17(2)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closed, downward-directed spout and a sealed pump rod packing assembly;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attached to a well casing by a sealed flange or other method approved by the administrative authority. The flange shall not be less than 12 inches above a concrete slab or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a well casing functions as a hand pump cylinder wall, the plunger shall not be less than 25 feet below the ground surface. Casing wall weep holes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49.14(5)</w:t>
      </w:r>
      <w:r>
        <w:rPr>
          <w:rFonts w:ascii="Times New Roman" w:hAnsi="Times New Roman"/>
          <w:b w:val="false"/>
          <w:i w:val="false"/>
          <w:color w:val="000000"/>
          <w:sz w:val="22"/>
        </w:rPr>
        <w:t> </w:t>
      </w:r>
      <w:r>
        <w:rPr>
          <w:rFonts w:ascii="Times New Roman" w:hAnsi="Times New Roman"/>
          <w:b w:val="false"/>
          <w:i/>
          <w:color w:val="000000"/>
          <w:sz w:val="22"/>
        </w:rPr>
        <w:t xml:space="preserve">Pump wiring. </w:t>
      </w:r>
      <w:r>
        <w:rPr>
          <w:rFonts w:ascii="Times New Roman" w:hAnsi="Times New Roman"/>
          <w:b w:val="false"/>
          <w:i w:val="false"/>
          <w:color w:val="000000"/>
          <w:sz w:val="22"/>
        </w:rPr>
        <w:t>Pump wiring within the well shall be double-jacketed copper wire meeting the NEC specifications for wire sizing unless the pump manufacturer requires a non-jacketed wire. Wire outside of the casing shall meet NEC specifications, at a minimum. Wire shall be secured to the drop pipe at a minimum of 20-foot intervals.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567—49.15</w:t>
      </w:r>
      <w:r>
        <w:rPr>
          <w:rFonts w:ascii="Times New Roman" w:hAnsi="Times New Roman"/>
          <w:b/>
          <w:i w:val="false"/>
          <w:color w:val="000000"/>
          <w:sz w:val="22"/>
        </w:rPr>
        <w:t xml:space="preserve">(455B) </w:t>
      </w:r>
      <w:r>
        <w:rPr>
          <w:rFonts w:ascii="Times New Roman" w:hAnsi="Times New Roman"/>
          <w:b/>
          <w:i w:val="false"/>
          <w:color w:val="000000"/>
          <w:sz w:val="22"/>
        </w:rPr>
        <w:t xml:space="preserve">Drop pipe.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49.15(1)</w:t>
      </w:r>
      <w:r>
        <w:rPr>
          <w:rFonts w:ascii="Times New Roman" w:hAnsi="Times New Roman"/>
          <w:b w:val="false"/>
          <w:i w:val="false"/>
          <w:color w:val="000000"/>
          <w:sz w:val="22"/>
        </w:rPr>
        <w:t> </w:t>
      </w:r>
      <w:r>
        <w:rPr>
          <w:rFonts w:ascii="Times New Roman" w:hAnsi="Times New Roman"/>
          <w:b w:val="false"/>
          <w:i/>
          <w:color w:val="000000"/>
          <w:sz w:val="22"/>
        </w:rPr>
        <w:t xml:space="preserve">Discharge pipe. </w:t>
      </w:r>
      <w:r>
        <w:rPr>
          <w:rFonts w:ascii="Times New Roman" w:hAnsi="Times New Roman"/>
          <w:b w:val="false"/>
          <w:i w:val="false"/>
          <w:color w:val="000000"/>
          <w:sz w:val="22"/>
        </w:rPr>
        <w:t>Galvanized, black, or stainless steel drop pipe shall be minimum SCH 40 wall thickness when threaded. Minimum SCH 10 stainless is allowed with mechanical joint type systems. PVC drop pipe shall be minimum SCH 80 wall thickness. SCH 80 machined PVC, brass, stainless steel couplings, or equivalent thickness cast couplings (including mechanical joints), shall be used with PVC pipe. Polyethylene drop pipe shall meet the minimum specifications of ASTM D3350-21. Only brass or stainless steel fittings can be used on polyethylene drop pipe. If polyethylene drop pipe is used, the outside diameter of the pump shall be at least one inch smaller than the inside diameter of the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49.15(2)</w:t>
      </w:r>
      <w:r>
        <w:rPr>
          <w:rFonts w:ascii="Times New Roman" w:hAnsi="Times New Roman"/>
          <w:b w:val="false"/>
          <w:i w:val="false"/>
          <w:color w:val="000000"/>
          <w:sz w:val="22"/>
        </w:rPr>
        <w:t> </w:t>
      </w:r>
      <w:r>
        <w:rPr>
          <w:rFonts w:ascii="Times New Roman" w:hAnsi="Times New Roman"/>
          <w:b w:val="false"/>
          <w:i/>
          <w:color w:val="000000"/>
          <w:sz w:val="22"/>
        </w:rPr>
        <w:t xml:space="preserve">Check valve. </w:t>
      </w:r>
      <w:r>
        <w:rPr>
          <w:rFonts w:ascii="Times New Roman" w:hAnsi="Times New Roman"/>
          <w:b w:val="false"/>
          <w:i w:val="false"/>
          <w:color w:val="000000"/>
          <w:sz w:val="22"/>
        </w:rPr>
        <w:t>For potable water installations, all pumps shall have a check valve within 20 feet of the pump for pump installations without drain-back aeration. For pump installations with drain-back aeration, the check valve shall be below the pitless adapter.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567—49.16</w:t>
      </w:r>
      <w:r>
        <w:rPr>
          <w:rFonts w:ascii="Times New Roman" w:hAnsi="Times New Roman"/>
          <w:b/>
          <w:i w:val="false"/>
          <w:color w:val="000000"/>
          <w:sz w:val="22"/>
        </w:rPr>
        <w:t xml:space="preserve">(455B) </w:t>
      </w:r>
      <w:r>
        <w:rPr>
          <w:rFonts w:ascii="Times New Roman" w:hAnsi="Times New Roman"/>
          <w:b/>
          <w:i w:val="false"/>
          <w:color w:val="000000"/>
          <w:sz w:val="22"/>
        </w:rPr>
        <w:t xml:space="preserve">Pitless adapters and pitless units.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49.16(1)</w:t>
      </w:r>
      <w:r>
        <w:rPr>
          <w:rFonts w:ascii="Times New Roman" w:hAnsi="Times New Roman"/>
          <w:b w:val="false"/>
          <w:i w:val="false"/>
          <w:color w:val="000000"/>
          <w:sz w:val="22"/>
        </w:rPr>
        <w:t> </w:t>
      </w:r>
      <w:r>
        <w:rPr>
          <w:rFonts w:ascii="Times New Roman" w:hAnsi="Times New Roman"/>
          <w:b w:val="false"/>
          <w:i w:val="false"/>
          <w:color w:val="000000"/>
          <w:sz w:val="22"/>
        </w:rPr>
        <w:t>Pitless adapters and pitless units conforming to WSC Pitless Adapter Standard—1997 (PAS-97) are considered compliant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49.16(2)</w:t>
      </w:r>
      <w:r>
        <w:rPr>
          <w:rFonts w:ascii="Times New Roman" w:hAnsi="Times New Roman"/>
          <w:b w:val="false"/>
          <w:i w:val="false"/>
          <w:color w:val="000000"/>
          <w:sz w:val="22"/>
        </w:rPr>
        <w:t> </w:t>
      </w:r>
      <w:r>
        <w:rPr>
          <w:rFonts w:ascii="Times New Roman" w:hAnsi="Times New Roman"/>
          <w:b w:val="false"/>
          <w:i w:val="false"/>
          <w:color w:val="000000"/>
          <w:sz w:val="22"/>
        </w:rPr>
        <w:t>No well casing shall be cut off or cut into below ground surface except to install a pitless well adapter below the frost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49.16(3)</w:t>
      </w:r>
      <w:r>
        <w:rPr>
          <w:rFonts w:ascii="Times New Roman" w:hAnsi="Times New Roman"/>
          <w:b w:val="false"/>
          <w:i w:val="false"/>
          <w:color w:val="000000"/>
          <w:sz w:val="22"/>
        </w:rPr>
        <w:t> </w:t>
      </w:r>
      <w:r>
        <w:rPr>
          <w:rFonts w:ascii="Times New Roman" w:hAnsi="Times New Roman"/>
          <w:b w:val="false"/>
          <w:i w:val="false"/>
          <w:color w:val="000000"/>
          <w:sz w:val="22"/>
        </w:rPr>
        <w:t>A pitless subsurface pipe connection to a well casing pipe shall be made with a weld-on, clamp-on, or bolt-on pitless adapter or weld-on or threaded pitless unit. Aboveground discharge pitless adapters with a drain-back into the well are prohibited on systems under continuous pressure.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49.16(4)</w:t>
      </w:r>
      <w:r>
        <w:rPr>
          <w:rFonts w:ascii="Times New Roman" w:hAnsi="Times New Roman"/>
          <w:b w:val="false"/>
          <w:i w:val="false"/>
          <w:color w:val="000000"/>
          <w:sz w:val="22"/>
        </w:rPr>
        <w:t> </w:t>
      </w:r>
      <w:r>
        <w:rPr>
          <w:rFonts w:ascii="Times New Roman" w:hAnsi="Times New Roman"/>
          <w:b w:val="false"/>
          <w:i w:val="false"/>
          <w:color w:val="000000"/>
          <w:sz w:val="22"/>
        </w:rPr>
        <w:t>If the pitless adapter is gasketed, the opening in the casing shall be sawed to the diameter recommended by the manufacturer with a hole saw and not cut with a torch. The pitless adapter used shall have the correct curvature to fit the diameter of the casing.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567—49.17</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caps, seals, and 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49.17(1)</w:t>
      </w:r>
      <w:r>
        <w:rPr>
          <w:rFonts w:ascii="Times New Roman" w:hAnsi="Times New Roman"/>
          <w:b w:val="false"/>
          <w:i w:val="false"/>
          <w:color w:val="000000"/>
          <w:sz w:val="22"/>
        </w:rPr>
        <w:t> </w:t>
      </w:r>
      <w:r>
        <w:rPr>
          <w:rFonts w:ascii="Times New Roman" w:hAnsi="Times New Roman"/>
          <w:b w:val="false"/>
          <w:i/>
          <w:color w:val="000000"/>
          <w:sz w:val="22"/>
        </w:rPr>
        <w:t xml:space="preserve">Caps and seals.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well cap shall be used on any well not protected by a wellhouse and shall seal tightly against the casing to prevent surface water, dirt, insects, or any foreign matter from entering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well casing shall terminate at least one foot above the finished grade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split-top sanitary seal may only be used on a well terminating within a wellhouse.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openings in the cap or seal, such as for pump wiring, water depth measurement, or chemical feed, shall be properly grommeted or sealed, except for properly screened and oriented vent openings.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no openings through the well cap except for a factory-installed vent, air-line chemical feed, and power supply wiring unless a proposal is submitted to and approved by the administrative authority. To be approved, a proposal shall show that any entrance into the well cap is watertight, prevents surface water from entering the water supply, is secured in position, is only removable with tools, and is resistant to weathering and corrosion.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Well pump systems that are not under continuous pressure and have no pressure tank may discharge out of the top of the well if all connections are watertight welds or grommeted openings. Venting, heights, and other cap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49.17(2)</w:t>
      </w:r>
      <w:r>
        <w:rPr>
          <w:rFonts w:ascii="Times New Roman" w:hAnsi="Times New Roman"/>
          <w:b w:val="false"/>
          <w:i w:val="false"/>
          <w:color w:val="000000"/>
          <w:sz w:val="22"/>
        </w:rPr>
        <w:t> </w:t>
      </w:r>
      <w:r>
        <w:rPr>
          <w:rFonts w:ascii="Times New Roman" w:hAnsi="Times New Roman"/>
          <w:b w:val="false"/>
          <w:i/>
          <w:color w:val="000000"/>
          <w:sz w:val="22"/>
        </w:rPr>
        <w:t xml:space="preserve">Vents. </w:t>
      </w:r>
      <w:r>
        <w:rPr>
          <w:rFonts w:ascii="Times New Roman" w:hAnsi="Times New Roman"/>
          <w:b w:val="false"/>
          <w:i w:val="false"/>
          <w:color w:val="000000"/>
          <w:sz w:val="22"/>
        </w:rPr>
        <w:t>A well cap used on a well that has a pitless adapter or pitless unit shall have a screened vent hole at least ½ inch in diameter, pointing downward, with not less than 24-mesh noncorrosive screen. Vent openings shall terminate at least 12 inches above finished ground surface. Venting is required on all wells, except Class 3 wells or flowing wells.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567—49.18</w:t>
      </w:r>
      <w:r>
        <w:rPr>
          <w:rFonts w:ascii="Times New Roman" w:hAnsi="Times New Roman"/>
          <w:b/>
          <w:i w:val="false"/>
          <w:color w:val="000000"/>
          <w:sz w:val="22"/>
        </w:rPr>
        <w:t xml:space="preserve">(455B) </w:t>
      </w:r>
      <w:r>
        <w:rPr>
          <w:rFonts w:ascii="Times New Roman" w:hAnsi="Times New Roman"/>
          <w:b/>
          <w:i w:val="false"/>
          <w:color w:val="000000"/>
          <w:sz w:val="22"/>
        </w:rPr>
        <w:t xml:space="preserve">Underground piping and wiring.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49.18(1)</w:t>
      </w:r>
      <w:r>
        <w:rPr>
          <w:rFonts w:ascii="Times New Roman" w:hAnsi="Times New Roman"/>
          <w:b w:val="false"/>
          <w:i w:val="false"/>
          <w:color w:val="000000"/>
          <w:sz w:val="22"/>
        </w:rPr>
        <w:t> </w:t>
      </w:r>
      <w:r>
        <w:rPr>
          <w:rFonts w:ascii="Times New Roman" w:hAnsi="Times New Roman"/>
          <w:b w:val="false"/>
          <w:i w:val="false"/>
          <w:color w:val="000000"/>
          <w:sz w:val="22"/>
        </w:rPr>
        <w:t>Underground piping from the well casing to the pressure tank shall be a minimum 100 psi pressure rating, NSF Standard 61, and meet ASTM standards for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49.18(2)</w:t>
      </w:r>
      <w:r>
        <w:rPr>
          <w:rFonts w:ascii="Times New Roman" w:hAnsi="Times New Roman"/>
          <w:b w:val="false"/>
          <w:i w:val="false"/>
          <w:color w:val="000000"/>
          <w:sz w:val="22"/>
        </w:rPr>
        <w:t> </w:t>
      </w:r>
      <w:r>
        <w:rPr>
          <w:rFonts w:ascii="Times New Roman" w:hAnsi="Times New Roman"/>
          <w:b w:val="false"/>
          <w:i w:val="false"/>
          <w:color w:val="000000"/>
          <w:sz w:val="22"/>
        </w:rPr>
        <w:t>Underground wiring from a well shall either be enclosed in a watertight electrical conduit extending from the entrance of the conduit into the casing to a minimum of three feet below ground level, threaded into the well cap, or sealed into the cap or casing in a watertight manner. The internal passage of the conduit shall be sealed around the wire with a nonhardening, pliable sealing compound.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567—49.19</w:t>
      </w:r>
      <w:r>
        <w:rPr>
          <w:rFonts w:ascii="Times New Roman" w:hAnsi="Times New Roman"/>
          <w:b/>
          <w:i w:val="false"/>
          <w:color w:val="000000"/>
          <w:sz w:val="22"/>
        </w:rPr>
        <w:t xml:space="preserve">(455B) </w:t>
      </w:r>
      <w:r>
        <w:rPr>
          <w:rFonts w:ascii="Times New Roman" w:hAnsi="Times New Roman"/>
          <w:b/>
          <w:i w:val="false"/>
          <w:color w:val="000000"/>
          <w:sz w:val="22"/>
        </w:rPr>
        <w:t xml:space="preserve">Filters, water treatment equipment, and sampling faucets.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49.19(1)</w:t>
      </w:r>
      <w:r>
        <w:rPr>
          <w:rFonts w:ascii="Times New Roman" w:hAnsi="Times New Roman"/>
          <w:b w:val="false"/>
          <w:i w:val="false"/>
          <w:color w:val="000000"/>
          <w:sz w:val="22"/>
        </w:rPr>
        <w:t> </w:t>
      </w:r>
      <w:r>
        <w:rPr>
          <w:rFonts w:ascii="Times New Roman" w:hAnsi="Times New Roman"/>
          <w:b w:val="false"/>
          <w:i w:val="false"/>
          <w:color w:val="000000"/>
          <w:sz w:val="22"/>
        </w:rPr>
        <w:t>Filters and water treatment equipment shall be installed and operated in accordance with manufacturers’ directions.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49.19(2)</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pressure water systems, provision shall be made for collection of water samples directly from the well by installation of a sampling faucet before the pressure tank, prior to encountering any water treatment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sampling faucet shall be installed at least 12 inches above the floor, have a downturned spout, and be in an accessible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sample faucets shall be metal and have a smooth (nonthreaded) outlet.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567—49.20</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Hydropneumatic (pressure) tanks.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49.20(1)</w:t>
      </w:r>
      <w:r>
        <w:rPr>
          <w:rFonts w:ascii="Times New Roman" w:hAnsi="Times New Roman"/>
          <w:b w:val="false"/>
          <w:i w:val="false"/>
          <w:color w:val="000000"/>
          <w:sz w:val="22"/>
        </w:rPr>
        <w:t> </w:t>
      </w:r>
      <w:r>
        <w:rPr>
          <w:rFonts w:ascii="Times New Roman" w:hAnsi="Times New Roman"/>
          <w:b w:val="false"/>
          <w:i/>
          <w:color w:val="000000"/>
          <w:sz w:val="22"/>
        </w:rPr>
        <w:t xml:space="preserve">Sizing. </w:t>
      </w:r>
      <w:r>
        <w:rPr>
          <w:rFonts w:ascii="Times New Roman" w:hAnsi="Times New Roman"/>
          <w:b w:val="false"/>
          <w:i w:val="false"/>
          <w:color w:val="000000"/>
          <w:sz w:val="22"/>
        </w:rPr>
        <w:t>With the exception of tanks that utilize VFDs, pressure tanks shall have an effective water volume large enough to allow the well pump to operate at least one minute between low-pressure activation and high-pressure shut off while no water is being used by the system. The minimum pressure shall be set according to the manufacturer’s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49.20(2)</w:t>
      </w:r>
      <w:r>
        <w:rPr>
          <w:rFonts w:ascii="Times New Roman" w:hAnsi="Times New Roman"/>
          <w:b w:val="false"/>
          <w:i w:val="false"/>
          <w:color w:val="000000"/>
          <w:sz w:val="22"/>
        </w:rPr>
        <w:t> </w:t>
      </w:r>
      <w:r>
        <w:rPr>
          <w:rFonts w:ascii="Times New Roman" w:hAnsi="Times New Roman"/>
          <w:b w:val="false"/>
          <w:i/>
          <w:color w:val="000000"/>
          <w:sz w:val="22"/>
        </w:rPr>
        <w:t xml:space="preserve">Constant pressure pump. </w:t>
      </w:r>
      <w:r>
        <w:rPr>
          <w:rFonts w:ascii="Times New Roman" w:hAnsi="Times New Roman"/>
          <w:b w:val="false"/>
          <w:i w:val="false"/>
          <w:color w:val="000000"/>
          <w:sz w:val="22"/>
        </w:rPr>
        <w:t>Constant pressure/variable speed pumps shall be sized and operated at the minimum pressure according to manufacturer’s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49.20(3)</w:t>
      </w:r>
      <w:r>
        <w:rPr>
          <w:rFonts w:ascii="Times New Roman" w:hAnsi="Times New Roman"/>
          <w:b w:val="false"/>
          <w:i w:val="false"/>
          <w:color w:val="000000"/>
          <w:sz w:val="22"/>
        </w:rPr>
        <w:t> </w:t>
      </w:r>
      <w:r>
        <w:rPr>
          <w:rFonts w:ascii="Times New Roman" w:hAnsi="Times New Roman"/>
          <w:b w:val="false"/>
          <w:i/>
          <w:color w:val="000000"/>
          <w:sz w:val="22"/>
        </w:rPr>
        <w:t xml:space="preserve">Pressure relief valve. </w:t>
      </w:r>
      <w:r>
        <w:rPr>
          <w:rFonts w:ascii="Times New Roman" w:hAnsi="Times New Roman"/>
          <w:b w:val="false"/>
          <w:i w:val="false"/>
          <w:color w:val="000000"/>
          <w:sz w:val="22"/>
        </w:rPr>
        <w:t>Tanks shall have a pressure relief valve sized according to the pump capacity, if the pump is capable of developing pressure greater than the working pressure of any system component. The pressure relief valve shall be located prior to any shut-off valve on the distribution system side of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49.20(4)</w:t>
      </w:r>
      <w:r>
        <w:rPr>
          <w:rFonts w:ascii="Times New Roman" w:hAnsi="Times New Roman"/>
          <w:b w:val="false"/>
          <w:i w:val="false"/>
          <w:color w:val="000000"/>
          <w:sz w:val="22"/>
        </w:rPr>
        <w:t> </w:t>
      </w:r>
      <w:r>
        <w:rPr>
          <w:rFonts w:ascii="Times New Roman" w:hAnsi="Times New Roman"/>
          <w:b w:val="false"/>
          <w:i/>
          <w:color w:val="000000"/>
          <w:sz w:val="22"/>
        </w:rPr>
        <w:t xml:space="preserve">Pressure gauge. </w:t>
      </w:r>
      <w:r>
        <w:rPr>
          <w:rFonts w:ascii="Times New Roman" w:hAnsi="Times New Roman"/>
          <w:b w:val="false"/>
          <w:i w:val="false"/>
          <w:color w:val="000000"/>
          <w:sz w:val="22"/>
        </w:rPr>
        <w:t>Tanks shall have a pressure gauge capable of reading at least 100 psi.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49.20(5)</w:t>
      </w:r>
      <w:r>
        <w:rPr>
          <w:rFonts w:ascii="Times New Roman" w:hAnsi="Times New Roman"/>
          <w:b w:val="false"/>
          <w:i w:val="false"/>
          <w:color w:val="000000"/>
          <w:sz w:val="22"/>
        </w:rPr>
        <w:t> </w:t>
      </w:r>
      <w:r>
        <w:rPr>
          <w:rFonts w:ascii="Times New Roman" w:hAnsi="Times New Roman"/>
          <w:b w:val="false"/>
          <w:i/>
          <w:color w:val="000000"/>
          <w:sz w:val="22"/>
        </w:rPr>
        <w:t xml:space="preserve">Tank appurtenances. </w:t>
      </w:r>
      <w:r>
        <w:rPr>
          <w:rFonts w:ascii="Times New Roman" w:hAnsi="Times New Roman"/>
          <w:b w:val="false"/>
          <w:i w:val="false"/>
          <w:color w:val="000000"/>
          <w:sz w:val="22"/>
        </w:rPr>
        <w:t>If a non-bladder tank is used, it shall be equipped with a means of adding or venting air from the tank to maintain the proper air-water ratio.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49.20(6)</w:t>
      </w:r>
      <w:r>
        <w:rPr>
          <w:rFonts w:ascii="Times New Roman" w:hAnsi="Times New Roman"/>
          <w:b w:val="false"/>
          <w:i w:val="false"/>
          <w:color w:val="000000"/>
          <w:sz w:val="22"/>
        </w:rPr>
        <w:t> </w:t>
      </w:r>
      <w:r>
        <w:rPr>
          <w:rFonts w:ascii="Times New Roman" w:hAnsi="Times New Roman"/>
          <w:b w:val="false"/>
          <w:i/>
          <w:color w:val="000000"/>
          <w:sz w:val="22"/>
        </w:rPr>
        <w:t xml:space="preserve">Tank location. </w:t>
      </w:r>
      <w:r>
        <w:rPr>
          <w:rFonts w:ascii="Times New Roman" w:hAnsi="Times New Roman"/>
          <w:b w:val="false"/>
          <w:i w:val="false"/>
          <w:color w:val="000000"/>
          <w:sz w:val="22"/>
        </w:rPr>
        <w:t>Buried pressure tanks are prohibited. If pressure tanks are not located in a residence or other heated structure, they shall be located in a buried vault or aboveground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Buried vault (frost pit). </w:t>
      </w:r>
      <w:r>
        <w:rPr>
          <w:rFonts w:ascii="Times New Roman" w:hAnsi="Times New Roman"/>
          <w:b w:val="false"/>
          <w:i w:val="false"/>
          <w:color w:val="000000"/>
          <w:sz w:val="22"/>
        </w:rPr>
        <w:t>The vault and vault opening shall be sized to allow ease of access for the installation and maintenance of necessary equipment. The vault shall be as watertight as possible, allow for drainage via drain tile or sump pump, and have at least one foot of rock or gravel above the tile. All wiring in the vault shall be in watertight conduit. No buried vault shall be allowed within a 100-year flood 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Aboveground structure. </w:t>
      </w:r>
      <w:r>
        <w:rPr>
          <w:rFonts w:ascii="Times New Roman" w:hAnsi="Times New Roman"/>
          <w:b w:val="false"/>
          <w:i w:val="false"/>
          <w:color w:val="000000"/>
          <w:sz w:val="22"/>
        </w:rPr>
        <w:t>The structure and access opening shall be sized to allow the installation and maintenance of necessary equipment. The structure shall be insulated and heated to prevent tank freezing. Structures with concrete floors shall be at least four inches above the surrounding ground and be sloped to a drain or to the door to facilitate drainage. If the structure is located over the well, it shall have a hinged roof or removable hatch over the well or have other provisions for pulling the well pump.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567—49.21</w:t>
      </w:r>
      <w:r>
        <w:rPr>
          <w:rFonts w:ascii="Times New Roman" w:hAnsi="Times New Roman"/>
          <w:b/>
          <w:i w:val="false"/>
          <w:color w:val="000000"/>
          <w:sz w:val="22"/>
        </w:rPr>
        <w:t xml:space="preserve">(455B) </w:t>
      </w:r>
      <w:r>
        <w:rPr>
          <w:rFonts w:ascii="Times New Roman" w:hAnsi="Times New Roman"/>
          <w:b/>
          <w:i w:val="false"/>
          <w:color w:val="000000"/>
          <w:sz w:val="22"/>
        </w:rPr>
        <w:t xml:space="preserve">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49.21(1)</w:t>
      </w:r>
      <w:r>
        <w:rPr>
          <w:rFonts w:ascii="Times New Roman" w:hAnsi="Times New Roman"/>
          <w:b w:val="false"/>
          <w:i w:val="false"/>
          <w:color w:val="000000"/>
          <w:sz w:val="22"/>
        </w:rPr>
        <w:t> </w:t>
      </w:r>
      <w:r>
        <w:rPr>
          <w:rFonts w:ascii="Times New Roman" w:hAnsi="Times New Roman"/>
          <w:b w:val="false"/>
          <w:i/>
          <w:color w:val="000000"/>
          <w:sz w:val="22"/>
        </w:rPr>
        <w:t xml:space="preserve">Electrical connections. </w:t>
      </w:r>
      <w:r>
        <w:rPr>
          <w:rFonts w:ascii="Times New Roman" w:hAnsi="Times New Roman"/>
          <w:b w:val="false"/>
          <w:i w:val="false"/>
          <w:color w:val="000000"/>
          <w:sz w:val="22"/>
        </w:rPr>
        <w:t>At a minimum, all electrical installation shall be performed and maintained in accordance with the NEC. A certified pump installer may perform wiring from the pump to the electrical panel unless local ordinances require additional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49.21(2)</w:t>
      </w:r>
      <w:r>
        <w:rPr>
          <w:rFonts w:ascii="Times New Roman" w:hAnsi="Times New Roman"/>
          <w:b w:val="false"/>
          <w:i w:val="false"/>
          <w:color w:val="000000"/>
          <w:sz w:val="22"/>
        </w:rPr>
        <w:t> </w:t>
      </w:r>
      <w:r>
        <w:rPr>
          <w:rFonts w:ascii="Times New Roman" w:hAnsi="Times New Roman"/>
          <w:b w:val="false"/>
          <w:i/>
          <w:color w:val="000000"/>
          <w:sz w:val="22"/>
        </w:rPr>
        <w:t xml:space="preserve">Interconnections and cross connections. </w:t>
      </w:r>
      <w:r>
        <w:rPr>
          <w:rFonts w:ascii="Times New Roman" w:hAnsi="Times New Roman"/>
          <w:b w:val="false"/>
          <w:i w:val="false"/>
          <w:color w:val="000000"/>
          <w:sz w:val="22"/>
        </w:rPr>
        <w:t>No connection between a well or boring and another well, boring, water supply system, any chemical injection, or contamination source is allowed unless the connection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Protected by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Protected by a backflow preventer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Inspected upon completion, and inspected annually by a certified backflow prevention assembly tester in accordance with </w:t>
      </w:r>
      <w:hyperlink r:id="rId61">
        <w:r>
          <w:rPr>
            <w:rStyle w:val="Hyperlink"/>
            <w:rFonts w:ascii="Times New Roman" w:hAnsi="Times New Roman"/>
            <w:b w:val="false"/>
            <w:i w:val="false"/>
            <w:color w:val="000000"/>
            <w:sz w:val="22"/>
          </w:rPr>
          <w:t>481—Chapter 476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Between wells or borings that meet the construction standards of this chapter, are used for the same purpose, and have equivalent quality water supply.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567—49.22</w:t>
      </w:r>
      <w:r>
        <w:rPr>
          <w:rFonts w:ascii="Times New Roman" w:hAnsi="Times New Roman"/>
          <w:b/>
          <w:i w:val="false"/>
          <w:color w:val="000000"/>
          <w:sz w:val="22"/>
        </w:rPr>
        <w:t xml:space="preserve">(455B) </w:t>
      </w:r>
      <w:r>
        <w:rPr>
          <w:rFonts w:ascii="Times New Roman" w:hAnsi="Times New Roman"/>
          <w:b/>
          <w:i w:val="false"/>
          <w:color w:val="000000"/>
          <w:sz w:val="22"/>
        </w:rPr>
        <w:t xml:space="preserve">Backflow prevention for chemical injection systems for nonpotable wells.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49.22(1)</w:t>
      </w:r>
      <w:r>
        <w:rPr>
          <w:rFonts w:ascii="Times New Roman" w:hAnsi="Times New Roman"/>
          <w:b w:val="false"/>
          <w:i w:val="false"/>
          <w:color w:val="000000"/>
          <w:sz w:val="22"/>
        </w:rPr>
        <w:t> </w:t>
      </w:r>
      <w:r>
        <w:rPr>
          <w:rFonts w:ascii="Times New Roman" w:hAnsi="Times New Roman"/>
          <w:b w:val="false"/>
          <w:i/>
          <w:color w:val="000000"/>
          <w:sz w:val="22"/>
        </w:rPr>
        <w:t xml:space="preserve">Backflow prevention for irrigation. </w:t>
      </w:r>
      <w:r>
        <w:rPr>
          <w:rFonts w:ascii="Times New Roman" w:hAnsi="Times New Roman"/>
          <w:b w:val="false"/>
          <w:i w:val="false"/>
          <w:color w:val="000000"/>
          <w:sz w:val="22"/>
        </w:rPr>
        <w:t>Where a chemical injection system is connected directly to a well used for irrigation that is not used as a potable water supply, a single-check spring-loaded backflow preventer shall be installed between the point of chemical injection on the pump discharge piping and the well, in accordance with the manufacturer’s instructions. The check valve shall withstand a minimum hydraulic pressure of 150 psi without leaking. The backflow device shall be provided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Valving so that water can be drained from the system to prevent freezing;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vacuum relief valve to prevent backsiphoning of chemicals into the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automatic low-pressure drain at least ¾ inch in diameter, positioned so that when draining occurs liquid will flow away from the well. This drain shall be at least six inches above grade, and shall quickly drain the check valve water when operation of the well pump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watertight seal around the check valve;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inspection port four inches in diameter to allow inspection of check valve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49.22(2)</w:t>
      </w:r>
      <w:r>
        <w:rPr>
          <w:rFonts w:ascii="Times New Roman" w:hAnsi="Times New Roman"/>
          <w:b w:val="false"/>
          <w:i w:val="false"/>
          <w:color w:val="000000"/>
          <w:sz w:val="22"/>
        </w:rPr>
        <w:t> </w:t>
      </w:r>
      <w:r>
        <w:rPr>
          <w:rFonts w:ascii="Times New Roman" w:hAnsi="Times New Roman"/>
          <w:b w:val="false"/>
          <w:i/>
          <w:color w:val="000000"/>
          <w:sz w:val="22"/>
        </w:rPr>
        <w:t xml:space="preserve">Pump control interconnection. </w:t>
      </w:r>
      <w:r>
        <w:rPr>
          <w:rFonts w:ascii="Times New Roman" w:hAnsi="Times New Roman"/>
          <w:b w:val="false"/>
          <w:i w:val="false"/>
          <w:color w:val="000000"/>
          <w:sz w:val="22"/>
        </w:rPr>
        <w:t>The well pump and the chemical injection pump shall be electrically connected so that, when the well pump stops, the chemical pump will shut off automatically.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567—49.23</w:t>
      </w:r>
      <w:r>
        <w:rPr>
          <w:rFonts w:ascii="Times New Roman" w:hAnsi="Times New Roman"/>
          <w:b/>
          <w:i w:val="false"/>
          <w:color w:val="000000"/>
          <w:sz w:val="22"/>
        </w:rPr>
        <w:t xml:space="preserve">(455B) </w:t>
      </w:r>
      <w:r>
        <w:rPr>
          <w:rFonts w:ascii="Times New Roman" w:hAnsi="Times New Roman"/>
          <w:b/>
          <w:i w:val="false"/>
          <w:color w:val="000000"/>
          <w:sz w:val="22"/>
        </w:rPr>
        <w:t xml:space="preserve">Ground heat exchange (GHEX) closed-loop borehole systems. </w:t>
      </w:r>
      <w:r>
        <w:rPr>
          <w:rFonts w:ascii="Times New Roman" w:hAnsi="Times New Roman"/>
          <w:b w:val="false"/>
          <w:i w:val="false"/>
          <w:color w:val="000000"/>
          <w:sz w:val="22"/>
        </w:rPr>
        <w:t>In addition to the other provisions of this chapter, the following provisions apply to the construction of GHEX loop systems 20 feet or greater in depth.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49.23(1)</w:t>
      </w:r>
      <w:r>
        <w:rPr>
          <w:rFonts w:ascii="Times New Roman" w:hAnsi="Times New Roman"/>
          <w:b w:val="false"/>
          <w:i w:val="false"/>
          <w:color w:val="000000"/>
          <w:sz w:val="22"/>
        </w:rPr>
        <w:t> </w:t>
      </w:r>
      <w:r>
        <w:rPr>
          <w:rFonts w:ascii="Times New Roman" w:hAnsi="Times New Roman"/>
          <w:b w:val="false"/>
          <w:i w:val="false"/>
          <w:color w:val="000000"/>
          <w:sz w:val="22"/>
        </w:rPr>
        <w:t>Piping shall be a minimum of 160 psi pressure-rated HDPE and be pressure-tested with air or potable water for 15 minutes at a pressure of 1.5 times the system operating pressure, after installation in the borehole.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49.23(2)</w:t>
      </w:r>
      <w:r>
        <w:rPr>
          <w:rFonts w:ascii="Times New Roman" w:hAnsi="Times New Roman"/>
          <w:b w:val="false"/>
          <w:i w:val="false"/>
          <w:color w:val="000000"/>
          <w:sz w:val="22"/>
        </w:rPr>
        <w:t> </w:t>
      </w:r>
      <w:r>
        <w:rPr>
          <w:rFonts w:ascii="Times New Roman" w:hAnsi="Times New Roman"/>
          <w:b w:val="false"/>
          <w:i w:val="false"/>
          <w:color w:val="000000"/>
          <w:sz w:val="22"/>
        </w:rPr>
        <w:t>Connection to piping shall use socket fusion or butt fusion joining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49.23(3)</w:t>
      </w:r>
      <w:r>
        <w:rPr>
          <w:rFonts w:ascii="Times New Roman" w:hAnsi="Times New Roman"/>
          <w:b w:val="false"/>
          <w:i w:val="false"/>
          <w:color w:val="000000"/>
          <w:sz w:val="22"/>
        </w:rPr>
        <w:t> </w:t>
      </w:r>
      <w:r>
        <w:rPr>
          <w:rFonts w:ascii="Times New Roman" w:hAnsi="Times New Roman"/>
          <w:b w:val="false"/>
          <w:i w:val="false"/>
          <w:color w:val="000000"/>
          <w:sz w:val="22"/>
        </w:rPr>
        <w:t>Only potable water, or food-grade or USP-grade propylene glycol or calcium chloride, may be used as heat transfer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Heat transfer fluids containing additives shall be NSF certified as HT1 in the NSF White 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other materials or additives shall be NSF 60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Additives shall be mixed only in concentrations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permanent sign shall be attached to the heat pump specifying the exact mixture of heat transfer fluid contained and stating that only approved heat transfer fluids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49.23(4)</w:t>
      </w:r>
      <w:r>
        <w:rPr>
          <w:rFonts w:ascii="Times New Roman" w:hAnsi="Times New Roman"/>
          <w:b w:val="false"/>
          <w:i w:val="false"/>
          <w:color w:val="000000"/>
          <w:sz w:val="22"/>
        </w:rPr>
        <w:t> </w:t>
      </w:r>
      <w:r>
        <w:rPr>
          <w:rFonts w:ascii="Times New Roman" w:hAnsi="Times New Roman"/>
          <w:b w:val="false"/>
          <w:i w:val="false"/>
          <w:color w:val="000000"/>
          <w:sz w:val="22"/>
        </w:rPr>
        <w:t>A flow measurement device shall be installed on each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49.23(5)</w:t>
      </w:r>
      <w:r>
        <w:rPr>
          <w:rFonts w:ascii="Times New Roman" w:hAnsi="Times New Roman"/>
          <w:b w:val="false"/>
          <w:i w:val="false"/>
          <w:color w:val="000000"/>
          <w:sz w:val="22"/>
        </w:rPr>
        <w:t> </w:t>
      </w:r>
      <w:r>
        <w:rPr>
          <w:rFonts w:ascii="Times New Roman" w:hAnsi="Times New Roman"/>
          <w:b w:val="false"/>
          <w:i w:val="false"/>
          <w:color w:val="000000"/>
          <w:sz w:val="22"/>
        </w:rPr>
        <w:t>Water make-up lines to the vertical heat exchanger shall be protected with a backflow prevention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49.23(6)</w:t>
      </w:r>
      <w:r>
        <w:rPr>
          <w:rFonts w:ascii="Times New Roman" w:hAnsi="Times New Roman"/>
          <w:b w:val="false"/>
          <w:i w:val="false"/>
          <w:color w:val="000000"/>
          <w:sz w:val="22"/>
        </w:rPr>
        <w:t> </w:t>
      </w:r>
      <w:r>
        <w:rPr>
          <w:rFonts w:ascii="Times New Roman" w:hAnsi="Times New Roman"/>
          <w:b w:val="false"/>
          <w:i w:val="false"/>
          <w:color w:val="000000"/>
          <w:sz w:val="22"/>
        </w:rPr>
        <w:t>Grouting shall be performed for the full length of the borehole via tremie pipe from the bottom upwards with the tremie submerged in grout during the entire process. The grout shall be checked for subsidence at least 24 hours after the initial grouting. If subsidence has occurred, the grouting process shall be repeated and rechecked until the borehole is fully grouted and subsidence has stopped.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49.23(7)</w:t>
      </w:r>
      <w:r>
        <w:rPr>
          <w:rFonts w:ascii="Times New Roman" w:hAnsi="Times New Roman"/>
          <w:b w:val="false"/>
          <w:i w:val="false"/>
          <w:color w:val="000000"/>
          <w:sz w:val="22"/>
        </w:rPr>
        <w:t> </w:t>
      </w:r>
      <w:r>
        <w:rPr>
          <w:rFonts w:ascii="Times New Roman" w:hAnsi="Times New Roman"/>
          <w:b w:val="false"/>
          <w:i w:val="false"/>
          <w:color w:val="000000"/>
          <w:sz w:val="22"/>
        </w:rPr>
        <w:t>All buried piping, including the top of vertical boreholes and the full length of horizontal piping, shall be permanently marked with magnetic tape, magnetic wire, or survey pins to allow for underground detection or utility location at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49.23(8)</w:t>
      </w:r>
      <w:r>
        <w:rPr>
          <w:rFonts w:ascii="Times New Roman" w:hAnsi="Times New Roman"/>
          <w:b w:val="false"/>
          <w:i w:val="false"/>
          <w:color w:val="000000"/>
          <w:sz w:val="22"/>
        </w:rPr>
        <w:t> </w:t>
      </w:r>
      <w:r>
        <w:rPr>
          <w:rFonts w:ascii="Times New Roman" w:hAnsi="Times New Roman"/>
          <w:b w:val="false"/>
          <w:i w:val="false"/>
          <w:color w:val="000000"/>
          <w:sz w:val="22"/>
        </w:rPr>
        <w:t>Within 30 days of GHEX borehole system installation, an as-built aerial map or engineering document shall be submitted to the permitting authority with the well record form showing the location and GPS coordinates of each vertical and horizontal borehole and all horizontal piping from the borehole into the building and vault. The permitting authority shall upload the document to the department’s private well database.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567—49.24</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disinfection. </w:t>
      </w:r>
      <w:r>
        <w:rPr>
          <w:rFonts w:ascii="Times New Roman" w:hAnsi="Times New Roman"/>
          <w:b w:val="false"/>
          <w:i w:val="false"/>
          <w:color w:val="000000"/>
          <w:sz w:val="22"/>
        </w:rPr>
        <w:t>Wells and water systems shall be disinfected by the contractor following construction completion and whenever any well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49.24(1)</w:t>
      </w:r>
      <w:r>
        <w:rPr>
          <w:rFonts w:ascii="Times New Roman" w:hAnsi="Times New Roman"/>
          <w:b w:val="false"/>
          <w:i w:val="false"/>
          <w:color w:val="000000"/>
          <w:sz w:val="22"/>
        </w:rPr>
        <w:t> </w:t>
      </w:r>
      <w:r>
        <w:rPr>
          <w:rFonts w:ascii="Times New Roman" w:hAnsi="Times New Roman"/>
          <w:b w:val="false"/>
          <w:i w:val="false"/>
          <w:color w:val="000000"/>
          <w:sz w:val="22"/>
        </w:rPr>
        <w:t>Prior to disinfection, all new, repaired or rehabilitated wells shall be pumped to waste until the water is free of drilling mud, drill cuttings, and sand, and the water is clear.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49.24(2)</w:t>
      </w:r>
      <w:r>
        <w:rPr>
          <w:rFonts w:ascii="Times New Roman" w:hAnsi="Times New Roman"/>
          <w:b w:val="false"/>
          <w:i w:val="false"/>
          <w:color w:val="000000"/>
          <w:sz w:val="22"/>
        </w:rPr>
        <w:t> </w:t>
      </w:r>
      <w:r>
        <w:rPr>
          <w:rFonts w:ascii="Times New Roman" w:hAnsi="Times New Roman"/>
          <w:b w:val="false"/>
          <w:i w:val="false"/>
          <w:color w:val="000000"/>
          <w:sz w:val="22"/>
        </w:rPr>
        <w:t xml:space="preserve">A chlorine solution, such as a sodium or calcium hypochlorite, shall be used for well disinfection. Chlorine compounds and any additives shall be NSF 60 (2016) certified.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49.24(3)</w:t>
      </w:r>
      <w:r>
        <w:rPr>
          <w:rFonts w:ascii="Times New Roman" w:hAnsi="Times New Roman"/>
          <w:b w:val="false"/>
          <w:i w:val="false"/>
          <w:color w:val="000000"/>
          <w:sz w:val="22"/>
        </w:rPr>
        <w:t> </w:t>
      </w:r>
      <w:r>
        <w:rPr>
          <w:rFonts w:ascii="Times New Roman" w:hAnsi="Times New Roman"/>
          <w:b w:val="false"/>
          <w:i w:val="false"/>
          <w:color w:val="000000"/>
          <w:sz w:val="22"/>
        </w:rPr>
        <w:t>Disinfectant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dispersed throughout the entire water column in the well,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brought into contact with the inside of the well casing pipe above the static water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Remain in the well for a minimum of two hours if a concentration of at least 100 mg/L chlorine is achieved, or a minimum of 24 hours if at least 50 mg/L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49.24(4)</w:t>
      </w:r>
      <w:r>
        <w:rPr>
          <w:rFonts w:ascii="Times New Roman" w:hAnsi="Times New Roman"/>
          <w:b w:val="false"/>
          <w:i w:val="false"/>
          <w:color w:val="000000"/>
          <w:sz w:val="22"/>
        </w:rPr>
        <w:t> </w:t>
      </w:r>
      <w:r>
        <w:rPr>
          <w:rFonts w:ascii="Times New Roman" w:hAnsi="Times New Roman"/>
          <w:b w:val="false"/>
          <w:i w:val="false"/>
          <w:color w:val="000000"/>
          <w:sz w:val="22"/>
        </w:rPr>
        <w:t>For emergency situations, a contact time of a minimum of 30 minutes shall be provided at a chlorine concentration of at least 200 mg/L.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49.24(5)</w:t>
      </w:r>
      <w:r>
        <w:rPr>
          <w:rFonts w:ascii="Times New Roman" w:hAnsi="Times New Roman"/>
          <w:b w:val="false"/>
          <w:i w:val="false"/>
          <w:color w:val="000000"/>
          <w:sz w:val="22"/>
        </w:rPr>
        <w:t> </w:t>
      </w:r>
      <w:r>
        <w:rPr>
          <w:rFonts w:ascii="Times New Roman" w:hAnsi="Times New Roman"/>
          <w:b w:val="false"/>
          <w:i w:val="false"/>
          <w:color w:val="000000"/>
          <w:sz w:val="22"/>
        </w:rPr>
        <w:t>The amount of HTH or household bleach required for a chlorine concentration of 200 mg/L is given in Table III below:</w:t>
      </w:r>
    </w:p>
    <w:p>
      <w:pPr>
        <w:spacing w:before="60" w:after="0"/>
        <w:ind w:left="120"/>
        <w:jc w:val="center"/>
      </w:pPr>
      <w:r>
        <w:rPr>
          <w:rFonts w:ascii="Times New Roman" w:hAnsi="Times New Roman"/>
          <w:b/>
          <w:i w:val="false"/>
          <w:color w:val="000000"/>
          <w:sz w:val="22"/>
        </w:rPr>
        <w:t>Table III - Amount of chlorine disinfectant required for every 25 feet of water in well</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991"/>
        <w:gridCol w:w="692"/>
        <w:gridCol w:w="691"/>
        <w:gridCol w:w="691"/>
        <w:gridCol w:w="691"/>
        <w:gridCol w:w="691"/>
        <w:gridCol w:w="691"/>
        <w:gridCol w:w="691"/>
        <w:gridCol w:w="691"/>
      </w:tblGrid>
      <w:tr>
        <w:trPr>
          <w:trHeight w:val="225" w:hRule="atLeast"/>
        </w:trPr>
        <w:tc>
          <w:tcPr>
            <w:tcW w:w="59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Well casing diameter (in inches)</w:t>
            </w:r>
          </w:p>
        </w:tc>
        <w:tc>
          <w:tcPr>
            <w:tcW w:w="69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r>
      <w:tr>
        <w:trPr>
          <w:trHeight w:val="465" w:hRule="atLeast"/>
        </w:trPr>
        <w:tc>
          <w:tcPr>
            <w:tcW w:w="59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Amount of pelleted HTH (in ounces containing approx. 70 percent Ca(OCl)</w:t>
            </w:r>
            <w:r>
              <w:rPr>
                <w:rFonts w:ascii="Times New Roman" w:hAnsi="Times New Roman"/>
                <w:b w:val="false"/>
                <w:i w:val="false"/>
                <w:color w:val="000000"/>
                <w:sz w:val="18"/>
                <w:vertAlign w:val="subscript"/>
              </w:rPr>
              <w:t>2</w:t>
            </w:r>
            <w:r>
              <w:rPr>
                <w:rFonts w:ascii="Times New Roman" w:hAnsi="Times New Roman"/>
                <w:b w:val="false"/>
                <w:i w:val="false"/>
                <w:color w:val="000000"/>
                <w:sz w:val="16"/>
              </w:rPr>
              <w:t>)</w:t>
            </w:r>
          </w:p>
        </w:tc>
        <w:tc>
          <w:tcPr>
            <w:tcW w:w="69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0.7</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52</w:t>
            </w:r>
          </w:p>
        </w:tc>
      </w:tr>
      <w:tr>
        <w:trPr>
          <w:trHeight w:val="225" w:hRule="atLeast"/>
        </w:trPr>
        <w:tc>
          <w:tcPr>
            <w:tcW w:w="59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Amount of chlorine bleach (in pints containing 5.25 percent NaOCl)</w:t>
            </w:r>
          </w:p>
        </w:tc>
        <w:tc>
          <w:tcPr>
            <w:tcW w:w="69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4.7</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10.6</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18.8</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29.3</w:t>
            </w:r>
          </w:p>
        </w:tc>
        <w:tc>
          <w:tcPr>
            <w:tcW w:w="6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49.24(6)</w:t>
      </w:r>
      <w:r>
        <w:rPr>
          <w:rFonts w:ascii="Times New Roman" w:hAnsi="Times New Roman"/>
          <w:b w:val="false"/>
          <w:i w:val="false"/>
          <w:color w:val="000000"/>
          <w:sz w:val="22"/>
        </w:rPr>
        <w:t> </w:t>
      </w:r>
      <w:r>
        <w:rPr>
          <w:rFonts w:ascii="Times New Roman" w:hAnsi="Times New Roman"/>
          <w:b w:val="false"/>
          <w:i w:val="false"/>
          <w:color w:val="000000"/>
          <w:sz w:val="22"/>
        </w:rPr>
        <w:t>Dry disinfectant shall be dissolved in a separate container of water before introduction into the well. The solution shall contain not more than eight ounces of pelleted HTH disinfectant per five gallons of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567—49.25</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sampling and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49.25(1)</w:t>
      </w:r>
      <w:r>
        <w:rPr>
          <w:rFonts w:ascii="Times New Roman" w:hAnsi="Times New Roman"/>
          <w:b w:val="false"/>
          <w:i w:val="false"/>
          <w:color w:val="000000"/>
          <w:sz w:val="22"/>
        </w:rPr>
        <w:t> </w:t>
      </w:r>
      <w:r>
        <w:rPr>
          <w:rFonts w:ascii="Times New Roman" w:hAnsi="Times New Roman"/>
          <w:b w:val="false"/>
          <w:i w:val="false"/>
          <w:color w:val="000000"/>
          <w:sz w:val="22"/>
        </w:rPr>
        <w:t>The owner of a new, reconstructed, or rehabilitated well shall submit a water sample to a certified laboratory for coliform bacteria and nitrate analysis, or allow the administrative authority to collect this water sample. The water sample shall be collected at least 10 days after, but not more than 30 days after, a well is put into service following construction, reconstruction, or rehabilitation. The analysis results shall be submitted to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49.25(2)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water sample analysis detects the presence of bacteria, the disinfection procedure described in rule </w:t>
      </w:r>
      <w:hyperlink r:id="rId62">
        <w:r>
          <w:rPr>
            <w:rStyle w:val="Hyperlink"/>
            <w:rFonts w:ascii="Times New Roman" w:hAnsi="Times New Roman"/>
            <w:b w:val="false"/>
            <w:i w:val="false"/>
            <w:color w:val="000000"/>
            <w:sz w:val="22"/>
          </w:rPr>
          <w:t>567—49.24</w:t>
        </w:r>
      </w:hyperlink>
      <w:r>
        <w:rPr>
          <w:rFonts w:ascii="Times New Roman" w:hAnsi="Times New Roman"/>
          <w:b w:val="false"/>
          <w:i w:val="false"/>
          <w:color w:val="000000"/>
          <w:sz w:val="22"/>
        </w:rPr>
        <w:t>(455B) shall be repeated.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567—49.26</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abandonment. </w:t>
      </w:r>
      <w:r>
        <w:rPr>
          <w:rFonts w:ascii="Times New Roman" w:hAnsi="Times New Roman"/>
          <w:b w:val="false"/>
          <w:i w:val="false"/>
          <w:color w:val="000000"/>
          <w:sz w:val="22"/>
        </w:rPr>
        <w:t>Abandoned wells are a contamination hazard to the water bearing formation as well as a physical hazard for people.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49.26(1)</w:t>
      </w:r>
      <w:r>
        <w:rPr>
          <w:rFonts w:ascii="Times New Roman" w:hAnsi="Times New Roman"/>
          <w:b w:val="false"/>
          <w:i w:val="false"/>
          <w:color w:val="000000"/>
          <w:sz w:val="22"/>
        </w:rPr>
        <w:t> </w:t>
      </w:r>
      <w:r>
        <w:rPr>
          <w:rFonts w:ascii="Times New Roman" w:hAnsi="Times New Roman"/>
          <w:b w:val="false"/>
          <w:i/>
          <w:color w:val="000000"/>
          <w:sz w:val="22"/>
        </w:rPr>
        <w:t xml:space="preserve">Plugging rules. </w:t>
      </w:r>
      <w:r>
        <w:rPr>
          <w:rFonts w:ascii="Times New Roman" w:hAnsi="Times New Roman"/>
          <w:b w:val="false"/>
          <w:i w:val="false"/>
          <w:color w:val="000000"/>
          <w:sz w:val="22"/>
        </w:rPr>
        <w:t xml:space="preserve">Abandoned wells shall be properly plugged as required in </w:t>
      </w:r>
      <w:hyperlink r:id="rId63">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49.26(2)</w:t>
      </w:r>
      <w:r>
        <w:rPr>
          <w:rFonts w:ascii="Times New Roman" w:hAnsi="Times New Roman"/>
          <w:b w:val="false"/>
          <w:i w:val="false"/>
          <w:color w:val="000000"/>
          <w:sz w:val="22"/>
        </w:rPr>
        <w:t> </w:t>
      </w:r>
      <w:r>
        <w:rPr>
          <w:rFonts w:ascii="Times New Roman" w:hAnsi="Times New Roman"/>
          <w:b w:val="false"/>
          <w:i/>
          <w:color w:val="000000"/>
          <w:sz w:val="22"/>
        </w:rPr>
        <w:t xml:space="preserve">Waste disposal prohibition. </w:t>
      </w:r>
      <w:r>
        <w:rPr>
          <w:rFonts w:ascii="Times New Roman" w:hAnsi="Times New Roman"/>
          <w:b w:val="false"/>
          <w:i w:val="false"/>
          <w:color w:val="000000"/>
          <w:sz w:val="22"/>
        </w:rPr>
        <w:t>Under no circumstances shall abandoned wells be used for the disposal of debris, solid waste, septic tank sludge or effluents; for any other type of unauthorized disposal of waste materials; or as a receptacle for field tile drainage.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9196C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5/20/80, Notice 11/14/79—published 6/11/80, effective 10/1/80]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2/20/81 after Notice 12/24/80—published 3/18/81, effective 2/28/81]</w:t>
      </w:r>
    </w:p>
    <w:p>
      <w:pPr>
        <w:spacing w:before="0" w:after="0"/>
        <w:ind w:left="120"/>
        <w:jc w:val="center"/>
      </w:pPr>
      <w:r>
        <w:rPr>
          <w:rFonts w:ascii="Times New Roman" w:hAnsi="Times New Roman"/>
          <w:b w:val="false"/>
          <w:i w:val="false"/>
          <w:color w:val="000000"/>
          <w:sz w:val="21"/>
        </w:rPr>
        <w:t>[Filed 11/19/82, Notice 7/7/82—published 12/8/82, effective 1/12/83]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5/2/86, Notice 1/1/86—published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4/29/88, Notice 1/13/88—published 5/18/88, effective 7/1/88]</w:t>
      </w:r>
    </w:p>
    <w:p>
      <w:pPr>
        <w:spacing w:before="0" w:after="0"/>
        <w:ind w:left="120"/>
        <w:jc w:val="center"/>
      </w:pPr>
      <w:r>
        <w:rPr>
          <w:rFonts w:ascii="Times New Roman" w:hAnsi="Times New Roman"/>
          <w:b w:val="false"/>
          <w:i w:val="false"/>
          <w:color w:val="000000"/>
          <w:sz w:val="21"/>
        </w:rPr>
        <w:t>[Filed 1/26/96, Notice 11/8/95—published 2/14/96, effective 3/20/96]</w:t>
      </w:r>
    </w:p>
    <w:p>
      <w:pPr>
        <w:spacing w:before="0" w:after="0"/>
        <w:ind w:left="120"/>
        <w:jc w:val="center"/>
      </w:pPr>
      <w:r>
        <w:rPr>
          <w:rFonts w:ascii="Times New Roman" w:hAnsi="Times New Roman"/>
          <w:b w:val="false"/>
          <w:i w:val="false"/>
          <w:color w:val="000000"/>
          <w:sz w:val="21"/>
        </w:rPr>
        <w:t>[Filed 3/19/98, Notice 11/19/97—published 4/8/98, effective 5/13/98</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7/1/04, Notice 3/17/04—published 7/21/04, effective 8/25/04]</w:t>
      </w:r>
    </w:p>
    <w:p>
      <w:pPr>
        <w:spacing w:before="0" w:after="0"/>
        <w:ind w:left="120"/>
        <w:jc w:val="center"/>
      </w:pPr>
      <w:r>
        <w:rPr>
          <w:rFonts w:ascii="Times New Roman" w:hAnsi="Times New Roman"/>
          <w:b w:val="false"/>
          <w:i w:val="false"/>
          <w:color w:val="000000"/>
          <w:sz w:val="21"/>
        </w:rPr>
        <w:t>[Filed ARC 6190C</w:t>
      </w:r>
      <w:r>
        <w:rPr>
          <w:rFonts w:ascii="Times New Roman" w:hAnsi="Times New Roman"/>
          <w:b w:val="false"/>
          <w:i w:val="false"/>
          <w:color w:val="000000"/>
          <w:sz w:val="21"/>
        </w:rPr>
        <w:t xml:space="preserve"> (Notice ARC 6037C,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9196C</w:t>
      </w:r>
      <w:r>
        <w:rPr>
          <w:rFonts w:ascii="Times New Roman" w:hAnsi="Times New Roman"/>
          <w:b w:val="false"/>
          <w:i w:val="false"/>
          <w:color w:val="000000"/>
          <w:sz w:val="21"/>
        </w:rPr>
        <w:t xml:space="preserve"> (Notice ARC 8627C, IAB 1/8/25)</w:t>
      </w:r>
      <w:r>
        <w:rPr>
          <w:rFonts w:ascii="Times New Roman" w:hAnsi="Times New Roman"/>
          <w:b w:val="false"/>
          <w:i w:val="false"/>
          <w:color w:val="000000"/>
          <w:sz w:val="21"/>
        </w:rPr>
        <w:t>, IAB 5/14/25, effective 6/18/25]</w:t>
      </w:r>
    </w:p>
    <w:p>
      <w:pPr>
        <w:spacing w:before="0" w:after="0"/>
        <w:ind w:left="120"/>
        <w:jc w:val="both"/>
      </w:pPr>
      <w:r>
        <w:rPr>
          <w:rFonts w:ascii="Times New Roman" w:hAnsi="Times New Roman"/>
          <w:b w:val="false"/>
          <w:i w:val="false"/>
          <w:color w:val="000000"/>
          <w:sz w:val="22"/>
        </w:rPr>
        <w:t>Effective date of Chapter 49 [Health Dept.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Ch 45] delayed 70 days by the Administrative Rules Review Committee [Published 10/1/80]. Effective date of Chapter 49 [Health Dept.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Ch 45] delayed by the Administrative Rules Review Committee 45 days after convening of the next General Assembly pursuant to §17A.8(9) [Published 11/26/80].</w:t>
      </w:r>
    </w:p>
    <w:p>
      <w:pPr>
        <w:pBdr>
          <w:bottom w:space="2"/>
        </w:pBdr>
        <w:spacing w:before="0" w:after="0"/>
        <w:ind w:left="120"/>
        <w:jc w:val="both"/>
      </w:pPr>
      <w:r>
        <w:rPr>
          <w:rFonts w:ascii="Times New Roman" w:hAnsi="Times New Roman"/>
          <w:b w:val="false"/>
          <w:i w:val="false"/>
          <w:color w:val="000000"/>
          <w:sz w:val="22"/>
        </w:rPr>
        <w:t>Effective date of 49.9(1)</w:t>
      </w:r>
      <w:r>
        <w:rPr>
          <w:rFonts w:ascii="Times New Roman" w:hAnsi="Times New Roman"/>
          <w:b w:val="false"/>
          <w:i/>
          <w:color w:val="000000"/>
          <w:sz w:val="22"/>
        </w:rPr>
        <w:t>“a”</w:t>
      </w:r>
      <w:r>
        <w:rPr>
          <w:rFonts w:ascii="Times New Roman" w:hAnsi="Times New Roman"/>
          <w:b w:val="false"/>
          <w:i w:val="false"/>
          <w:color w:val="000000"/>
          <w:sz w:val="22"/>
        </w:rPr>
        <w:t xml:space="preserve"> delayed 70 days by the Administrative Rules Review Committee at its meeting held May 12, 1998.</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39.pdf" Type="http://schemas.openxmlformats.org/officeDocument/2006/relationships/hyperlink" Id="rId5"/>
    <Relationship TargetMode="External" Target="https://www.legis.iowa.gov/docs/iac/chapter/567.40.pdf" Type="http://schemas.openxmlformats.org/officeDocument/2006/relationships/hyperlink" Id="rId6"/>
    <Relationship TargetMode="External" Target="https://www.legis.iowa.gov/docs/iac/chapter/567.82.pdf" Type="http://schemas.openxmlformats.org/officeDocument/2006/relationships/hyperlink" Id="rId7"/>
    <Relationship TargetMode="External" Target="https://www.legis.iowa.gov/docs/iac/chapter/567.40.pdf" Type="http://schemas.openxmlformats.org/officeDocument/2006/relationships/hyperlink" Id="rId8"/>
    <Relationship TargetMode="External" Target="https://www.legis.iowa.gov/docs/ico/chapter/455B.101.pdf" Type="http://schemas.openxmlformats.org/officeDocument/2006/relationships/hyperlink" Id="rId9"/>
    <Relationship TargetMode="External" Target="https://www.legis.iowa.gov/docs/ico/chapter/455B.171.pdf" Type="http://schemas.openxmlformats.org/officeDocument/2006/relationships/hyperlink" Id="rId10"/>
    <Relationship TargetMode="External" Target="https://www.legis.iowa.gov/docs/ico/chapter/455B.190.pdf" Type="http://schemas.openxmlformats.org/officeDocument/2006/relationships/hyperlink" Id="rId11"/>
    <Relationship TargetMode="External" Target="https://www.legis.iowa.gov/docs/ico/chapter/455B.190A.pdf" Type="http://schemas.openxmlformats.org/officeDocument/2006/relationships/hyperlink" Id="rId12"/>
    <Relationship TargetMode="External" Target="https://www.legis.iowa.gov/docs/iac/chapter/567.39.pdf" Type="http://schemas.openxmlformats.org/officeDocument/2006/relationships/hyperlink" Id="rId13"/>
    <Relationship TargetMode="External" Target="https://www.legis.iowa.gov/docs/ico/chapter/455B.171.pdf" Type="http://schemas.openxmlformats.org/officeDocument/2006/relationships/hyperlink" Id="rId14"/>
    <Relationship TargetMode="External" Target="https://www.legis.iowa.gov/docs/iac/chapter/567.50.pdf" Type="http://schemas.openxmlformats.org/officeDocument/2006/relationships/hyperlink" Id="rId15"/>
    <Relationship TargetMode="External" Target="https://www.legis.iowa.gov/docs/ico/chapter/455B.pdf" Type="http://schemas.openxmlformats.org/officeDocument/2006/relationships/hyperlink" Id="rId16"/>
    <Relationship TargetMode="External" Target="https://www.legis.iowa.gov/docs/ico/chapter/455B.171.pdf" Type="http://schemas.openxmlformats.org/officeDocument/2006/relationships/hyperlink" Id="rId17"/>
    <Relationship TargetMode="External" Target="https://www.legis.iowa.gov/docs/ico/chapter/455B.187.pdf" Type="http://schemas.openxmlformats.org/officeDocument/2006/relationships/hyperlink" Id="rId18"/>
    <Relationship TargetMode="External" Target="https://www.legis.iowa.gov/docs/iac/chapter/567.135.pdf" Type="http://schemas.openxmlformats.org/officeDocument/2006/relationships/hyperlink" Id="rId19"/>
    <Relationship TargetMode="External" Target="https://www.legis.iowa.gov/docs/iac/chapter/567.113.pdf" Type="http://schemas.openxmlformats.org/officeDocument/2006/relationships/hyperlink" Id="rId20"/>
    <Relationship TargetMode="External" Target="https://www.legis.iowa.gov/docs/iac/chapter/567.50.pdf" Type="http://schemas.openxmlformats.org/officeDocument/2006/relationships/hyperlink" Id="rId21"/>
    <Relationship TargetMode="External" Target="https://www.legis.iowa.gov/docs/iac/chapter/567.82.pdf" Type="http://schemas.openxmlformats.org/officeDocument/2006/relationships/hyperlink" Id="rId22"/>
    <Relationship TargetMode="External" Target="https://www.legis.iowa.gov/docs/ico/chapter/455B.109.pdf" Type="http://schemas.openxmlformats.org/officeDocument/2006/relationships/hyperlink" Id="rId23"/>
    <Relationship TargetMode="External" Target="https://www.legis.iowa.gov/docs/ico/chapter/455B.110.pdf" Type="http://schemas.openxmlformats.org/officeDocument/2006/relationships/hyperlink" Id="rId24"/>
    <Relationship TargetMode="External" Target="https://www.legis.iowa.gov/docs/ico/chapter/455B.175.pdf" Type="http://schemas.openxmlformats.org/officeDocument/2006/relationships/hyperlink" Id="rId25"/>
    <Relationship TargetMode="External" Target="https://www.legis.iowa.gov/docs/ico/chapter/455B.191.pdf" Type="http://schemas.openxmlformats.org/officeDocument/2006/relationships/hyperlink" Id="rId26"/>
    <Relationship TargetMode="External" Target="https://www.legis.iowa.gov/docs/iac/rule/567.49.7.pdf" Type="http://schemas.openxmlformats.org/officeDocument/2006/relationships/hyperlink" Id="rId27"/>
    <Relationship TargetMode="External" Target="https://www.legis.iowa.gov/docs/iac/rule/567.49.7.pdf" Type="http://schemas.openxmlformats.org/officeDocument/2006/relationships/hyperlink" Id="rId28"/>
    <Relationship TargetMode="External" Target="https://www.legis.iowa.gov/docs/iac/chapter/567.50.pdf" Type="http://schemas.openxmlformats.org/officeDocument/2006/relationships/hyperlink" Id="rId29"/>
    <Relationship TargetMode="External" Target="https://www.legis.iowa.gov/docs/iac/chapter/567.53.pdf" Type="http://schemas.openxmlformats.org/officeDocument/2006/relationships/hyperlink" Id="rId30"/>
    <Relationship TargetMode="External" Target="https://www.legis.iowa.gov/docs/iac/chapter/567.55.pdf" Type="http://schemas.openxmlformats.org/officeDocument/2006/relationships/hyperlink" Id="rId31"/>
    <Relationship TargetMode="External" Target="https://www.legis.iowa.gov/docs/iac/chapter/567.82.pdf" Type="http://schemas.openxmlformats.org/officeDocument/2006/relationships/hyperlink" Id="rId32"/>
    <Relationship TargetMode="External" Target="https://www.legis.iowa.gov/docs/iac/rule/567.49.5.pdf" Type="http://schemas.openxmlformats.org/officeDocument/2006/relationships/hyperlink" Id="rId33"/>
    <Relationship TargetMode="External" Target="https://www.legis.iowa.gov/docs/iac/chapter/561.7.pdf" Type="http://schemas.openxmlformats.org/officeDocument/2006/relationships/hyperlink" Id="rId34"/>
    <Relationship TargetMode="External" Target="https://www.legis.iowa.gov/docs/ico/chapter/28E.pdf" Type="http://schemas.openxmlformats.org/officeDocument/2006/relationships/hyperlink" Id="rId35"/>
    <Relationship TargetMode="External" Target="https://www.legis.iowa.gov/docs/iac/chapter/567.39.pdf" Type="http://schemas.openxmlformats.org/officeDocument/2006/relationships/hyperlink" Id="rId36"/>
    <Relationship TargetMode="External" Target="https://www.legis.iowa.gov/docs/iac/chapter/567.49.pdf" Type="http://schemas.openxmlformats.org/officeDocument/2006/relationships/hyperlink" Id="rId37"/>
    <Relationship TargetMode="External" Target="https://www.legis.iowa.gov/docs/iac/chapter/567.49.pdf" Type="http://schemas.openxmlformats.org/officeDocument/2006/relationships/hyperlink" Id="rId38"/>
    <Relationship TargetMode="External" Target="https://www.legis.iowa.gov/docs/iac/rule/567.40.2.pdf" Type="http://schemas.openxmlformats.org/officeDocument/2006/relationships/hyperlink" Id="rId39"/>
    <Relationship TargetMode="External" Target="https://www.legis.iowa.gov/docs/iac/rule/567.69.1.pdf" Type="http://schemas.openxmlformats.org/officeDocument/2006/relationships/hyperlink" Id="rId40"/>
    <Relationship TargetMode="External" Target="https://www.legis.iowa.gov/docs/iac/chapter/567.69.pdf" Type="http://schemas.openxmlformats.org/officeDocument/2006/relationships/hyperlink" Id="rId41"/>
    <Relationship TargetMode="External" Target="https://www.legis.iowa.gov/docs/iac/rule/567.81.1.pdf" Type="http://schemas.openxmlformats.org/officeDocument/2006/relationships/hyperlink" Id="rId42"/>
    <Relationship TargetMode="External" Target="https://www.legis.iowa.gov/docs/iac/rule/567.81.1.pdf" Type="http://schemas.openxmlformats.org/officeDocument/2006/relationships/hyperlink" Id="rId43"/>
    <Relationship TargetMode="External" Target="https://www.legis.iowa.gov/docs/iac/rule/567.65.15.pdf" Type="http://schemas.openxmlformats.org/officeDocument/2006/relationships/hyperlink" Id="rId44"/>
    <Relationship TargetMode="External" Target="https://www.legis.iowa.gov/docs/iac/chapter/567.68.pdf" Type="http://schemas.openxmlformats.org/officeDocument/2006/relationships/hyperlink" Id="rId45"/>
    <Relationship TargetMode="External" Target="https://www.legis.iowa.gov/docs/iac/rule/567.43.3.pdf" Type="http://schemas.openxmlformats.org/officeDocument/2006/relationships/hyperlink" Id="rId46"/>
    <Relationship TargetMode="External" Target="https://www.legis.iowa.gov/docs/iac/chapter/567.54.pdf" Type="http://schemas.openxmlformats.org/officeDocument/2006/relationships/hyperlink" Id="rId47"/>
    <Relationship Target="media/document_image_rId48.png" Type="http://schemas.openxmlformats.org/officeDocument/2006/relationships/image" Id="rId48"/>
    <Relationship Target="media/document_image_rId49.png" Type="http://schemas.openxmlformats.org/officeDocument/2006/relationships/image" Id="rId49"/>
    <Relationship Target="media/document_image_rId50.png" Type="http://schemas.openxmlformats.org/officeDocument/2006/relationships/image" Id="rId50"/>
    <Relationship TargetMode="External" Target="https://www.legis.iowa.gov/docs/iac/chapter/567.54.pdf" Type="http://schemas.openxmlformats.org/officeDocument/2006/relationships/hyperlink" Id="rId51"/>
    <Relationship TargetMode="External" Target="https://www.legis.iowa.gov/docs/iac/rule/567.49.11.pdf" Type="http://schemas.openxmlformats.org/officeDocument/2006/relationships/hyperlink" Id="rId52"/>
    <Relationship TargetMode="External" Target="https://www.legis.iowa.gov/docs/iac/rule/567.49.9.pdf" Type="http://schemas.openxmlformats.org/officeDocument/2006/relationships/hyperlink" Id="rId53"/>
    <Relationship TargetMode="External" Target="https://www.legis.iowa.gov/docs/iac/rule/567.49.11.pdf" Type="http://schemas.openxmlformats.org/officeDocument/2006/relationships/hyperlink" Id="rId54"/>
    <Relationship TargetMode="External" Target="https://www.legis.iowa.gov/docs/iac/rule/567.49.10.pdf" Type="http://schemas.openxmlformats.org/officeDocument/2006/relationships/hyperlink" Id="rId55"/>
    <Relationship TargetMode="External" Target="https://www.legis.iowa.gov/docs/iac/rule/567.49.10.pdf" Type="http://schemas.openxmlformats.org/officeDocument/2006/relationships/hyperlink" Id="rId56"/>
    <Relationship TargetMode="External" Target="https://www.legis.iowa.gov/docs/iac/rule/567.49.10.pdf" Type="http://schemas.openxmlformats.org/officeDocument/2006/relationships/hyperlink" Id="rId57"/>
    <Relationship TargetMode="External" Target="https://www.legis.iowa.gov/docs/iac/rule/567.49.12.pdf" Type="http://schemas.openxmlformats.org/officeDocument/2006/relationships/hyperlink" Id="rId58"/>
    <Relationship TargetMode="External" Target="https://www.legis.iowa.gov/docs/iac/rule/567.49.11.pdf" Type="http://schemas.openxmlformats.org/officeDocument/2006/relationships/hyperlink" Id="rId59"/>
    <Relationship TargetMode="External" Target="https://www.legis.iowa.gov/docs/iac/rule/567.49.17.pdf" Type="http://schemas.openxmlformats.org/officeDocument/2006/relationships/hyperlink" Id="rId60"/>
    <Relationship TargetMode="External" Target="https://www.legis.iowa.gov/docs/iac/chapter/481.476.pdf" Type="http://schemas.openxmlformats.org/officeDocument/2006/relationships/hyperlink" Id="rId61"/>
    <Relationship TargetMode="External" Target="https://www.legis.iowa.gov/docs/iac/rule/567.49.24.pdf" Type="http://schemas.openxmlformats.org/officeDocument/2006/relationships/hyperlink" Id="rId62"/>
    <Relationship TargetMode="External" Target="https://www.legis.iowa.gov/docs/iac/chapter/567.39.pdf" Type="http://schemas.openxmlformats.org/officeDocument/2006/relationships/hyperlink" Id="rId63"/>
    <Relationship TargetMode="External" Target="https://www.legis.iowa.gov/docs/ico/chapter/455B.pdf" Type="http://schemas.openxmlformats.org/officeDocument/2006/relationships/hyperlink"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