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DRINKING WATER STATE REVOLVING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567—44.1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Statutory authority. </w:t>
      </w:r>
      <w:r>
        <w:rPr>
          <w:rFonts w:ascii="Times New Roman" w:hAnsi="Times New Roman"/>
          <w:b w:val="false"/>
          <w:i w:val="false"/>
          <w:color w:val="000000"/>
          <w:sz w:val="22"/>
        </w:rPr>
        <w:t xml:space="preserve">The authority for the Iowa department of natural resources (department) to administer the drinking water state revolving fund (DWSRF) is provided by Iowa Code sections </w:t>
      </w:r>
      <w:hyperlink r:id="rId5">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455B.299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567—44.2</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title. </w:t>
      </w:r>
      <w:r>
        <w:rPr>
          <w:rFonts w:ascii="Times New Roman" w:hAnsi="Times New Roman"/>
          <w:b w:val="false"/>
          <w:i w:val="false"/>
          <w:color w:val="000000"/>
          <w:sz w:val="22"/>
        </w:rPr>
        <w:t xml:space="preserve">The department and the Iowa Finance Authority (authority) are jointly designated to administer the DWSRF loan program to assist in the financing of infrastructure projects pursuant to the Safe Drinking Water Act (SDWA). The director will coordinate with the authority under the terms of an interagency agreement entered into pursuant to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567—44.3</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val="false"/>
          <w:color w:val="000000"/>
          <w:sz w:val="22"/>
        </w:rPr>
        <w:t>The DWSRF provides financial assistance to eligible public water supply systems (PWS) for the design and construction of facilities to ensure public health and the provision of safe and adequate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val="false"/>
          <w:color w:val="000000"/>
          <w:sz w:val="22"/>
        </w:rPr>
        <w:t>The EPA provides capitalization grants for this program to the department. Financial assistance projects must be in conformance with the requirements of the Public Health Service Act (</w:t>
      </w:r>
      <w:r>
        <w:rPr>
          <w:rFonts w:ascii="Times New Roman" w:hAnsi="Times New Roman"/>
          <w:b w:val="false"/>
          <w:i w:val="false"/>
          <w:color w:val="000000"/>
          <w:sz w:val="22"/>
        </w:rPr>
        <w:t>42 U.S.C. 300f et seq.</w:t>
      </w:r>
      <w:r>
        <w:rPr>
          <w:rFonts w:ascii="Times New Roman" w:hAnsi="Times New Roman"/>
          <w:b w:val="false"/>
          <w:i w:val="false"/>
          <w:color w:val="000000"/>
          <w:sz w:val="22"/>
        </w:rPr>
        <w:t>), United States Code, Title XIV, Section 1452, Part E, and must comply with this chapter to be eligible for a DWSRF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priorities for the use of the DWSRF and publishes them in its intended use plan (IUP). The IUP will identify all proposed uses of set-asides and available loan funds. All potentially funded projects must be approved by the department and the environmental protection commission (EPC).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567—44.4</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and abbreviations provided in </w:t>
      </w:r>
      <w:hyperlink r:id="rId8">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567—44.5</w:t>
      </w:r>
      <w:r>
        <w:rPr>
          <w:rFonts w:ascii="Times New Roman" w:hAnsi="Times New Roman"/>
          <w:b/>
          <w:i w:val="false"/>
          <w:color w:val="000000"/>
          <w:sz w:val="22"/>
        </w:rPr>
        <w:t xml:space="preserve">(455B) </w:t>
      </w:r>
      <w:r>
        <w:rPr>
          <w:rFonts w:ascii="Times New Roman" w:hAnsi="Times New Roman"/>
          <w:b/>
          <w:i w:val="false"/>
          <w:color w:val="000000"/>
          <w:sz w:val="22"/>
        </w:rPr>
        <w:t xml:space="preserve">Set-asides. </w:t>
      </w:r>
      <w:r>
        <w:rPr>
          <w:rFonts w:ascii="Times New Roman" w:hAnsi="Times New Roman"/>
          <w:b w:val="false"/>
          <w:i w:val="false"/>
          <w:color w:val="000000"/>
          <w:sz w:val="22"/>
        </w:rPr>
        <w:t xml:space="preserve">The DWSRF may use a portion of the capitalization grant funds for set-asides, in accordance with </w:t>
      </w:r>
      <w:r>
        <w:rPr>
          <w:rFonts w:ascii="Times New Roman" w:hAnsi="Times New Roman"/>
          <w:b w:val="false"/>
          <w:i w:val="false"/>
          <w:color w:val="000000"/>
          <w:sz w:val="22"/>
        </w:rPr>
        <w:t>40 CFR §35.3535</w:t>
      </w:r>
      <w:r>
        <w:rPr>
          <w:rFonts w:ascii="Times New Roman" w:hAnsi="Times New Roman"/>
          <w:b w:val="false"/>
          <w:i w:val="false"/>
          <w:color w:val="000000"/>
          <w:sz w:val="22"/>
        </w:rPr>
        <w:t xml:space="preserve">. The SDWA authorizes set-aside funds to enable states to implement specific SDWA requirements. The amount and use of set-aside money is set each year in the IUP pursuant to rule </w:t>
      </w:r>
      <w:hyperlink r:id="rId9">
        <w:r>
          <w:rPr>
            <w:rStyle w:val="Hyperlink"/>
            <w:rFonts w:ascii="Times New Roman" w:hAnsi="Times New Roman"/>
            <w:b w:val="false"/>
            <w:i w:val="false"/>
            <w:color w:val="000000"/>
            <w:sz w:val="22"/>
          </w:rPr>
          <w:t>567—44.9</w:t>
        </w:r>
      </w:hyperlink>
      <w:r>
        <w:rPr>
          <w:rFonts w:ascii="Times New Roman" w:hAnsi="Times New Roman"/>
          <w:b w:val="false"/>
          <w:i w:val="false"/>
          <w:color w:val="000000"/>
          <w:sz w:val="22"/>
        </w:rPr>
        <w:t>(455B) and may be adjusted from year to year based on available funds and priorities as outlined in the IUP.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567—44.6</w:t>
      </w:r>
      <w:r>
        <w:rPr>
          <w:rFonts w:ascii="Times New Roman" w:hAnsi="Times New Roman"/>
          <w:b/>
          <w:i w:val="false"/>
          <w:color w:val="000000"/>
          <w:sz w:val="22"/>
        </w:rPr>
        <w:t xml:space="preserve">(455B)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Eligible systems. </w:t>
      </w:r>
      <w:r>
        <w:rPr>
          <w:rFonts w:ascii="Times New Roman" w:hAnsi="Times New Roman"/>
          <w:b w:val="false"/>
          <w:i w:val="false"/>
          <w:color w:val="000000"/>
          <w:sz w:val="22"/>
        </w:rPr>
        <w:t>The following systems are eligible to receive funds from the DWSRF for improvements as listed and defined in the SDWA amendments of 1996 (P.L. 104-182, August 6,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drinking water systems (CWSs).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Nonprofit nontransient noncommunity drinking water systems (NTNCs).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Cities and counties that are PWSs or can become viable new PWSs as a result of this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governmental subdivision of the state responsible for a PWS.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Ineligible systems and activities. </w:t>
      </w:r>
      <w:r>
        <w:rPr>
          <w:rFonts w:ascii="Times New Roman" w:hAnsi="Times New Roman"/>
          <w:b w:val="false"/>
          <w:i w:val="false"/>
          <w:color w:val="000000"/>
          <w:sz w:val="22"/>
        </w:rPr>
        <w:t>The following systems and activities are ineligible to receive funds from the DWSRF.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applicant that has not adopted and implemented satisfactory department-approved water conservation plans and practices, or demonstrated to the department an ongoing effort to adopt and implement such plans and practices within one calendar year from the date of the loan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applicant in significant noncompliance with any applicable primary drinking water regulation, unless the project will return the applicant 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applicant lacking viability (an applicant whose system lacks technical, financial, and managerial viability to comply with the SDWA and is nonviable or lacks capacity according to the definition in the SDWA), unless the applicant commits to undertake appropriate changes in operations, including ownership, management accounting, rates, maintenance, consolidation, alternative sources of water supply, or other procedures if the director determines that such changes are necessary to demonstrate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Projects and activities deemed ineligible for participation in the DWSRF by the EPA’s DWSRF regulations (</w:t>
      </w:r>
      <w:r>
        <w:rPr>
          <w:rFonts w:ascii="Times New Roman" w:hAnsi="Times New Roman"/>
          <w:b w:val="false"/>
          <w:i w:val="false"/>
          <w:color w:val="000000"/>
          <w:sz w:val="22"/>
        </w:rPr>
        <w:t>40 CFR Part 35</w:t>
      </w:r>
      <w:r>
        <w:rPr>
          <w:rFonts w:ascii="Times New Roman" w:hAnsi="Times New Roman"/>
          <w:b w:val="false"/>
          <w:i w:val="false"/>
          <w:color w:val="000000"/>
          <w:sz w:val="22"/>
        </w:rPr>
        <w:t>, Subpart L) or program guidance,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requirement. </w:t>
      </w:r>
      <w:r>
        <w:rPr>
          <w:rFonts w:ascii="Times New Roman" w:hAnsi="Times New Roman"/>
          <w:b w:val="false"/>
          <w:i w:val="false"/>
          <w:color w:val="000000"/>
          <w:sz w:val="22"/>
        </w:rPr>
        <w:t xml:space="preserve">An eligible system must submit to the department the name, certification number, and certification expiration date of the certified operator, pursuant to </w:t>
      </w:r>
      <w:hyperlink r:id="rId10">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in direct responsible charge for the facility operation before receiving a loan. A system without a certified operator shall not receive loan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567—44.7</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Applications for placement on the project priority list shall be accepted by the department on a continuous basis and will be presented to the EPC for approval according to the schedule described in the IUP. Application shall be made on the form provided by the department; the applicant may include additional information in the application. Forms may be obtained from </w:t>
      </w:r>
      <w:hyperlink r:id="rId11">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color w:val="000000"/>
          <w:sz w:val="22"/>
        </w:rPr>
        <w:t xml:space="preserve">Construction project application requirements. </w:t>
      </w:r>
      <w:r>
        <w:rPr>
          <w:rFonts w:ascii="Times New Roman" w:hAnsi="Times New Roman"/>
          <w:b w:val="false"/>
          <w:i w:val="false"/>
          <w:color w:val="000000"/>
          <w:sz w:val="22"/>
        </w:rPr>
        <w:t>An applicant seeking financial assistance for construction must include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entity’s current drinking water supply system, including a discussion of existing and potential problems or failures in the current system and compliance with state and federal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project for which financial assistance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estimate of the population and the number of households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completed Self-Assessment Manual for Iowa Water System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basis for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map showing the geographical area that the project is expected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cost estimate for the selected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amount of financial assistance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proposed project construction schedule;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preliminary engineering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color w:val="000000"/>
          <w:sz w:val="22"/>
        </w:rPr>
        <w:t xml:space="preserve">Preliminary engineering report requirements. </w:t>
      </w:r>
      <w:r>
        <w:rPr>
          <w:rFonts w:ascii="Times New Roman" w:hAnsi="Times New Roman"/>
          <w:b w:val="false"/>
          <w:i w:val="false"/>
          <w:color w:val="000000"/>
          <w:sz w:val="22"/>
        </w:rPr>
        <w:t>To be eligible for placement on the project priority list for a construction loan, a system must have a preliminary engineering report of potential system needs (also known as a “planning” study) approved by the department, and must submit to the director a written application for placement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567—44.8</w:t>
      </w:r>
      <w:r>
        <w:rPr>
          <w:rFonts w:ascii="Times New Roman" w:hAnsi="Times New Roman"/>
          <w:b/>
          <w:i w:val="false"/>
          <w:color w:val="000000"/>
          <w:sz w:val="22"/>
        </w:rPr>
        <w:t xml:space="preserve">(455B) </w:t>
      </w:r>
      <w:r>
        <w:rPr>
          <w:rFonts w:ascii="Times New Roman" w:hAnsi="Times New Roman"/>
          <w:b/>
          <w:i w:val="false"/>
          <w:color w:val="000000"/>
          <w:sz w:val="22"/>
        </w:rPr>
        <w:t xml:space="preserve">Project point ranking system (project priority list).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w:t>
      </w:r>
      <w:r>
        <w:rPr>
          <w:rFonts w:ascii="Times New Roman" w:hAnsi="Times New Roman"/>
          <w:b w:val="false"/>
          <w:i w:val="false"/>
          <w:color w:val="000000"/>
          <w:sz w:val="22"/>
        </w:rPr>
        <w:t>The director shall develop and maintain a project priority list of PWSs that have requested financial assistance through the DWSRF program to address either a new or an upgraded drinking water system, including individual subcomponents. The term “public water system projects” may also include separate segments or phases of a segmented or phased project. Projects will continue to be eligible for loan funding when funded for the first year of a multiyear project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ranking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construction project’s priority points shall be the total number of points assigned by the department pursuant to the scoring system delineated in </w:t>
      </w:r>
      <w:hyperlink r:id="rId12">
        <w:r>
          <w:rPr>
            <w:rStyle w:val="Hyperlink"/>
            <w:rFonts w:ascii="Times New Roman" w:hAnsi="Times New Roman"/>
            <w:b w:val="false"/>
            <w:i w:val="false"/>
            <w:color w:val="000000"/>
            <w:sz w:val="22"/>
          </w:rPr>
          <w:t>44.8(3)</w:t>
        </w:r>
      </w:hyperlink>
      <w:r>
        <w:rPr>
          <w:rFonts w:ascii="Times New Roman" w:hAnsi="Times New Roman"/>
          <w:b w:val="false"/>
          <w:i w:val="false"/>
          <w:color w:val="000000"/>
          <w:sz w:val="22"/>
        </w:rPr>
        <w:t>. All projects shall be listed in descending order on the published project priority list according to the number of total priority points assigned each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two or more projects have the same priority point total, the project sponsored by a system in the process of consolidation shall receive the higher priority. A private system in the process of forming and becoming a PWS shall have the next highest priority, and the entity with the smallest served population shall receive the next highest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most current official census population shall be used for all municipalities that serve only the population within their incorporated boundaries and that apply for these loan funds. For all other municipalities and other CWSs, and for NTNCs, population will be counted based on either the actual population, verifiable by the department, or population as calculated by multiplying by an occupancy factor of 2.5 persons per service connection. New systems will be counted based on census data, an occupancy factor of 2.5 persons per service connection, an occupancy factor of 2.5 persons per identifiable occupied building, or other means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Funding shall be offered to the projects with highest rank on the project priority list, subject to the project’s readiness to proceed, and shall proceed from the highest project downward, subject to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published project priority list shall be included in the department’s IUP pursuant to </w:t>
      </w:r>
      <w:hyperlink r:id="rId13">
        <w:r>
          <w:rPr>
            <w:rStyle w:val="Hyperlink"/>
            <w:rFonts w:ascii="Times New Roman" w:hAnsi="Times New Roman"/>
            <w:b w:val="false"/>
            <w:i w:val="false"/>
            <w:color w:val="000000"/>
            <w:sz w:val="22"/>
          </w:rPr>
          <w:t>567—44.9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Projects involving a multiyear, phased effort may carry over their original priority point total from the previous year’s application, provided that the project owner reapplies at each 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44.8(3)</w:t>
      </w: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scoring criteria. </w:t>
      </w:r>
      <w:r>
        <w:rPr>
          <w:rFonts w:ascii="Times New Roman" w:hAnsi="Times New Roman"/>
          <w:b w:val="false"/>
          <w:i w:val="false"/>
          <w:color w:val="000000"/>
          <w:sz w:val="22"/>
        </w:rPr>
        <w:t>Eligible public drinking water supply projects shall be scored pursuant to the following priority point scoring system.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DWSRF PROJECT SCORING SYSTEM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(Multiple attributes within a lettered subcategory are not additive, but points are additive from other subcategories; consolidation/restructuring is an approved option to correct violations or “improve” treatment.)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368"/>
        <w:gridCol w:w="1152"/>
      </w:tblGrid>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i w:val="false"/>
                <w:color w:val="000000"/>
                <w:sz w:val="16"/>
              </w:rPr>
              <w:t>Scoring Criterion</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Points</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A. Human Health Risk-related Criteria (maximum of 60 points)</w:t>
            </w:r>
          </w:p>
        </w:tc>
      </w:tr>
      <w:tr>
        <w:trPr>
          <w:trHeight w:val="40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 xml:space="preserve">1. Correction of acute MCL or Tier I TT violation as defined in </w:t>
            </w:r>
            <w:hyperlink r:id="rId14">
              <w:r>
                <w:rPr>
                  <w:rStyle w:val="Hyperlink"/>
                  <w:rFonts w:ascii="Times New Roman" w:hAnsi="Times New Roman"/>
                  <w:b w:val="false"/>
                  <w:i w:val="false"/>
                  <w:color w:val="000000"/>
                  <w:sz w:val="16"/>
                </w:rPr>
                <w:t>567—paragraph 42.1(2)</w:t>
              </w:r>
            </w:hyperlink>
            <w:r>
              <w:rPr>
                <w:rFonts w:ascii="Times New Roman" w:hAnsi="Times New Roman"/>
                <w:b w:val="false"/>
                <w:i/>
                <w:color w:val="000000"/>
                <w:sz w:val="16"/>
              </w:rPr>
              <w:t>“a”</w:t>
            </w:r>
            <w:r>
              <w:rPr>
                <w:rFonts w:ascii="Times New Roman" w:hAnsi="Times New Roman"/>
                <w:b w:val="false"/>
                <w:i w:val="false"/>
                <w:color w:val="000000"/>
                <w:sz w:val="16"/>
              </w:rPr>
              <w:t xml:space="preserve"> (fecal coliform, nitrate, nitrite, chlorine dioxide, turbidity, CT corrective measures, and Giardia), or resolution of a health-based related BCA</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60</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2. Correction of nonacute MCL violation (IOCs excluding acute contaminants, radionuclides, SOCs, VOCs)</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3. Correction of an expected MCL or TT violation (acute or nonacute)</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40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 xml:space="preserve">4. Correction of Tier II TT violation as defined in </w:t>
            </w:r>
            <w:hyperlink r:id="rId15">
              <w:r>
                <w:rPr>
                  <w:rStyle w:val="Hyperlink"/>
                  <w:rFonts w:ascii="Times New Roman" w:hAnsi="Times New Roman"/>
                  <w:b w:val="false"/>
                  <w:i w:val="false"/>
                  <w:color w:val="000000"/>
                  <w:sz w:val="16"/>
                </w:rPr>
                <w:t>567—paragraph 42.1(3)</w:t>
              </w:r>
            </w:hyperlink>
            <w:r>
              <w:rPr>
                <w:rFonts w:ascii="Times New Roman" w:hAnsi="Times New Roman"/>
                <w:b w:val="false"/>
                <w:i/>
                <w:color w:val="000000"/>
                <w:sz w:val="16"/>
              </w:rPr>
              <w:t>“a”</w:t>
            </w:r>
            <w:r>
              <w:rPr>
                <w:rFonts w:ascii="Times New Roman" w:hAnsi="Times New Roman"/>
                <w:b w:val="false"/>
                <w:i w:val="false"/>
                <w:color w:val="000000"/>
                <w:sz w:val="16"/>
              </w:rPr>
              <w:t xml:space="preserve"> (Pb/Cu corrective measures, disinfection byproduct precursor removal)</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40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5. Mitigation of an imminent threat from groundwater contamination (from a UST site, CERCLA site, or uncontrolled site)</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40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6. Connection of individual residences to PWS to eliminate use of contaminated individual private wells (bacterial, nitrate, radionuclide, or IOC/VOC/SOC well contamination all eligible)</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7. Replacement of asbestos cement pipe (replace at least 200 feet of pipe)</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B. Infrastructure and Engineering-related Improvement Criteria (maximum of 35 points)</w:t>
            </w:r>
          </w:p>
        </w:tc>
      </w:tr>
      <w:tr>
        <w:trPr>
          <w:trHeight w:val="11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Development of system redundancy and additional source to meet peak day demand with largest well or intake out of service; plant process rehabilitation (to ensure redundancy of treatment units to protect against acute or chronic MCL with system’s largest treatment unit out of service); water storage improvements (reliability enhancement to increase effective storage to Average Daily Demand, including either at-ground or elevated storage); pumping improvements (meeting hydraulic and Ten-State Standard requirements for Average Daily Demand); or resolution of an infrastructure-related BCA</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58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2. Water systems over capacity expansion. Points are allowable only when the system is operating at 85% or more of system design capacity. Source, plant, or distribution system improvements for system expansion are all eligible under this category.</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r>
      <w:tr>
        <w:trPr>
          <w:trHeight w:val="40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3. Pressure and other distribution system improvements, including pump upgrades, pipe looping, valves, fittings, line replacement, hydrants, pumping stations, and water meters</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r>
      <w:tr>
        <w:trPr>
          <w:trHeight w:val="58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4. Construction of resiliency projects to mitigate expected reduction or degradation of source and/or finished water quality or quantity caused by disaster events including but not limited to floods, droughts, ice storms, tornadoes, and cyberattacks</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5. Treatment plant improvements, excluding operation and maintenance costs</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40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6. Provision of emergency power/emergency pumping capacity including purchase of diesel generators or installation of automatic switching systems</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7. Security improvements (fencing, lighting, video surveillance, locks, access control)</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C. Affordability Criteria (maximum of 15 points)</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System meets the state DWSRF program’s Disadvantaged Community (DAC) criteria as defined in the IUP</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D. Special Category Improvements (maximum of 15 points)</w:t>
            </w:r>
          </w:p>
        </w:tc>
      </w:tr>
      <w:tr>
        <w:trPr>
          <w:trHeight w:val="40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Wellhead or source water protection plan development or implementation meeting department standards, including loans for land or easement acquisition</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2. Water conservation measures/conservation plan preparation, adoption, and enforcement</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E. Department Adjustment Factor for Population</w:t>
            </w:r>
          </w:p>
        </w:tc>
      </w:tr>
      <w:tr>
        <w:trPr>
          <w:trHeight w:val="225" w:hRule="atLeast"/>
        </w:trPr>
        <w:tc>
          <w:tcPr>
            <w:tcW w:w="10368"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(Project Serves) Population less than 10,000</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r>
      <w:tr>
        <w:trPr>
          <w:trHeight w:val="225" w:hRule="atLeast"/>
        </w:trPr>
        <w:tc>
          <w:tcPr>
            <w:tcW w:w="10368" w:type="dxa"/>
            <w:tcBorders>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TOTAL MAXIMUM POINTS</w:t>
            </w:r>
          </w:p>
        </w:tc>
        <w:tc>
          <w:tcPr>
            <w:tcW w:w="115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567—44.9</w:t>
      </w:r>
      <w:r>
        <w:rPr>
          <w:rFonts w:ascii="Times New Roman" w:hAnsi="Times New Roman"/>
          <w:b/>
          <w:i w:val="false"/>
          <w:color w:val="000000"/>
          <w:sz w:val="22"/>
        </w:rPr>
        <w:t xml:space="preserve">(455B) </w:t>
      </w:r>
      <w:r>
        <w:rPr>
          <w:rFonts w:ascii="Times New Roman" w:hAnsi="Times New Roman"/>
          <w:b/>
          <w:i w:val="false"/>
          <w:color w:val="000000"/>
          <w:sz w:val="22"/>
        </w:rPr>
        <w:t xml:space="preserve">Intended use plan (IUP).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director shall prepare an IUP at least annually and on a quarterly basis as needed. The IUP will be subject to a public hearing and approved by the commission and EPA.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IUP will identify the anticipated uses of loan funds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project priority list (defined in rule </w:t>
      </w:r>
      <w:hyperlink r:id="rId16">
        <w:r>
          <w:rPr>
            <w:rStyle w:val="Hyperlink"/>
            <w:rFonts w:ascii="Times New Roman" w:hAnsi="Times New Roman"/>
            <w:b w:val="false"/>
            <w:i w:val="false"/>
            <w:color w:val="000000"/>
            <w:sz w:val="22"/>
          </w:rPr>
          <w:t>567—44.8</w:t>
        </w:r>
      </w:hyperlink>
      <w:r>
        <w:rPr>
          <w:rFonts w:ascii="Times New Roman" w:hAnsi="Times New Roman"/>
          <w:b w:val="false"/>
          <w:i w:val="false"/>
          <w:color w:val="000000"/>
          <w:sz w:val="22"/>
        </w:rPr>
        <w:t xml:space="preserve">(455B)) that includes all projects that are eligible for DWSRF loans. The list will comply with </w:t>
      </w:r>
      <w:r>
        <w:rPr>
          <w:rFonts w:ascii="Times New Roman" w:hAnsi="Times New Roman"/>
          <w:b w:val="false"/>
          <w:i w:val="false"/>
          <w:color w:val="000000"/>
          <w:sz w:val="22"/>
        </w:rPr>
        <w:t>40 CFR §35.3555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Discussion of the long-term and short-term DWSRF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the types of activities to be supported by the DWSRF, including requests for planning and design loans and any proposed activities eligible for assistance under set-aside authority of the SDWA;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method by which the IUP may be amended;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Assurances on how the state intends to meet environmental review requirements of the SDWA.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44.9(3)</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department will consider the following in developing the list of eligible recipients for inclusion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 project will be ready to proceed on a schedule consistent with time requirements for outlay of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project addresses the need upon which the system’s priority is based.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567—44.10</w:t>
      </w:r>
      <w:r>
        <w:rPr>
          <w:rFonts w:ascii="Times New Roman" w:hAnsi="Times New Roman"/>
          <w:b/>
          <w:i w:val="false"/>
          <w:color w:val="000000"/>
          <w:sz w:val="22"/>
        </w:rPr>
        <w:t xml:space="preserve">(455B) </w:t>
      </w:r>
      <w:r>
        <w:rPr>
          <w:rFonts w:ascii="Times New Roman" w:hAnsi="Times New Roman"/>
          <w:b/>
          <w:i w:val="false"/>
          <w:color w:val="000000"/>
          <w:sz w:val="22"/>
        </w:rPr>
        <w:t xml:space="preserve">Department review and approval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44.10(1)</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conference. </w:t>
      </w:r>
      <w:r>
        <w:rPr>
          <w:rFonts w:ascii="Times New Roman" w:hAnsi="Times New Roman"/>
          <w:b w:val="false"/>
          <w:i w:val="false"/>
          <w:color w:val="000000"/>
          <w:sz w:val="22"/>
        </w:rPr>
        <w:t>The department may require a project initiation meeting with an applicant or the applicants’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44.10(2)</w:t>
      </w:r>
      <w:r>
        <w:rPr>
          <w:rFonts w:ascii="Times New Roman" w:hAnsi="Times New Roman"/>
          <w:b w:val="false"/>
          <w:i w:val="false"/>
          <w:color w:val="000000"/>
          <w:sz w:val="22"/>
        </w:rPr>
        <w:t> </w:t>
      </w:r>
      <w:r>
        <w:rPr>
          <w:rFonts w:ascii="Times New Roman" w:hAnsi="Times New Roman"/>
          <w:b w:val="false"/>
          <w:i/>
          <w:color w:val="000000"/>
          <w:sz w:val="22"/>
        </w:rPr>
        <w:t xml:space="preserve">Required project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seeking financial assistance from the DWSRF for a construction project must provide the following information to the director for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construction permit application pursuant to 567—Chapters </w:t>
      </w:r>
      <w:hyperlink r:id="rId1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including plans and specifications, consistent with the IUP and the approved preliminary engineering report submitted pursuant to </w:t>
      </w:r>
      <w:hyperlink r:id="rId19">
        <w:r>
          <w:rPr>
            <w:rStyle w:val="Hyperlink"/>
            <w:rFonts w:ascii="Times New Roman" w:hAnsi="Times New Roman"/>
            <w:b w:val="false"/>
            <w:i w:val="false"/>
            <w:color w:val="000000"/>
            <w:sz w:val="22"/>
          </w:rPr>
          <w:t>44.7(3)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planned project, including the construction requirements necessary to complete the project as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latest engineering cost estimate for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demonstration of the applicant’s ability to provide the necessary legal, institutional, managerial, and financial capability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portions of projects not meeting eligibility requirements may be excluded from the funded project, but included in the submitted plans and specifications if the applicant chooses to keep the loan-ineligible part of the project as part of the overall system improvement. Ineligible portions of projects include but are not limited to dams, water rights, monitoring costs, operation and maintenance expenses, projects designed primarily in anticipation of speculative growth, and projects needed primarily for fire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Departmental review requirements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and approval of construction projects submitted as required under </w:t>
      </w:r>
      <w:hyperlink r:id="rId20">
        <w:r>
          <w:rPr>
            <w:rStyle w:val="Hyperlink"/>
            <w:rFonts w:ascii="Times New Roman" w:hAnsi="Times New Roman"/>
            <w:b w:val="false"/>
            <w:i w:val="false"/>
            <w:color w:val="000000"/>
            <w:sz w:val="22"/>
          </w:rPr>
          <w:t>567—44.7</w:t>
        </w:r>
      </w:hyperlink>
      <w:r>
        <w:rPr>
          <w:rFonts w:ascii="Times New Roman" w:hAnsi="Times New Roman"/>
          <w:b w:val="false"/>
          <w:i w:val="false"/>
          <w:color w:val="000000"/>
          <w:sz w:val="22"/>
        </w:rPr>
        <w:t xml:space="preserve">(455B) and the plans and specifications as required under </w:t>
      </w:r>
      <w:hyperlink r:id="rId21">
        <w:r>
          <w:rPr>
            <w:rStyle w:val="Hyperlink"/>
            <w:rFonts w:ascii="Times New Roman" w:hAnsi="Times New Roman"/>
            <w:b w:val="false"/>
            <w:i w:val="false"/>
            <w:color w:val="000000"/>
            <w:sz w:val="22"/>
          </w:rPr>
          <w:t>44.10(2)</w:t>
        </w:r>
      </w:hyperlink>
      <w:r>
        <w:rPr>
          <w:rFonts w:ascii="Times New Roman" w:hAnsi="Times New Roman"/>
          <w:b w:val="false"/>
          <w:i w:val="false"/>
          <w:color w:val="000000"/>
          <w:sz w:val="22"/>
        </w:rPr>
        <w:t>, and following a determination that the project meets the applicable requirements of the SDWA, federal regulations, Iowa statutes, and relevant portions of this chapter, the director shall approve the project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is an alteration (change order) to a project after the director approves the project, the eligible applicant must request, in writing, an amended department approval. The director shall review the request and proposed project alteration (change order) and, upon a determination that the project meets the applicable SDWA requirements, federal regulations, the August 7, 2000, DWSRF: Interim Final Rule (</w:t>
      </w:r>
      <w:r>
        <w:rPr>
          <w:rFonts w:ascii="Times New Roman" w:hAnsi="Times New Roman"/>
          <w:b w:val="false"/>
          <w:i w:val="false"/>
          <w:color w:val="000000"/>
          <w:sz w:val="22"/>
        </w:rPr>
        <w:t>40 CFR Part 35</w:t>
      </w:r>
      <w:r>
        <w:rPr>
          <w:rFonts w:ascii="Times New Roman" w:hAnsi="Times New Roman"/>
          <w:b w:val="false"/>
          <w:i w:val="false"/>
          <w:color w:val="000000"/>
          <w:sz w:val="22"/>
        </w:rPr>
        <w:t>, Subpart L), program guidance, Iowa statutes, and relevant portions of this chapter, the director shall approve the project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project is not approved, the director shall notify the applicant in writing of the reason for disapproval.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567—44.11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administrative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44.11(1)</w:t>
      </w: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 xml:space="preserve">Allowable costs shall be limited to those costs deemed necessary, reasonable, and directly related to the efficient completion of the project. The director will determine project costs eligible for state assistance in accordance with rule </w:t>
      </w:r>
      <w:hyperlink r:id="rId22">
        <w:r>
          <w:rPr>
            <w:rStyle w:val="Hyperlink"/>
            <w:rFonts w:ascii="Times New Roman" w:hAnsi="Times New Roman"/>
            <w:b w:val="false"/>
            <w:i w:val="false"/>
            <w:color w:val="000000"/>
            <w:sz w:val="22"/>
          </w:rPr>
          <w:t>567—44.6</w:t>
        </w:r>
      </w:hyperlink>
      <w:r>
        <w:rPr>
          <w:rFonts w:ascii="Times New Roman" w:hAnsi="Times New Roman"/>
          <w:b w:val="false"/>
          <w:i w:val="false"/>
          <w:color w:val="000000"/>
          <w:sz w:val="22"/>
        </w:rPr>
        <w:t>(455B). Land purchase, easement, or rights-of-way costs are ineligible, with the exception of land that is integral to a project needed to meet or maintain public health protection and that is needed to locate eligible treatment or distribution works. Source water protection easements are considered to be integral to a project. The acquisition of land or easements has to be from a willing seller. In addition to costs identified in this chapter, unallowable costs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of service lines, except lead-containing service lines and connectors;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of in-house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Administrative costs of the loan recipient;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of vehicles and tools.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44.11(2)</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recipient shall provide access at all times for the department, the authority, the state auditor, and the Office of the Inspector General (OIG) at EPA to all project records and documents for inspection and audit purposes for a period of three years from the date of the final loan payment. The same access to the project site(s) shall be provided for inspection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44.11(3)</w:t>
      </w:r>
      <w:r>
        <w:rPr>
          <w:rFonts w:ascii="Times New Roman" w:hAnsi="Times New Roman"/>
          <w:b w:val="false"/>
          <w:i w:val="false"/>
          <w:color w:val="000000"/>
          <w:sz w:val="22"/>
        </w:rPr>
        <w:t> </w:t>
      </w:r>
      <w:r>
        <w:rPr>
          <w:rFonts w:ascii="Times New Roman" w:hAnsi="Times New Roman"/>
          <w:b w:val="false"/>
          <w:i/>
          <w:color w:val="000000"/>
          <w:sz w:val="22"/>
        </w:rPr>
        <w:t xml:space="preserve">Cross-cutters. </w:t>
      </w:r>
      <w:r>
        <w:rPr>
          <w:rFonts w:ascii="Times New Roman" w:hAnsi="Times New Roman"/>
          <w:b w:val="false"/>
          <w:i w:val="false"/>
          <w:color w:val="000000"/>
          <w:sz w:val="22"/>
        </w:rPr>
        <w:t>Other federal and state statutes and programs, including federal “cross-cutters,” will be applicable to DWSRF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44.11(4)</w:t>
      </w:r>
      <w:r>
        <w:rPr>
          <w:rFonts w:ascii="Times New Roman" w:hAnsi="Times New Roman"/>
          <w:b w:val="false"/>
          <w:i w:val="false"/>
          <w:color w:val="000000"/>
          <w:sz w:val="22"/>
        </w:rPr>
        <w:t> </w:t>
      </w:r>
      <w:r>
        <w:rPr>
          <w:rFonts w:ascii="Times New Roman" w:hAnsi="Times New Roman"/>
          <w:b w:val="false"/>
          <w:i/>
          <w:color w:val="000000"/>
          <w:sz w:val="22"/>
        </w:rPr>
        <w:t xml:space="preserve">Additional loan amount. </w:t>
      </w:r>
      <w:r>
        <w:rPr>
          <w:rFonts w:ascii="Times New Roman" w:hAnsi="Times New Roman"/>
          <w:b w:val="false"/>
          <w:i w:val="false"/>
          <w:color w:val="000000"/>
          <w:sz w:val="22"/>
        </w:rPr>
        <w:t>If eligible costs exceed the loan amount, the recipient may request an increase. The director in coordination with the authority will evaluate the request by considering available money in the fund as well as compliance with other state and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567—44.12</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Construction phase and postconstruction phase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44.12(1)</w:t>
      </w:r>
      <w:r>
        <w:rPr>
          <w:rFonts w:ascii="Times New Roman" w:hAnsi="Times New Roman"/>
          <w:b w:val="false"/>
          <w:i w:val="false"/>
          <w:color w:val="000000"/>
          <w:sz w:val="22"/>
        </w:rPr>
        <w:t> </w:t>
      </w:r>
      <w:r>
        <w:rPr>
          <w:rFonts w:ascii="Times New Roman" w:hAnsi="Times New Roman"/>
          <w:b w:val="false"/>
          <w:i/>
          <w:color w:val="000000"/>
          <w:sz w:val="22"/>
        </w:rPr>
        <w:t xml:space="preserve">Final inspection. </w:t>
      </w:r>
      <w:r>
        <w:rPr>
          <w:rFonts w:ascii="Times New Roman" w:hAnsi="Times New Roman"/>
          <w:b w:val="false"/>
          <w:i w:val="false"/>
          <w:color w:val="000000"/>
          <w:sz w:val="22"/>
        </w:rPr>
        <w:t>A final inspection of the project may be performed by the director to verify that construction is complete (except for weather-related items) and conforms with the approved plans and specifications and all approved change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44.12(2)</w:t>
      </w:r>
      <w:r>
        <w:rPr>
          <w:rFonts w:ascii="Times New Roman" w:hAnsi="Times New Roman"/>
          <w:b w:val="false"/>
          <w:i w:val="false"/>
          <w:color w:val="000000"/>
          <w:sz w:val="22"/>
        </w:rPr>
        <w:t> </w:t>
      </w:r>
      <w:r>
        <w:rPr>
          <w:rFonts w:ascii="Times New Roman" w:hAnsi="Times New Roman"/>
          <w:b w:val="false"/>
          <w:i/>
          <w:color w:val="000000"/>
          <w:sz w:val="22"/>
        </w:rPr>
        <w:t xml:space="preserve">Adequate project performance. </w:t>
      </w:r>
      <w:r>
        <w:rPr>
          <w:rFonts w:ascii="Times New Roman" w:hAnsi="Times New Roman"/>
          <w:b w:val="false"/>
          <w:i w:val="false"/>
          <w:color w:val="000000"/>
          <w:sz w:val="22"/>
        </w:rPr>
        <w:t>The department shall undertake measures to discern adequate project performance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loan recipient must certify to the director that the project is operating as planned and designed using a form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loan recipient is unable to certify that the project is operating as planned and designed, the recipient must submit a corrective action report to the director for review and approval. An acceptable corrective action report must contain an analysis of the project’s failure to operate as designed; a discussion of the nature, scope, and cost of the action needed to correct the failure; and a schedule for completing the corrective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567—44.13</w:t>
      </w:r>
      <w:r>
        <w:rPr>
          <w:rFonts w:ascii="Times New Roman" w:hAnsi="Times New Roman"/>
          <w:b/>
          <w:i w:val="false"/>
          <w:color w:val="000000"/>
          <w:sz w:val="22"/>
        </w:rPr>
        <w:t xml:space="preserve">(455B)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Failure of a project to conform to approved plans and specifications or failure of a loan recipient to comply with the requirements of </w:t>
      </w:r>
      <w:hyperlink r:id="rId23">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567—Chapter 44</w:t>
        </w:r>
      </w:hyperlink>
      <w:r>
        <w:rPr>
          <w:rFonts w:ascii="Times New Roman" w:hAnsi="Times New Roman"/>
          <w:b w:val="false"/>
          <w:i w:val="false"/>
          <w:color w:val="000000"/>
          <w:sz w:val="22"/>
        </w:rPr>
        <w:t xml:space="preserve"> constitutes grounds for the withholding of loan disbursements. The loan recipient is then responsible for ensuring that the identified problem is rectified such that disbursements may be resumed. Once an agreement for correcting the conditions that led to the withholding of funds is reached between the department and the loan recipient, the retained funds shall be released according to the provisions of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567—44.14</w:t>
      </w:r>
      <w:r>
        <w:rPr>
          <w:rFonts w:ascii="Times New Roman" w:hAnsi="Times New Roman"/>
          <w:b/>
          <w:i w:val="false"/>
          <w:color w:val="000000"/>
          <w:sz w:val="22"/>
        </w:rPr>
        <w:t xml:space="preserve">(455B) </w:t>
      </w:r>
      <w:r>
        <w:rPr>
          <w:rFonts w:ascii="Times New Roman" w:hAnsi="Times New Roman"/>
          <w:b/>
          <w:i w:val="false"/>
          <w:color w:val="000000"/>
          <w:sz w:val="22"/>
        </w:rPr>
        <w:t xml:space="preserve">Disputes. </w:t>
      </w:r>
      <w:r>
        <w:rPr>
          <w:rFonts w:ascii="Times New Roman" w:hAnsi="Times New Roman"/>
          <w:b w:val="false"/>
          <w:i w:val="false"/>
          <w:color w:val="000000"/>
          <w:sz w:val="22"/>
        </w:rPr>
        <w:t>A person or entity that disagrees with the project rankings, department decisions, or the withholding of project funding pursuant to this chapter may request a formal review of the action. A person or entity must submit a review request in writing to the director within 45 days of the action date. A decision by the director in a formal review case may be further appealed to the EPC.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455B.299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12/19/97, Notice 9/10/97—published 1/14/98, effective 2/18/98]</w:t>
      </w:r>
    </w:p>
    <w:p>
      <w:pPr>
        <w:spacing w:before="0" w:after="0"/>
        <w:ind w:left="120"/>
        <w:jc w:val="center"/>
      </w:pPr>
      <w:r>
        <w:rPr>
          <w:rFonts w:ascii="Times New Roman" w:hAnsi="Times New Roman"/>
          <w:b w:val="false"/>
          <w:i w:val="false"/>
          <w:color w:val="000000"/>
          <w:sz w:val="21"/>
        </w:rPr>
        <w:t>[Filed emergency 10/26/01—published 11/14/01, effective 10/26/01]</w:t>
      </w:r>
    </w:p>
    <w:p>
      <w:pPr>
        <w:spacing w:before="0" w:after="0"/>
        <w:ind w:left="120"/>
        <w:jc w:val="center"/>
      </w:pPr>
      <w:r>
        <w:rPr>
          <w:rFonts w:ascii="Times New Roman" w:hAnsi="Times New Roman"/>
          <w:b w:val="false"/>
          <w:i w:val="false"/>
          <w:color w:val="000000"/>
          <w:sz w:val="21"/>
        </w:rPr>
        <w:t>[Filed 5/24/02, Notice 11/14/01—published 6/12/02, effective 7/17/02]</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9198C</w:t>
      </w:r>
      <w:r>
        <w:rPr>
          <w:rFonts w:ascii="Times New Roman" w:hAnsi="Times New Roman"/>
          <w:b w:val="false"/>
          <w:i w:val="false"/>
          <w:color w:val="000000"/>
          <w:sz w:val="21"/>
        </w:rPr>
        <w:t xml:space="preserve"> (Notice ARC 8625C,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91.pdf" Type="http://schemas.openxmlformats.org/officeDocument/2006/relationships/hyperlink" Id="rId5"/>
    <Relationship TargetMode="External" Target="https://www.legis.iowa.gov/docs/ico/chapter/455B.299.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ac/chapter/567.40.pdf" Type="http://schemas.openxmlformats.org/officeDocument/2006/relationships/hyperlink" Id="rId8"/>
    <Relationship TargetMode="External" Target="https://www.legis.iowa.gov/docs/iac/rule/567.44.9.pdf" Type="http://schemas.openxmlformats.org/officeDocument/2006/relationships/hyperlink" Id="rId9"/>
    <Relationship TargetMode="External" Target="https://www.legis.iowa.gov/docs/iac/chapter/567.81.pdf" Type="http://schemas.openxmlformats.org/officeDocument/2006/relationships/hyperlink" Id="rId10"/>
    <Relationship TargetMode="External" Target="http://www.iowasrf.com" Type="http://schemas.openxmlformats.org/officeDocument/2006/relationships/hyperlink" Id="rId11"/>
    <Relationship TargetMode="External" Target="https://www.legis.iowa.gov/docs/iac/rule/567.44.8.pdf" Type="http://schemas.openxmlformats.org/officeDocument/2006/relationships/hyperlink" Id="rId12"/>
    <Relationship TargetMode="External" Target="https://www.legis.iowa.gov/docs/iac/rule/567.44.9.pdf" Type="http://schemas.openxmlformats.org/officeDocument/2006/relationships/hyperlink" Id="rId13"/>
    <Relationship TargetMode="External" Target="https://www.legis.iowa.gov/docs/iac/rule/567.42.1.pdf" Type="http://schemas.openxmlformats.org/officeDocument/2006/relationships/hyperlink" Id="rId14"/>
    <Relationship TargetMode="External" Target="https://www.legis.iowa.gov/docs/iac/rule/567.42.1.pdf" Type="http://schemas.openxmlformats.org/officeDocument/2006/relationships/hyperlink" Id="rId15"/>
    <Relationship TargetMode="External" Target="https://www.legis.iowa.gov/docs/iac/rule/567.44.8.pdf" Type="http://schemas.openxmlformats.org/officeDocument/2006/relationships/hyperlink" Id="rId16"/>
    <Relationship TargetMode="External" Target="https://www.legis.iowa.gov/docs/iac/chapter/567.41.pdf" Type="http://schemas.openxmlformats.org/officeDocument/2006/relationships/hyperlink" Id="rId17"/>
    <Relationship TargetMode="External" Target="https://www.legis.iowa.gov/docs/iac/chapter/567.43.pdf" Type="http://schemas.openxmlformats.org/officeDocument/2006/relationships/hyperlink" Id="rId18"/>
    <Relationship TargetMode="External" Target="https://www.legis.iowa.gov/docs/iac/rule/567.44.7.pdf" Type="http://schemas.openxmlformats.org/officeDocument/2006/relationships/hyperlink" Id="rId19"/>
    <Relationship TargetMode="External" Target="https://www.legis.iowa.gov/docs/iac/rule/567.44.7.pdf" Type="http://schemas.openxmlformats.org/officeDocument/2006/relationships/hyperlink" Id="rId20"/>
    <Relationship TargetMode="External" Target="https://www.legis.iowa.gov/docs/iac/rule/567.44.10.pdf" Type="http://schemas.openxmlformats.org/officeDocument/2006/relationships/hyperlink" Id="rId21"/>
    <Relationship TargetMode="External" Target="https://www.legis.iowa.gov/docs/iac/rule/567.44.6.pdf" Type="http://schemas.openxmlformats.org/officeDocument/2006/relationships/hyperlink" Id="rId22"/>
    <Relationship TargetMode="External" Target="https://www.legis.iowa.gov/docs/iac/chapter/567.40.pdf" Type="http://schemas.openxmlformats.org/officeDocument/2006/relationships/hyperlink" Id="rId23"/>
    <Relationship TargetMode="External" Target="https://www.legis.iowa.gov/docs/iac/chapter/567.44.pdf" Type="http://schemas.openxmlformats.org/officeDocument/2006/relationships/hyperlink" Id="rId24"/>
    <Relationship TargetMode="External" Target="https://www.legis.iowa.gov/docs/ico/chapter/455B.291.pdf" Type="http://schemas.openxmlformats.org/officeDocument/2006/relationships/hyperlink" Id="rId25"/>
    <Relationship TargetMode="External" Target="https://www.legis.iowa.gov/docs/ico/chapter/455B.299.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