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WATER SUPPLIES—DESIGN AND OPERATION</w:t>
      </w:r>
    </w:p>
    <w:p>
      <w:pPr>
        <w:spacing w:before="0" w:after="0"/>
        <w:ind w:left="120"/>
        <w:jc w:val="center"/>
      </w:pPr>
      <w:r>
        <w:rPr>
          <w:rFonts w:ascii="Times New Roman" w:hAnsi="Times New Roman"/>
          <w:b w:val="false"/>
          <w:i w:val="false"/>
          <w:color w:val="000000"/>
          <w:sz w:val="14"/>
        </w:rPr>
        <w:t>[Prior to 12/12/90, portions of this chapter appeared in 567—Ch 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567—43.1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actions regarding water supplies. </w:t>
      </w:r>
      <w:r>
        <w:rPr>
          <w:rFonts w:ascii="Times New Roman" w:hAnsi="Times New Roman"/>
          <w:b w:val="false"/>
          <w:i w:val="false"/>
          <w:color w:val="000000"/>
          <w:sz w:val="22"/>
        </w:rPr>
        <w:t>When, in the opinion of the director, an actual or imminent hazard exists, a water supplier shall comply with the directives or orders of the director necessary to eliminate or minimize that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hauling on an emergency basis. A system that is providing finished drinking water hauled from another PWS must ensure the safety of the water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Hauled water must come from a PWS currently regulated by the department and in compliance with </w:t>
      </w:r>
      <w:hyperlink r:id="rId5">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Written department approval is required prior to the use of water from any PWS with a chronic health-based standard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receiving PWS must have written department approval prior to the use of water from any PWS located in another state. The providing PWS must be in compliance with SDWA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hauled water must be disinfected with chlorine to ensure bacterial safety in the tanker, storage vessel, and distribution system. If the PWS providing the water does not disinfect, chlorine disinfectant must be added to the hauled water before use or storage at the receiving PWS. A minimum disinfectant residual of 2.0 mg/L as total chlorine or chloramines or 0.5 mg/L as free chlorine must be maintained in the tanker, storage vessel, and distribution system. If no disinfectant is used, the transported water must be boiled before any human consumptive use, which includes drinking, bathing, handwashing, oral hygiene, food preparation, dishwashing, ice making, or food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tanker or water bladder must be approved for hauling or storing food grade materials and be sanitized in accordance with AWWA C652 prior to first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Both filling and dispensing devices must include backflow protection to protect the source water, such as an air gap, double-check-valve assembly, or reduced pressure zone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 Total coliform bacteria samples must be collected from the tanker, storage tank or bladder, and distribution system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Tanker: one sample after cleaning and one before first potable water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Storage tank or bladder: one sample after cleaning and one before first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system: one sample initially before first use and with each new load of water or once per month, whichever is more 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Records must be maintained and available for inspection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hauling on a nonemergency basis. A system that is providing finished drinking water hauled from another PWS must comply with the conditions in its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color w:val="000000"/>
          <w:sz w:val="22"/>
        </w:rPr>
        <w:t xml:space="preserve">Prohibition on the use of lead. </w:t>
      </w:r>
      <w:r>
        <w:rPr>
          <w:rFonts w:ascii="Times New Roman" w:hAnsi="Times New Roman"/>
          <w:b w:val="false"/>
          <w:i w:val="false"/>
          <w:color w:val="000000"/>
          <w:sz w:val="22"/>
        </w:rPr>
        <w:t xml:space="preserve">Any pipe, pipe fitting, plumbing fitting, plumbing fixture, solder, or flux that is used in the installation or repair of any public water supply system (PWS) or any plumbing in a facility providing water for human consumption that is connected to a PWS shall be lead free as defined in </w:t>
      </w:r>
      <w:hyperlink r:id="rId7">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This shall not apply to leaded joints necessary for the repair of cast iron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items are exempted from the prohibition, depending upon their use in the system: pipes, pipe fittings, plumbing fittings, or fixtures, including backflow preventers, that are used exclusively for nonpotable services such as manufacturing, industrial processing, irrigation, outdoor watering, or any other uses where the water is not anticipated to be used for human consumption.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products that could be used exclusively for nonpotable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Products that are clearly labeled on the product, package, or tags with a phrase such as “not for use with water for human consumption” or another phrase that conveys the same meaning in plain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Products that are incapable of use in potable services with other products that would be needed to convey water for potable uses;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Products that are plainly identifiable and marketed as being solely for a use other than the conveyance of water. These other uses include conveyance of air, chemicals other than water, hydraulic fluids, refrigerants, gases, or other nonwater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items are exempted from the prohibition: toilets, bidets, urinals, fill valves, flushometer valves, tub fillers, shower valves, fire hydrants, service saddles, water distribution main gate valves two inches in diameter or larger, clothes washing machines, emergency drench showers, emergency face wash equipment, eyewash devices, fire suppression sprinklers, steam capable clothes dryers, and sump pumps.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color w:val="000000"/>
          <w:sz w:val="22"/>
        </w:rPr>
        <w:t xml:space="preserve">Use of noncentralized treatment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PWS. </w:t>
      </w:r>
      <w:r>
        <w:rPr>
          <w:rFonts w:ascii="Times New Roman" w:hAnsi="Times New Roman"/>
          <w:b w:val="false"/>
          <w:i w:val="false"/>
          <w:color w:val="000000"/>
          <w:sz w:val="22"/>
        </w:rPr>
        <w:t xml:space="preserve">CWSs shall not use bottled water, point-of-use (POU) or point-of-entry (POE) devices to achieve permanent compliance with a maximum contaminant level (MCL), treatment technique (TT), or action level (AL) requirement in 567—Chapters </w:t>
      </w:r>
      <w:hyperlink r:id="rId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Noncommunity PWS. </w:t>
      </w:r>
      <w:r>
        <w:rPr>
          <w:rFonts w:ascii="Times New Roman" w:hAnsi="Times New Roman"/>
          <w:b w:val="false"/>
          <w:i w:val="false"/>
          <w:color w:val="000000"/>
          <w:sz w:val="22"/>
        </w:rPr>
        <w:t>The department may allow NCWSs to use POU devices to achieve MCL compliance, provided the contaminant does not pose an imminent threat to health (such as bacteria) nor place a sensitive population at risk (such as infants for nitrate or nitrite).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Reduced monitoring requirements. </w:t>
      </w:r>
      <w:r>
        <w:rPr>
          <w:rFonts w:ascii="Times New Roman" w:hAnsi="Times New Roman"/>
          <w:b w:val="false"/>
          <w:i w:val="false"/>
          <w:color w:val="000000"/>
          <w:sz w:val="22"/>
        </w:rPr>
        <w:t xml:space="preserve">Bottled water, POU, or POE devices cannot be used to avoid the monitoring requirements of 567—Chapters </w:t>
      </w:r>
      <w:hyperlink r:id="rId10">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but the department may allow reduced monitoring requirements in specific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Bottled water requirements. </w:t>
      </w:r>
      <w:r>
        <w:rPr>
          <w:rFonts w:ascii="Times New Roman" w:hAnsi="Times New Roman"/>
          <w:b w:val="false"/>
          <w:i w:val="false"/>
          <w:color w:val="000000"/>
          <w:sz w:val="22"/>
        </w:rPr>
        <w:t xml:space="preserve">The department may require a PWS exceeding an MCL, TT, or AL requirement  in 567—Chapters </w:t>
      </w:r>
      <w:hyperlink r:id="rId12">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to use bottled water as a condition of an interim compliance schedule or as a temporary measure to avoid an unreasonable health risk. Any bottled water must meet the federal Food and Drug Administration (FDA) bottled water standards in  21 CFR §165.110. The system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program. Submit a monitoring program for bottled water to the department. The monitoring program must provide reasonable assurances that the bottled water complies with all MCLs, TT, or AL requirements in 567—Chapters </w:t>
      </w:r>
      <w:hyperlink r:id="rId14">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The PWS must monitor a representative sample of bottled water for all contaminants regulated under 567—Chapters </w:t>
      </w:r>
      <w:hyperlink r:id="rId16">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the first quarter that it supplies the bottled water to the public, and annually thereafter. Monitoring program results shall be provided to the department annually. If the bottled water is from a CWS that currently meets all of the federal SDWA requirements, the monitoring requirements of this subparagraph shall be waived by the department. The specific supplier of the bottled water must be identified in order for the department to waive the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The PWS must receive a certification from the bottled water company that the bottled water supplied has been taken from an approved source; the bottled water company has conducted monitoring in accordance with </w:t>
      </w:r>
      <w:hyperlink r:id="rId18">
        <w:r>
          <w:rPr>
            <w:rStyle w:val="Hyperlink"/>
            <w:rFonts w:ascii="Times New Roman" w:hAnsi="Times New Roman"/>
            <w:b w:val="false"/>
            <w:i w:val="false"/>
            <w:color w:val="000000"/>
            <w:sz w:val="22"/>
          </w:rPr>
          <w:t>43.1(3)</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the bottled water meets MCL, TT, or AL requirements in 567—Chapters </w:t>
      </w:r>
      <w:hyperlink r:id="rId19">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The PWS shall provide the certification to the department the first quarter after it supplies bottled water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bottled water. The PWS is fully responsible for the provision of sufficient quantities of bottled water to every person supplied by the PWS via door-to-door bottled water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color w:val="000000"/>
          <w:sz w:val="22"/>
        </w:rPr>
        <w:t xml:space="preserve">Cross-connection control. </w:t>
      </w:r>
      <w:r>
        <w:rPr>
          <w:rFonts w:ascii="Times New Roman" w:hAnsi="Times New Roman"/>
          <w:b w:val="false"/>
          <w:i w:val="false"/>
          <w:color w:val="000000"/>
          <w:sz w:val="22"/>
        </w:rPr>
        <w:t xml:space="preserve">To prevent backflow or backsiphonage of contaminants into a PWS, connection shall not be permitted between a PWS and any other system that does not meet the monitoring and drinking water standards of this chapter, except as provided in </w:t>
      </w:r>
      <w:hyperlink r:id="rId21">
        <w:r>
          <w:rPr>
            <w:rStyle w:val="Hyperlink"/>
            <w:rFonts w:ascii="Times New Roman" w:hAnsi="Times New Roman"/>
            <w:b w:val="false"/>
            <w:i w:val="false"/>
            <w:color w:val="000000"/>
            <w:sz w:val="22"/>
          </w:rPr>
          <w:t>43.1(4)</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and plumbing systems. </w:t>
      </w:r>
      <w:r>
        <w:rPr>
          <w:rFonts w:ascii="Times New Roman" w:hAnsi="Times New Roman"/>
          <w:b w:val="false"/>
          <w:i w:val="false"/>
          <w:color w:val="000000"/>
          <w:sz w:val="22"/>
        </w:rPr>
        <w:t>Piping systems or plumbing equipment carrying nonpotable water, contaminated water, stagnant water, liquids, mixtures, or waste mixtures shall not be connected to a PWS unless properly equipped with an antisiphon device or backflow preventer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Water loading stations. </w:t>
      </w:r>
      <w:r>
        <w:rPr>
          <w:rFonts w:ascii="Times New Roman" w:hAnsi="Times New Roman"/>
          <w:b w:val="false"/>
          <w:i w:val="false"/>
          <w:color w:val="000000"/>
          <w:sz w:val="22"/>
        </w:rPr>
        <w:t>The Ten States Standards contain the construction standards regarding water loading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Contamination as a result of cross-connection. </w:t>
      </w:r>
      <w:r>
        <w:rPr>
          <w:rFonts w:ascii="Times New Roman" w:hAnsi="Times New Roman"/>
          <w:b w:val="false"/>
          <w:i w:val="false"/>
          <w:color w:val="000000"/>
          <w:sz w:val="22"/>
        </w:rPr>
        <w:t>When, in the department’s opinion, evidence clearly indicates the source of contamination within a system is the result of a cross-connection, the department may require a PWS to provide public notice (PN), identify and eliminate the connection, and implement a systemwide cross-connection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certified operator. </w:t>
      </w:r>
      <w:r>
        <w:rPr>
          <w:rFonts w:ascii="Times New Roman" w:hAnsi="Times New Roman"/>
          <w:b w:val="false"/>
          <w:i w:val="false"/>
          <w:color w:val="000000"/>
          <w:sz w:val="22"/>
        </w:rPr>
        <w:t xml:space="preserve">The department maintains a list of certified operators in accordance with </w:t>
      </w:r>
      <w:hyperlink r:id="rId22">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The list includes the operator’s name, certification classification (Water Treatment, Water Distribution, or Grade A Water System), and grade (A, I, II, III, or IV), and is periodically updated during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CWS and NTNC systems. </w:t>
      </w:r>
      <w:r>
        <w:rPr>
          <w:rFonts w:ascii="Times New Roman" w:hAnsi="Times New Roman"/>
          <w:b w:val="false"/>
          <w:i w:val="false"/>
          <w:color w:val="000000"/>
          <w:sz w:val="22"/>
        </w:rPr>
        <w:t xml:space="preserve">All CWSs and NTNCs must have a certified operator in direct responsible charge (DRC) of the treatment and distribution systems, pursuant to </w:t>
      </w:r>
      <w:hyperlink r:id="rId23">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TNC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TNCs owned by the state or federal government or using a surface water (SW) or IGW source must have a certified operator in DRC of the treatment and distribution systems, pursuant to </w:t>
      </w:r>
      <w:hyperlink r:id="rId26">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TNC that uses chlorine dioxide as a disinfectant or oxidant must have a certified operator in DRC of the system, pursuant to </w:t>
      </w:r>
      <w:hyperlink r:id="rId29">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any TNC to have a certified operator in DRC.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w:t>
      </w:r>
      <w:r>
        <w:rPr>
          <w:rFonts w:ascii="Times New Roman" w:hAnsi="Times New Roman"/>
          <w:b w:val="false"/>
          <w:i w:val="false"/>
          <w:color w:val="000000"/>
          <w:sz w:val="22"/>
        </w:rPr>
        <w:t> </w:t>
      </w:r>
      <w:r>
        <w:rPr>
          <w:rFonts w:ascii="Times New Roman" w:hAnsi="Times New Roman"/>
          <w:b w:val="false"/>
          <w:i/>
          <w:color w:val="000000"/>
          <w:sz w:val="22"/>
        </w:rPr>
        <w:t xml:space="preserve">Return water in PWSs. </w:t>
      </w:r>
      <w:r>
        <w:rPr>
          <w:rFonts w:ascii="Times New Roman" w:hAnsi="Times New Roman"/>
          <w:b w:val="false"/>
          <w:i w:val="false"/>
          <w:color w:val="000000"/>
          <w:sz w:val="22"/>
        </w:rPr>
        <w:t>Steam condensate, cooling water from engine jackets, water used in conjunction with heat exchange devices, or treated wastewater shall not be returned to a PWS.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w:t>
      </w:r>
      <w:r>
        <w:rPr>
          <w:rFonts w:ascii="Times New Roman" w:hAnsi="Times New Roman"/>
          <w:b w:val="false"/>
          <w:i w:val="false"/>
          <w:color w:val="000000"/>
          <w:sz w:val="22"/>
        </w:rPr>
        <w:t> </w:t>
      </w:r>
      <w:r>
        <w:rPr>
          <w:rFonts w:ascii="Times New Roman" w:hAnsi="Times New Roman"/>
          <w:b w:val="false"/>
          <w:i/>
          <w:color w:val="000000"/>
          <w:sz w:val="22"/>
        </w:rPr>
        <w:t xml:space="preserve">Sanitary surveys. </w:t>
      </w:r>
      <w:r>
        <w:rPr>
          <w:rFonts w:ascii="Times New Roman" w:hAnsi="Times New Roman"/>
          <w:b w:val="false"/>
          <w:i w:val="false"/>
          <w:color w:val="000000"/>
          <w:sz w:val="22"/>
        </w:rPr>
        <w:t>Each PWS must have a periodic sanitary survey conducted by the department or its designee. Systems must provide, upon request, any information that will enable the department to conduct the sanitary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sanitary survey is a records review and on-site inspection that evaluates a system’s ability to produce and distribute safe drinking water and identifies improvements necessary to maintain or improve drinking water quality. A survey includes review and inspection of the following areas: water source; treatment facilities; distribution systems; finished water storage; pumps, pump facilities, controls and other equipment; monitoring, reporting, and data verification, including self-monitoring; system operation and management; maintenance; operator certification;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sanitary survey report is issued by the department or its designee, and may include both enforceable required actions for remedying significant deficiencies and nonenforceable recommended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Sanitary surveys shall be conducted at least once every five years for TNCs and NTNCs and once every three years for CWSs.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or its designee shall provide the PWS with a written notice describing any significant deficiencies identified during the survey no later than 30 days after identification of the deficiency. The notice may be included in the sanitary survey report and may specify corrective actions and deadlines for completion of corrective actions. Systems must respond in writing to significant deficiencies outlined in the sanitary survey report or written notice and indicate how and on what schedule the system will address the noted deficiencies, either within 30 days of receiving the survey report or notice or within the time period specified in the report or notice. All systems must take the steps necessary to address significant deficiencies identified in a sanitary survey report or written notice that are within the control of the system and its governing body.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567—43.2</w:t>
      </w:r>
      <w:r>
        <w:rPr>
          <w:rFonts w:ascii="Times New Roman" w:hAnsi="Times New Roman"/>
          <w:b/>
          <w:i w:val="false"/>
          <w:color w:val="000000"/>
          <w:sz w:val="22"/>
        </w:rPr>
        <w:t xml:space="preserve">(455B) </w:t>
      </w:r>
      <w:r>
        <w:rPr>
          <w:rFonts w:ascii="Times New Roman" w:hAnsi="Times New Roman"/>
          <w:b/>
          <w:i w:val="false"/>
          <w:color w:val="000000"/>
          <w:sz w:val="22"/>
        </w:rPr>
        <w:t xml:space="preserve">PWS operation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A fee for the operation of a PWS shall be paid annually. The fee will not be prorated and is nonrefundable. The fee shall be based on the population served. The fee shall be the greater of $25 per year or $0.14 multiplied by the total population served by the PWS for all CWSs and NTNCs. The fee shall be $25 per year for all TNCs. Where a system provides water to another PWS (consecutive PWS) that is required to have an operation permit, the population of the recipient system shall not be counted as a part of the PWS providing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 notices. </w:t>
      </w:r>
      <w:r>
        <w:rPr>
          <w:rFonts w:ascii="Times New Roman" w:hAnsi="Times New Roman"/>
          <w:b w:val="false"/>
          <w:i w:val="false"/>
          <w:color w:val="000000"/>
          <w:sz w:val="22"/>
        </w:rPr>
        <w:t>The department will send annual notices to PWSs at least 60 days prior to the operation fee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payments. </w:t>
      </w:r>
      <w:r>
        <w:rPr>
          <w:rFonts w:ascii="Times New Roman" w:hAnsi="Times New Roman"/>
          <w:b w:val="false"/>
          <w:i w:val="false"/>
          <w:color w:val="000000"/>
          <w:sz w:val="22"/>
        </w:rPr>
        <w:t>The annual operation fee must be paid to the department by September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 adjustment. </w:t>
      </w:r>
      <w:r>
        <w:rPr>
          <w:rFonts w:ascii="Times New Roman" w:hAnsi="Times New Roman"/>
          <w:b w:val="false"/>
          <w:i w:val="false"/>
          <w:color w:val="000000"/>
          <w:sz w:val="22"/>
        </w:rPr>
        <w:t xml:space="preserve">The department may adjust the per capita fee payment by up to +/– $0.02 per person served so as to achieve the targeted revenue of $350,000 during each fiscal year. The commission must approve any per capita fee rate above $0.14 per person. Any fee adjustment shall comply with Iowa Code section </w:t>
      </w:r>
      <w:hyperlink r:id="rId30">
        <w:r>
          <w:rPr>
            <w:rStyle w:val="Hyperlink"/>
            <w:rFonts w:ascii="Times New Roman" w:hAnsi="Times New Roman"/>
            <w:b w:val="false"/>
            <w:i w:val="false"/>
            <w:color w:val="000000"/>
            <w:sz w:val="22"/>
          </w:rPr>
          <w:t>455B.183A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Exempted PWSs. </w:t>
      </w:r>
      <w:r>
        <w:rPr>
          <w:rFonts w:ascii="Times New Roman" w:hAnsi="Times New Roman"/>
          <w:b w:val="false"/>
          <w:i w:val="false"/>
          <w:color w:val="000000"/>
          <w:sz w:val="22"/>
        </w:rPr>
        <w:t>PWSs located on Indian lands are exempt from the fee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Late fees. </w:t>
      </w:r>
      <w:r>
        <w:rPr>
          <w:rFonts w:ascii="Times New Roman" w:hAnsi="Times New Roman"/>
          <w:b w:val="false"/>
          <w:i w:val="false"/>
          <w:color w:val="000000"/>
          <w:sz w:val="22"/>
        </w:rPr>
        <w:t xml:space="preserve">When the owner of a PWS fails to remit payment of fees by September 1, the department will notify the system by a single notice of violation and assess a late fee of $100. The department may thereafter issue an administrative order pursuant to Iowa Code section </w:t>
      </w:r>
      <w:hyperlink r:id="rId31">
        <w:r>
          <w:rPr>
            <w:rStyle w:val="Hyperlink"/>
            <w:rFonts w:ascii="Times New Roman" w:hAnsi="Times New Roman"/>
            <w:b w:val="false"/>
            <w:i w:val="false"/>
            <w:color w:val="000000"/>
            <w:sz w:val="22"/>
          </w:rPr>
          <w:t>455B.175(1)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request a referral to the attorney general under Iowa Code section </w:t>
      </w:r>
      <w:hyperlink r:id="rId32">
        <w:r>
          <w:rPr>
            <w:rStyle w:val="Hyperlink"/>
            <w:rFonts w:ascii="Times New Roman" w:hAnsi="Times New Roman"/>
            <w:b w:val="false"/>
            <w:i w:val="false"/>
            <w:color w:val="000000"/>
            <w:sz w:val="22"/>
          </w:rPr>
          <w:t>455B.175(1)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requirement. </w:t>
      </w:r>
      <w:r>
        <w:rPr>
          <w:rFonts w:ascii="Times New Roman" w:hAnsi="Times New Roman"/>
          <w:b w:val="false"/>
          <w:i w:val="false"/>
          <w:color w:val="000000"/>
          <w:sz w:val="22"/>
        </w:rPr>
        <w:t xml:space="preserve">Except as provided in </w:t>
      </w:r>
      <w:hyperlink r:id="rId33">
        <w:r>
          <w:rPr>
            <w:rStyle w:val="Hyperlink"/>
            <w:rFonts w:ascii="Times New Roman" w:hAnsi="Times New Roman"/>
            <w:b w:val="false"/>
            <w:i w:val="false"/>
            <w:color w:val="000000"/>
            <w:sz w:val="22"/>
          </w:rPr>
          <w:t>43.2(3)</w:t>
        </w:r>
      </w:hyperlink>
      <w:r>
        <w:rPr>
          <w:rFonts w:ascii="Times New Roman" w:hAnsi="Times New Roman"/>
          <w:b w:val="false"/>
          <w:i w:val="false"/>
          <w:color w:val="000000"/>
          <w:sz w:val="22"/>
        </w:rPr>
        <w:t>, no person shall operate any PWS or part thereof without, or contrary to any condition of, an operation permit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applications. </w:t>
      </w:r>
      <w:r>
        <w:rPr>
          <w:rFonts w:ascii="Times New Roman" w:hAnsi="Times New Roman"/>
          <w:b w:val="false"/>
          <w:i w:val="false"/>
          <w:color w:val="000000"/>
          <w:sz w:val="22"/>
        </w:rPr>
        <w:t>The owner of any PWS or part thereof must submit an application for an operation permit. Upon submission of a completed application form, the time requirement for having a valid operation permit is automatically extended until the application has either been approved or disapproved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and timeline.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operation permits shall be made on forms provided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shall be filed at least 90 days prior to the date operation is scheduled to begin unless a shorter time is approved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issue or deny operation permits within 60 days of receipt of a completed application, unless a longer period is required and the applicant is so notified.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require the submission of additional information deemed necessary to evaluate an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application that is incomplete or otherwise deficient shall not be processed until the applicant has supplied the missing information or otherwise corrected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Identity of signatories. </w:t>
      </w:r>
      <w:r>
        <w:rPr>
          <w:rFonts w:ascii="Times New Roman" w:hAnsi="Times New Roman"/>
          <w:b w:val="false"/>
          <w:i w:val="false"/>
          <w:color w:val="000000"/>
          <w:sz w:val="22"/>
        </w:rPr>
        <w:t>The person who signs the application for an operation permit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Corporation. In the case of a corporation, a principal executive officer of at least the level of vice president. The corporation has the option of appointing a designated signatory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Partnership. In the case of a partnership, a general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Sole proprietorship. In the case of a sole proprietorship, the proprietor.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facility. In the case of a municipal, state or other public facility, by either the principal executive officer or the ranking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Late applications. </w:t>
      </w:r>
      <w:r>
        <w:rPr>
          <w:rFonts w:ascii="Times New Roman" w:hAnsi="Times New Roman"/>
          <w:b w:val="false"/>
          <w:i w:val="false"/>
          <w:color w:val="000000"/>
          <w:sz w:val="22"/>
        </w:rPr>
        <w:t xml:space="preserve">When the owner of a PWS fails to make timely application, the department will notify the system by a single notice of violation and may thereafter issue an administrative order pursuant to Iowa Code section </w:t>
      </w:r>
      <w:hyperlink r:id="rId34">
        <w:r>
          <w:rPr>
            <w:rStyle w:val="Hyperlink"/>
            <w:rFonts w:ascii="Times New Roman" w:hAnsi="Times New Roman"/>
            <w:b w:val="false"/>
            <w:i w:val="false"/>
            <w:color w:val="000000"/>
            <w:sz w:val="22"/>
          </w:rPr>
          <w:t>455B.175(1)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request a referral to the attorney general under Iowa Code section </w:t>
      </w:r>
      <w:hyperlink r:id="rId35">
        <w:r>
          <w:rPr>
            <w:rStyle w:val="Hyperlink"/>
            <w:rFonts w:ascii="Times New Roman" w:hAnsi="Times New Roman"/>
            <w:b w:val="false"/>
            <w:i w:val="false"/>
            <w:color w:val="000000"/>
            <w:sz w:val="22"/>
          </w:rPr>
          <w:t>455B.175(1)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Operation permits may contain conditions deemed necessary by the director to ensure compliance with all applicable department rules, to ensure that a PWS is properly operated and maintained, to ensure that potential hazards to the water consumer are eliminated promptly, and to ensure compliance with the SDWA.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 </w:t>
      </w:r>
      <w:r>
        <w:rPr>
          <w:rFonts w:ascii="Times New Roman" w:hAnsi="Times New Roman"/>
          <w:b w:val="false"/>
          <w:i w:val="false"/>
          <w:color w:val="000000"/>
          <w:sz w:val="22"/>
        </w:rPr>
        <w:t xml:space="preserve">Where one or more MCLs, TTs, ALs, or designated HAs cannot be met immediately, a compliance schedule for achieving compliance with standards may be included in a permit. A compliance schedule requiring alterations in accordance with the standards for construction in </w:t>
      </w:r>
      <w:hyperlink r:id="rId36">
        <w:r>
          <w:rPr>
            <w:rStyle w:val="Hyperlink"/>
            <w:rFonts w:ascii="Times New Roman" w:hAnsi="Times New Roman"/>
            <w:b w:val="false"/>
            <w:i w:val="false"/>
            <w:color w:val="000000"/>
            <w:sz w:val="22"/>
          </w:rPr>
          <w:t>43.3(1)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may also be included for any supply that, in the opinion of the director, contains a potential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If the department determines that a treatment method identified in </w:t>
      </w:r>
      <w:hyperlink r:id="rId38">
        <w:r>
          <w:rPr>
            <w:rStyle w:val="Hyperlink"/>
            <w:rFonts w:ascii="Times New Roman" w:hAnsi="Times New Roman"/>
            <w:b w:val="false"/>
            <w:i w:val="false"/>
            <w:color w:val="000000"/>
            <w:sz w:val="22"/>
          </w:rPr>
          <w:t>43.3(10)</w:t>
        </w:r>
      </w:hyperlink>
      <w:r>
        <w:rPr>
          <w:rFonts w:ascii="Times New Roman" w:hAnsi="Times New Roman"/>
          <w:b w:val="false"/>
          <w:i w:val="false"/>
          <w:color w:val="000000"/>
          <w:sz w:val="22"/>
        </w:rPr>
        <w:t xml:space="preserve"> is technically feasible, the department may require a system to install or use that treatment method in connection with a compliance schedule, pursuant to </w:t>
      </w:r>
      <w:hyperlink r:id="rId39">
        <w:r>
          <w:rPr>
            <w:rStyle w:val="Hyperlink"/>
            <w:rFonts w:ascii="Times New Roman" w:hAnsi="Times New Roman"/>
            <w:b w:val="false"/>
            <w:i w:val="false"/>
            <w:color w:val="000000"/>
            <w:sz w:val="22"/>
          </w:rPr>
          <w:t>43.2(4)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department’s determination shall be based upon studies by the system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change. </w:t>
      </w:r>
      <w:r>
        <w:rPr>
          <w:rFonts w:ascii="Times New Roman" w:hAnsi="Times New Roman"/>
          <w:b w:val="false"/>
          <w:i w:val="false"/>
          <w:color w:val="000000"/>
          <w:sz w:val="22"/>
        </w:rPr>
        <w:t xml:space="preserve">The owner of a PWS shall notify the director within 30 days of any change in conditions identified in the permit application. This notice does not relieve the owner of the responsibility to obtain a construction permit as required by </w:t>
      </w:r>
      <w:hyperlink r:id="rId40">
        <w:r>
          <w:rPr>
            <w:rStyle w:val="Hyperlink"/>
            <w:rFonts w:ascii="Times New Roman" w:hAnsi="Times New Roman"/>
            <w:b w:val="false"/>
            <w:i w:val="false"/>
            <w:color w:val="000000"/>
            <w:sz w:val="22"/>
          </w:rPr>
          <w:t>567—43.3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43.2(6)</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The department may issue operation permits for durations of up to five years. Operation permits must be renewed prior to expiration in order to remain valid. The renewal date shall be specified in the permit or in any renewal. Application for renewal must be submitted in accordance with </w:t>
      </w:r>
      <w:hyperlink r:id="rId41">
        <w:r>
          <w:rPr>
            <w:rStyle w:val="Hyperlink"/>
            <w:rFonts w:ascii="Times New Roman" w:hAnsi="Times New Roman"/>
            <w:b w:val="false"/>
            <w:i w:val="false"/>
            <w:color w:val="000000"/>
            <w:sz w:val="22"/>
          </w:rPr>
          <w:t>43.2(3)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43.2(7)</w:t>
      </w:r>
      <w:r>
        <w:rPr>
          <w:rFonts w:ascii="Times New Roman" w:hAnsi="Times New Roman"/>
          <w:b w:val="false"/>
          <w:i w:val="false"/>
          <w:color w:val="000000"/>
          <w:sz w:val="22"/>
        </w:rPr>
        <w:t> </w:t>
      </w:r>
      <w:r>
        <w:rPr>
          <w:rFonts w:ascii="Times New Roman" w:hAnsi="Times New Roman"/>
          <w:b w:val="false"/>
          <w:i/>
          <w:color w:val="000000"/>
          <w:sz w:val="22"/>
        </w:rPr>
        <w:t xml:space="preserve">Denial, modification, or suspension. </w:t>
      </w:r>
      <w:r>
        <w:rPr>
          <w:rFonts w:ascii="Times New Roman" w:hAnsi="Times New Roman"/>
          <w:b w:val="false"/>
          <w:i w:val="false"/>
          <w:color w:val="000000"/>
          <w:sz w:val="22"/>
        </w:rPr>
        <w:t xml:space="preserve">The director may deny a new or renewal of, modify, or suspend, in whole or in part, any operation permit for good cause. Denial of a new permit, renewal of an existing permit, or modification of a permit may be appealed to the commission pursuant to </w:t>
      </w:r>
      <w:hyperlink r:id="rId42">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Suspension or revocation may occur after hearing, pursuant to </w:t>
      </w:r>
      <w:hyperlink r:id="rId43">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Good cause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the fee in accordance with </w:t>
      </w:r>
      <w:hyperlink r:id="rId44">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Obtaining a permit by misrepresentation of fact or failure to disclose fully all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change in any condition that requires either a permanent or temporary modification of a permit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submit records and information the director may require both generally and as a condition of the operation permit in order to ensure compliance with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any requirements in, or significant noncompliance with, 567—Chapters </w:t>
      </w:r>
      <w:hyperlink r:id="rId45">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through </w:t>
      </w:r>
      <w:hyperlink r:id="rId4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including noncompliance with applicable MCLs, TTs, or 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Inability of a system to either achieve or maintain technical, managerial, or financial viability, as determined in </w:t>
      </w:r>
      <w:hyperlink r:id="rId47">
        <w:r>
          <w:rPr>
            <w:rStyle w:val="Hyperlink"/>
            <w:rFonts w:ascii="Times New Roman" w:hAnsi="Times New Roman"/>
            <w:b w:val="false"/>
            <w:i w:val="false"/>
            <w:color w:val="000000"/>
            <w:sz w:val="22"/>
          </w:rPr>
          <w:t>567—43.8</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567—43.3</w:t>
      </w:r>
      <w:r>
        <w:rPr>
          <w:rFonts w:ascii="Times New Roman" w:hAnsi="Times New Roman"/>
          <w:b/>
          <w:i w:val="false"/>
          <w:color w:val="000000"/>
          <w:sz w:val="22"/>
        </w:rPr>
        <w:t xml:space="preserve">(455B) </w:t>
      </w:r>
      <w:r>
        <w:rPr>
          <w:rFonts w:ascii="Times New Roman" w:hAnsi="Times New Roman"/>
          <w:b/>
          <w:i w:val="false"/>
          <w:color w:val="000000"/>
          <w:sz w:val="22"/>
        </w:rPr>
        <w:t xml:space="preserve">PWS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color w:val="000000"/>
          <w:sz w:val="22"/>
        </w:rPr>
        <w:t xml:space="preserve">PWS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PWS that does not meet the drinking water standards in 567—Chapters </w:t>
      </w:r>
      <w:hyperlink r:id="rId4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shall make alterations necessary to comply with the drinking water standards in accordance with the construction standards contained in this rule unless the PWS has been granted a waiver from an MCL or TT as a provision of its operation permit pursuant to this chapter, provided that the PWS meets the schedule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PWS that, in the opinion of the director, contains a potential hazard shall make alterations necessary to eliminate or minimize the hazard in accordance with the construction standards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PWS that is not operating within the construction standards may be required by the department via a compliance schedule to upgrade the deficient areas of the system before a construction permit will be issued for any work that does not address the current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color w:val="000000"/>
          <w:sz w:val="22"/>
        </w:rPr>
        <w:t xml:space="preserve">Construction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construction standards for a drinking water project are the Ten States Standards, the AWWA Standards as adopted through 2023, and </w:t>
      </w:r>
      <w:hyperlink r:id="rId50">
        <w:r>
          <w:rPr>
            <w:rStyle w:val="Hyperlink"/>
            <w:rFonts w:ascii="Times New Roman" w:hAnsi="Times New Roman"/>
            <w:b w:val="false"/>
            <w:i w:val="false"/>
            <w:color w:val="000000"/>
            <w:sz w:val="22"/>
          </w:rPr>
          <w:t>43.3(7)</w:t>
        </w:r>
      </w:hyperlink>
      <w:r>
        <w:rPr>
          <w:rFonts w:ascii="Times New Roman" w:hAnsi="Times New Roman"/>
          <w:b w:val="false"/>
          <w:i w:val="false"/>
          <w:color w:val="000000"/>
          <w:sz w:val="22"/>
        </w:rPr>
        <w:t xml:space="preserve"> through </w:t>
      </w:r>
      <w:hyperlink r:id="rId51">
        <w:r>
          <w:rPr>
            <w:rStyle w:val="Hyperlink"/>
            <w:rFonts w:ascii="Times New Roman" w:hAnsi="Times New Roman"/>
            <w:b w:val="false"/>
            <w:i w:val="false"/>
            <w:color w:val="000000"/>
            <w:sz w:val="22"/>
          </w:rPr>
          <w:t>43.3(9)</w:t>
        </w:r>
      </w:hyperlink>
      <w:r>
        <w:rPr>
          <w:rFonts w:ascii="Times New Roman" w:hAnsi="Times New Roman"/>
          <w:b w:val="false"/>
          <w:i w:val="false"/>
          <w:color w:val="000000"/>
          <w:sz w:val="22"/>
        </w:rPr>
        <w:t xml:space="preserve">. In any conflict between the Ten States Standards, and the AWWA Standards, and </w:t>
      </w:r>
      <w:hyperlink r:id="rId52">
        <w:r>
          <w:rPr>
            <w:rStyle w:val="Hyperlink"/>
            <w:rFonts w:ascii="Times New Roman" w:hAnsi="Times New Roman"/>
            <w:b w:val="false"/>
            <w:i w:val="false"/>
            <w:color w:val="000000"/>
            <w:sz w:val="22"/>
          </w:rPr>
          <w:t>43.3(7)</w:t>
        </w:r>
      </w:hyperlink>
      <w:r>
        <w:rPr>
          <w:rFonts w:ascii="Times New Roman" w:hAnsi="Times New Roman"/>
          <w:b w:val="false"/>
          <w:i w:val="false"/>
          <w:color w:val="000000"/>
          <w:sz w:val="22"/>
        </w:rPr>
        <w:t xml:space="preserve"> through </w:t>
      </w:r>
      <w:hyperlink r:id="rId53">
        <w:r>
          <w:rPr>
            <w:rStyle w:val="Hyperlink"/>
            <w:rFonts w:ascii="Times New Roman" w:hAnsi="Times New Roman"/>
            <w:b w:val="false"/>
            <w:i w:val="false"/>
            <w:color w:val="000000"/>
            <w:sz w:val="22"/>
          </w:rPr>
          <w:t>43.3(9)</w:t>
        </w:r>
      </w:hyperlink>
      <w:r>
        <w:rPr>
          <w:rFonts w:ascii="Times New Roman" w:hAnsi="Times New Roman"/>
          <w:b w:val="false"/>
          <w:i w:val="false"/>
          <w:color w:val="000000"/>
          <w:sz w:val="22"/>
        </w:rPr>
        <w:t xml:space="preserve">, the Ten States Standards, </w:t>
      </w:r>
      <w:hyperlink r:id="rId54">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43.3(7)</w:t>
        </w:r>
      </w:hyperlink>
      <w:r>
        <w:rPr>
          <w:rFonts w:ascii="Times New Roman" w:hAnsi="Times New Roman"/>
          <w:b w:val="false"/>
          <w:i w:val="false"/>
          <w:color w:val="000000"/>
          <w:sz w:val="22"/>
        </w:rPr>
        <w:t xml:space="preserve"> through </w:t>
      </w:r>
      <w:hyperlink r:id="rId56">
        <w:r>
          <w:rPr>
            <w:rStyle w:val="Hyperlink"/>
            <w:rFonts w:ascii="Times New Roman" w:hAnsi="Times New Roman"/>
            <w:b w:val="false"/>
            <w:i w:val="false"/>
            <w:color w:val="000000"/>
            <w:sz w:val="22"/>
          </w:rPr>
          <w:t>43.3(9)</w:t>
        </w:r>
      </w:hyperlink>
      <w:r>
        <w:rPr>
          <w:rFonts w:ascii="Times New Roman" w:hAnsi="Times New Roman"/>
          <w:b w:val="false"/>
          <w:i w:val="false"/>
          <w:color w:val="000000"/>
          <w:sz w:val="22"/>
        </w:rPr>
        <w:t xml:space="preserve"> shall prevail. Additional standards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Polyvinyl chloride (PVC) pipe manufactured in accordance with ASTM D2241, AWWA C900, AWWA C905, ASTM F1483, or AWWA C909 may be used for water main construction. The maximum allowable pressure for PVC or polyethylene pipe shall be determined based on a safety factor of 2.0 and a surge allowance of no less than two feet per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CWS groundwater (GW) systems, a minimum of two wells shall be provided, unless the system demonstrates to the department’s satisfaction that a single well will provide a reliable and adequate source. For NTNC and TNC GW systems, a single well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Separation of water mains from sanitary and combined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Horizontal separation of water mains from gravity sanitary and combined sewers. Water mains shall be separated from gravity sanitary and combined sewer mains by a horizontal distance of at least ten feet measured edge to edge unless the bottom of the water main is at least 18 inches above the top of the sewer, and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is placed in a separate trench,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is located on a bench of undisturbed earth at a minimum horizontal separation of three feet from the sewer.</w:t>
      </w:r>
    </w:p>
    <w:p>
      <w:pPr>
        <w:spacing w:before="0" w:after="0"/>
        <w:ind w:left="120"/>
        <w:jc w:val="both"/>
      </w:pPr>
      <w:r>
        <w:rPr>
          <w:rFonts w:ascii="Times New Roman" w:hAnsi="Times New Roman"/>
          <w:b w:val="false"/>
          <w:i w:val="false"/>
          <w:color w:val="000000"/>
          <w:sz w:val="22"/>
        </w:rPr>
        <w:t>If it is not possible to obtain a horizontal separation of three feet and a vertical separation of 18 inches between the bottom of the water main and the top of the sewer, a linear separation of at least three feet shall be provided, and one of the following shall be utilized: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enclosed in watertight casing pipe with an evenly spaced annular gap and watertight end seals,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sewer shall be constructed of water main materials.</w:t>
      </w:r>
    </w:p>
    <w:p>
      <w:pPr>
        <w:spacing w:before="0" w:after="0"/>
        <w:ind w:left="120"/>
        <w:jc w:val="both"/>
      </w:pPr>
      <w:r>
        <w:rPr>
          <w:rFonts w:ascii="Times New Roman" w:hAnsi="Times New Roman"/>
          <w:b w:val="false"/>
          <w:i w:val="false"/>
          <w:color w:val="000000"/>
          <w:sz w:val="22"/>
        </w:rPr>
        <w:t>The separation distance (SD) between the water main and the sewer shall be the maximum feasible in all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Horizontal separation of water mains from sanitary sewer force mains. Water mains shall be separated from sanitary sewer force mains by a horizontal distance of at least ten feet measured edge to edge unless the sanitary sewer force main is constructed of water main materials and the water main is laid at least four feet horizontally from the sanitary sewer force main. The SD between the water main and the sanitary sewer force main shall be the maximum feasible in all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Vertical separation of water mains from sanitary and combined sewer crossovers. Vertical separation of water mains crossing over any sanitary or combined sewers shall be at least 18 inches when measured from the bottom of the water main to the top of the sewer. If it is not possible to maintain the required vertical separation, one of the following shall be utilized: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bottom of the water main shall not be placed closer than six inches above the top of a sewer, 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top of the water main shall not be placed closer than 18 inches below the bottom of a sewer.</w:t>
      </w:r>
    </w:p>
    <w:p>
      <w:pPr>
        <w:spacing w:before="0" w:after="0"/>
        <w:ind w:left="120"/>
        <w:jc w:val="both"/>
      </w:pPr>
      <w:r>
        <w:rPr>
          <w:rFonts w:ascii="Times New Roman" w:hAnsi="Times New Roman"/>
          <w:b w:val="false"/>
          <w:i w:val="false"/>
          <w:color w:val="000000"/>
          <w:sz w:val="22"/>
        </w:rPr>
        <w:t xml:space="preserve"> When a water main crosses below or less than 18 inches above a sanitary or combined sewer, one of the following shall be utilized within approximately ten feet measured edge to edge horizontally, centered on the crossing, with joints located as far as possible from the point of crossing: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enclosed in watertight casing pipe with an evenly spaced annular gap and watertight ends,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Sewer pipe of water main material shall be installed.</w:t>
      </w:r>
    </w:p>
    <w:p>
      <w:pPr>
        <w:spacing w:before="0" w:after="0"/>
        <w:ind w:left="120"/>
        <w:jc w:val="both"/>
      </w:pPr>
      <w:r>
        <w:rPr>
          <w:rFonts w:ascii="Times New Roman" w:hAnsi="Times New Roman"/>
          <w:b w:val="false"/>
          <w:i w:val="false"/>
          <w:color w:val="000000"/>
          <w:sz w:val="22"/>
        </w:rPr>
        <w:t>The SD shall be the maximum feasible in all cases. Wherever a water main crosses a sanitary or combined sewer, the water main and sanitary or combined sewer pipes must be adequately supported. A low permeability soil shall be used for backfill material within ten feet of the point of crossing along the water 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Horizontal separation of water mains from sanitary and combined sewer manholes. No water pipe shall pass through or come in contact with any part of a sanitary or combined sewer manhole. A minimum horizontal separation of three feet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Separation of water mains from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Horizontal separation of water mains from gravity storm sewers. Water mains shall be separated horizontally from gravity storm sewers by at least ten feet measured edge to edge. If it is not possible to maintain the required horizontal separation of ten feet, a minimum of three feet of separation shall be maintained and one of the following shall be utilized within ten feet measured edge to edge: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constructed of ductile iron pipe with gaskets impermeable to hydrocarbons,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enclosed in watertight casing pipe with an evenly spaced annular gap and watertight end seals,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Storm sewer pipe of water main material shall be installed,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Reinforced concrete pipe storm sewers shall be constructed with gaskets manufactured in accordance with ASTM C443.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Vertical separation of water mains from storm sewer crossovers. Water mains shall be vertically separated from storm sewers by at least 18 inches between the outside edges of the water main and the storm sewer. The SD shall be the maximum feasible in all cases. In all cases where a water main crosses a storm sewer, the water main and storm sewer pipes must be adequately supported. A low permeability soil shall be used for backfill material within ten feet of the point of crossing along the water main. If it is not possible to obtain 18 inches of vertical separation where the water main crosses above a storm sewer, a minimum of 6 inches vertical separation shall be maintained and one of the following shall be utilized within ten feet measured edge to edge horizontally, centered on the crossing: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constructed of ductile iron pipe with gaskets impermeable to hydrocarbons,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water main shall be enclosed in watertight casing pipe with an evenly spaced annular gap and watertight end seals,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Storm sewer pipe of water main material shall be installed,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Reinforced concrete pipe storm sewers shall be constructed with gaskets manufactured in accordance with ASTM C443.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water mains, including those not designed to provide fire protection, shall be sized based on flow demands and pressure requirements. For regional water systems and for major distribution system upgrades, a hydraulic analysis may be required as part of the project submittal. Systems shall be designed to maintain a minimum pressure of 20 psi at ground level at all points in the distribution system under all conditions of flow. The normal working pressure in the distribution system should be approximately 60 to 80 psi and should not be less than 35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engineering justification satisfactory to the director is provided substantially demonstrating that a waiver from the construction standards will result in equivalent or improved effectiveness, a waiver may be granted by the director. A waiver denial may be appealed to the commission pursuant to </w:t>
      </w:r>
      <w:hyperlink r:id="rId57">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Waiver requests for projects qualifying for a waiver from the engineering requirement of </w:t>
      </w:r>
      <w:hyperlink r:id="rId58">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may be made without the retained services of a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 xml:space="preserve">No person shall construct, install or modify any project without first obtaining, or contrary to any condition of, a construction permit issued by the director or by a local public works department authorized to issue permits under Iowa Code section </w:t>
      </w:r>
      <w:hyperlink r:id="rId59">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 xml:space="preserve">, except as provided in this chapter. Construction permits are not required for POU treatment devices installed by a noncommunity water system (NCWS), except for those devices required by the department to meet a drinking water standard pursuant to 567—Chapters </w:t>
      </w:r>
      <w:hyperlink r:id="rId60">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No construction permit will be issued for a new PWS without a completed, department-approved viability assessment,  which demonstrates that the system is viable pursuant to </w:t>
      </w:r>
      <w:hyperlink r:id="rId62">
        <w:r>
          <w:rPr>
            <w:rStyle w:val="Hyperlink"/>
            <w:rFonts w:ascii="Times New Roman" w:hAnsi="Times New Roman"/>
            <w:b w:val="false"/>
            <w:i w:val="false"/>
            <w:color w:val="000000"/>
            <w:sz w:val="22"/>
          </w:rPr>
          <w:t>567—43.8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conditions. </w:t>
      </w:r>
      <w:r>
        <w:rPr>
          <w:rFonts w:ascii="Times New Roman" w:hAnsi="Times New Roman"/>
          <w:b w:val="false"/>
          <w:i w:val="false"/>
          <w:color w:val="000000"/>
          <w:sz w:val="22"/>
        </w:rPr>
        <w:t>A construction permit shall be issued by the director if the director concludes that the project will comply with department rules. Project construction must begin within one year from the permit issuance date; if it does not, the permit is no longer valid. If construction is ongoing and continuous (aside from weather delays) and the permitted project cannot be completed within one year, the permit shall remain valid until the project is completed. The department may extend a permit for a multiphase project, for a maximum two additional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 construction permit application for any project shall be submitted to the department at least 30 days prior to the proposed date for commencing construction or awarding contracts. This requirement may be waived when the department determines that an imminent health hazard exists to a PWS’s consumers. Under this waiver, construction, installation, or modification may be allowed by the department prior to review and issuance of a permit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construction, installation, or modification will alleviate the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construction is done in accordance with the construction standards, pursuant to </w:t>
      </w:r>
      <w:hyperlink r:id="rId63">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are submitted within 30 days after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professional engineer, licensed in the state of Iowa, supervises the construction;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supplier of water receives approval of this waiver prior to any construction, installation,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 nonrefundable fee, as noted in this paragraph, shall be submitted with a construction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Construction permit fees. The fee shall be determined based upon the total length of water main plus the non-water-main-related construction costs,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mains (minimum $100; maximum $5,000):</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165"/>
        <w:gridCol w:w="5025"/>
      </w:tblGrid>
      <w:tr>
        <w:trPr>
          <w:trHeight w:val="240" w:hRule="atLeast"/>
        </w:trPr>
        <w:tc>
          <w:tcPr>
            <w:tcW w:w="61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Length of permitted water main</w:t>
            </w:r>
          </w:p>
        </w:tc>
        <w:tc>
          <w:tcPr>
            <w:tcW w:w="502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Rate</w:t>
            </w:r>
          </w:p>
        </w:tc>
      </w:tr>
      <w:tr>
        <w:trPr>
          <w:trHeight w:val="240" w:hRule="atLeast"/>
        </w:trPr>
        <w:tc>
          <w:tcPr>
            <w:tcW w:w="61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1,000 ft.</w:t>
            </w:r>
          </w:p>
        </w:tc>
        <w:tc>
          <w:tcPr>
            <w:tcW w:w="502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61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19,000 ft.</w:t>
            </w:r>
          </w:p>
        </w:tc>
        <w:tc>
          <w:tcPr>
            <w:tcW w:w="502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$0.10/ft.</w:t>
            </w:r>
          </w:p>
        </w:tc>
      </w:tr>
      <w:tr>
        <w:trPr>
          <w:trHeight w:val="225" w:hRule="atLeast"/>
        </w:trPr>
        <w:tc>
          <w:tcPr>
            <w:tcW w:w="61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300,000 ft.</w:t>
            </w:r>
          </w:p>
        </w:tc>
        <w:tc>
          <w:tcPr>
            <w:tcW w:w="502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$0.01/ft.</w:t>
            </w:r>
          </w:p>
        </w:tc>
      </w:tr>
      <w:tr>
        <w:trPr>
          <w:trHeight w:val="225" w:hRule="atLeast"/>
        </w:trPr>
        <w:tc>
          <w:tcPr>
            <w:tcW w:w="616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Over 320,000 ft.</w:t>
            </w:r>
          </w:p>
        </w:tc>
        <w:tc>
          <w:tcPr>
            <w:tcW w:w="502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No additional charge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Non-water-main-related construction costs, including source, treatment, pumping, storage and waste handling (minimum $100; maximum $16,000):</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115"/>
        <w:gridCol w:w="6075"/>
      </w:tblGrid>
      <w:tr>
        <w:trPr>
          <w:trHeight w:val="240" w:hRule="atLeast"/>
        </w:trPr>
        <w:tc>
          <w:tcPr>
            <w:tcW w:w="5115"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Estimated construction cost</w:t>
            </w:r>
          </w:p>
        </w:tc>
        <w:tc>
          <w:tcPr>
            <w:tcW w:w="6075"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Rate</w:t>
            </w:r>
          </w:p>
        </w:tc>
      </w:tr>
      <w:tr>
        <w:trPr>
          <w:trHeight w:val="240" w:hRule="atLeast"/>
        </w:trPr>
        <w:tc>
          <w:tcPr>
            <w:tcW w:w="51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First $50,000</w:t>
            </w:r>
          </w:p>
        </w:tc>
        <w:tc>
          <w:tcPr>
            <w:tcW w:w="607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51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Next $950,000</w:t>
            </w:r>
          </w:p>
        </w:tc>
        <w:tc>
          <w:tcPr>
            <w:tcW w:w="607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0.2% of estimated construction cost</w:t>
            </w:r>
          </w:p>
        </w:tc>
      </w:tr>
      <w:tr>
        <w:trPr>
          <w:trHeight w:val="225" w:hRule="atLeast"/>
        </w:trPr>
        <w:tc>
          <w:tcPr>
            <w:tcW w:w="51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Next $14,000,000</w:t>
            </w:r>
          </w:p>
        </w:tc>
        <w:tc>
          <w:tcPr>
            <w:tcW w:w="607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0.1% of estimated construction cost</w:t>
            </w:r>
          </w:p>
        </w:tc>
      </w:tr>
      <w:tr>
        <w:trPr>
          <w:trHeight w:val="225" w:hRule="atLeast"/>
        </w:trPr>
        <w:tc>
          <w:tcPr>
            <w:tcW w:w="5115"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Over $15,000,000</w:t>
            </w:r>
          </w:p>
        </w:tc>
        <w:tc>
          <w:tcPr>
            <w:tcW w:w="607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No additional charge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“As-built” construction fees. “As-built” construction is defined as construction that occurred before a construction permit is issued. The fee shall be calculated according to </w:t>
      </w:r>
      <w:hyperlink r:id="rId64">
        <w:r>
          <w:rPr>
            <w:rStyle w:val="Hyperlink"/>
            <w:rFonts w:ascii="Times New Roman" w:hAnsi="Times New Roman"/>
            <w:b w:val="false"/>
            <w:i w:val="false"/>
            <w:color w:val="000000"/>
            <w:sz w:val="22"/>
          </w:rPr>
          <w:t>43.3(3)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an additional fee of $200. The fee for water main projects permitted in accordance with </w:t>
      </w:r>
      <w:hyperlink r:id="rId65">
        <w:r>
          <w:rPr>
            <w:rStyle w:val="Hyperlink"/>
            <w:rFonts w:ascii="Times New Roman" w:hAnsi="Times New Roman"/>
            <w:b w:val="false"/>
            <w:i w:val="false"/>
            <w:color w:val="000000"/>
            <w:sz w:val="22"/>
          </w:rPr>
          <w:t>43.3(3)</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calculated in accordance with </w:t>
      </w:r>
      <w:hyperlink r:id="rId66">
        <w:r>
          <w:rPr>
            <w:rStyle w:val="Hyperlink"/>
            <w:rFonts w:ascii="Times New Roman" w:hAnsi="Times New Roman"/>
            <w:b w:val="false"/>
            <w:i w:val="false"/>
            <w:color w:val="000000"/>
            <w:sz w:val="22"/>
          </w:rPr>
          <w:t>43.3(3)</w:t>
        </w:r>
      </w:hyperlink>
      <w:r>
        <w:rPr>
          <w:rFonts w:ascii="Times New Roman" w:hAnsi="Times New Roman"/>
          <w:b w:val="false"/>
          <w:i/>
          <w:color w:val="000000"/>
          <w:sz w:val="22"/>
        </w:rPr>
        <w:t>“c”</w:t>
      </w:r>
      <w:r>
        <w:rPr>
          <w:rFonts w:ascii="Times New Roman" w:hAnsi="Times New Roman"/>
          <w:b w:val="false"/>
          <w:i w:val="false"/>
          <w:color w:val="000000"/>
          <w:sz w:val="22"/>
        </w:rPr>
        <w:t>(1); however, the additional “as-built” fee of $200 shall not be assessed for these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fees. A fee for change orders, addenda, or permit supplements will only be charged if the aggregate of the changes approved for the project to date causes the total project construction cost to exceed the original project construction cost by at least 5 percent. For water main extensions, the fee will be charged if the total length of water main exceeds the original approved length by 5 percent. The request for a time extension is a flat fee.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40" w:hRule="atLeast"/>
        </w:trPr>
        <w:tc>
          <w:tcPr>
            <w:tcW w:w="57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Other Categories</w:t>
            </w:r>
          </w:p>
        </w:tc>
        <w:tc>
          <w:tcPr>
            <w:tcW w:w="576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Rate</w:t>
            </w:r>
          </w:p>
        </w:tc>
      </w:tr>
      <w:tr>
        <w:trPr>
          <w:trHeight w:val="240"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Change orders, addenda, and permit supplements for water mains</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$0.10/ft. of additional water main, minimum: $50</w:t>
            </w:r>
          </w:p>
        </w:tc>
      </w:tr>
      <w:tr>
        <w:trPr>
          <w:trHeight w:val="40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Change orders, addenda, and permit supplements for non-water-main-related construction costs</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 of additional non-water-main-related construction costs, minimum: $50</w:t>
            </w:r>
          </w:p>
        </w:tc>
      </w:tr>
      <w:tr>
        <w:trPr>
          <w:trHeight w:val="225" w:hRule="atLeast"/>
        </w:trPr>
        <w:tc>
          <w:tcPr>
            <w:tcW w:w="57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Request for time extension</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Calendar year fee cap. The total amount of construction permit fees for a PWS owner during any calendar year shall not exceed $5,000 for water mains and $16,000 for non-water-main-related construction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well construction. </w:t>
      </w:r>
      <w:r>
        <w:rPr>
          <w:rFonts w:ascii="Times New Roman" w:hAnsi="Times New Roman"/>
          <w:b w:val="false"/>
          <w:i w:val="false"/>
          <w:color w:val="000000"/>
          <w:sz w:val="22"/>
        </w:rPr>
        <w:t xml:space="preserve">All water well construction must be performed by a certified well contractor in accordance with </w:t>
      </w:r>
      <w:hyperlink r:id="rId67">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It is the responsibility of the PWS and certified well contractor to ensure that a public well construction permit has been issued by the department prior to initiation of well construction and to ensure that all well construction is performed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Minor water main construction permit. </w:t>
      </w:r>
      <w:r>
        <w:rPr>
          <w:rFonts w:ascii="Times New Roman" w:hAnsi="Times New Roman"/>
          <w:b w:val="false"/>
          <w:i w:val="false"/>
          <w:color w:val="000000"/>
          <w:sz w:val="22"/>
        </w:rPr>
        <w:t>A PWS may obtain a minor water main construction permit from the department for construction or replacement of minor water mains that serve additional users. By obtaining this permit, the system is able to construct, extend, or replace new or existing minor water mains without obtaining an individual construction permit for each specific water main. The permit shall allow construction or replacement of minor water mains that do not exceed six inches in diameter and, in aggregation, do not increase the average daily demand (in gallons per day) of the PWS by more than 5 percent over the duration of the permit.</w:t>
      </w:r>
    </w:p>
    <w:p>
      <w:pPr>
        <w:spacing w:before="0" w:after="0"/>
        <w:ind w:left="120"/>
        <w:jc w:val="both"/>
      </w:pPr>
      <w:r>
        <w:rPr>
          <w:rFonts w:ascii="Times New Roman" w:hAnsi="Times New Roman"/>
          <w:b w:val="false"/>
          <w:i w:val="false"/>
          <w:color w:val="000000"/>
          <w:sz w:val="22"/>
        </w:rPr>
        <w:t xml:space="preserve"> The additional users must have been included in the system’s approved hydraulic analysis. The water demands of the additional users must be consistent with the water demands in the approved hydraulic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A minor water main construction permit shall be issued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has approved standard specifications for water main construction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has adequate source capacity and, where treatment is provided, adequate treatment plant capacity to meet the peak day demand of all existing users and the proposed additional users covered under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system has adequate storage capacity to meet the average day demand of all existing users and the proposed additional users covered under the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submits an application for a minor water main construction permit to the department 90 days before the anticipated first use of the permit. Construction shall not commence prior to the issuance of a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for minor water main construction permit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up-to-date hydraulic analysis of the system, prepared by a licensed professional engineer (unless one is already on file with the department). The hydraulic basis of flow (gallons per minute per connection) used in the analysis must be acceptable to the department. A hydraulic analysis shall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existing water mains within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All proposed water mains intended to be covered by the permit;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demonstration that the system has adequate hydraulic capacity to serve the existing and new users under peak flow conditions without causing the pressure to fall below 20 psi anywhere within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location of all potential users of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diameter of all existing and proposed pipes;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projected system flows;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static and dynamic pressures anticipated throughout the system with the addition of the new users incorporated in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completed Schedule 1b, Form 542-3151.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PWS must submit completed Schedule 2c, Form 542-3152, prior to the construction or replacement of each minor water main covered by a permit. Each water main covered by a permit must have either been included in the previously submitted hydraulic analysis or must be included in an update to the hydraulic analysis, submitted with Schedule 2c. If an update to the hydraulic analysis is submitted, it must include all portions of the distribution system potentially affected by the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By January 31 of the year following permit issuance, the PWS shall submit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set of plans for all water main extensions constructed under the permit,  prepared and submitted by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Schedules 1a, 1c, and 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construction permit fee calculated in accordance with </w:t>
      </w:r>
      <w:hyperlink r:id="rId68">
        <w:r>
          <w:rPr>
            <w:rStyle w:val="Hyperlink"/>
            <w:rFonts w:ascii="Times New Roman" w:hAnsi="Times New Roman"/>
            <w:b w:val="false"/>
            <w:i w:val="false"/>
            <w:color w:val="000000"/>
            <w:sz w:val="22"/>
          </w:rPr>
          <w:t>43.3(3)</w:t>
        </w:r>
      </w:hyperlink>
      <w:r>
        <w:rPr>
          <w:rFonts w:ascii="Times New Roman" w:hAnsi="Times New Roman"/>
          <w:b w:val="false"/>
          <w:i/>
          <w:color w:val="000000"/>
          <w:sz w:val="22"/>
        </w:rPr>
        <w:t>“c”</w:t>
      </w:r>
      <w:r>
        <w:rPr>
          <w:rFonts w:ascii="Times New Roman" w:hAnsi="Times New Roman"/>
          <w:b w:val="false"/>
          <w:i w:val="false"/>
          <w:color w:val="000000"/>
          <w:sz w:val="22"/>
        </w:rPr>
        <w:t xml:space="preserve">(1). The fee calculation shall be based upon the total length of water main constructed under a permit. For the purpose of calculating the total fee amount in accordance with </w:t>
      </w:r>
      <w:hyperlink r:id="rId69">
        <w:r>
          <w:rPr>
            <w:rStyle w:val="Hyperlink"/>
            <w:rFonts w:ascii="Times New Roman" w:hAnsi="Times New Roman"/>
            <w:b w:val="false"/>
            <w:i w:val="false"/>
            <w:color w:val="000000"/>
            <w:sz w:val="22"/>
          </w:rPr>
          <w:t>43.3(3)</w:t>
        </w:r>
      </w:hyperlink>
      <w:r>
        <w:rPr>
          <w:rFonts w:ascii="Times New Roman" w:hAnsi="Times New Roman"/>
          <w:b w:val="false"/>
          <w:i/>
          <w:color w:val="000000"/>
          <w:sz w:val="22"/>
        </w:rPr>
        <w:t>“c”</w:t>
      </w:r>
      <w:r>
        <w:rPr>
          <w:rFonts w:ascii="Times New Roman" w:hAnsi="Times New Roman"/>
          <w:b w:val="false"/>
          <w:i w:val="false"/>
          <w:color w:val="000000"/>
          <w:sz w:val="22"/>
        </w:rPr>
        <w:t>(4), the fee shall be credited to the calendar year in which it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permit shall contain conditions deemed necessary by the director to ensure compliance with all applicable department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director may modify a permit, in whole or in part, at any time. The director may suspend or revoke a permit, in whole or in part, at any time by providing written notice to the permit holder, and is not obligated to renew the permit. Cause for modification, suspension, or revocation of a permit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Misrepresentation of fact or failure to disclose fully all material facts in order to obtain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submit department-required records and information, both generally and as condition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submit timely reports from previous permits;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construct in accordance with either approved construction standards, in accordance with </w:t>
      </w:r>
      <w:r>
        <w:rPr>
          <w:rFonts w:ascii="Times New Roman" w:hAnsi="Times New Roman"/>
          <w:b w:val="false"/>
          <w:i w:val="false"/>
          <w:color w:val="000000"/>
          <w:sz w:val="22"/>
        </w:rPr>
        <w:t>43.3(2)</w:t>
      </w:r>
      <w:r>
        <w:rPr>
          <w:rFonts w:ascii="Times New Roman" w:hAnsi="Times New Roman"/>
          <w:b w:val="false"/>
          <w:i w:val="false"/>
          <w:color w:val="000000"/>
          <w:sz w:val="22"/>
        </w:rPr>
        <w:t>, or with the system’s approved standard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minor water main construction permit expires on December 31 of the year in which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No waiver to the construction standards is allowed under a minor water main construction permit, except for AWWA C651 Section 5.1, Sampling Frequency. If a waiver to the construction standards is needed, the system must apply for an individual construction permit following the procedures in </w:t>
      </w:r>
      <w:hyperlink r:id="rId70">
        <w:r>
          <w:rPr>
            <w:rStyle w:val="Hyperlink"/>
            <w:rFonts w:ascii="Times New Roman" w:hAnsi="Times New Roman"/>
            <w:b w:val="false"/>
            <w:i w:val="false"/>
            <w:color w:val="000000"/>
            <w:sz w:val="22"/>
          </w:rPr>
          <w:t>567—subrule 40.4(1)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43.3(4)</w:t>
      </w:r>
      <w:r>
        <w:rPr>
          <w:rFonts w:ascii="Times New Roman" w:hAnsi="Times New Roman"/>
          <w:b w:val="false"/>
          <w:i w:val="false"/>
          <w:color w:val="000000"/>
          <w:sz w:val="22"/>
        </w:rPr>
        <w:t> </w:t>
      </w:r>
      <w:r>
        <w:rPr>
          <w:rFonts w:ascii="Times New Roman" w:hAnsi="Times New Roman"/>
          <w:b w:val="false"/>
          <w:i/>
          <w:color w:val="000000"/>
          <w:sz w:val="22"/>
        </w:rPr>
        <w:t xml:space="preserve">Waiver from engineering requirements. </w:t>
      </w:r>
      <w:r>
        <w:rPr>
          <w:rFonts w:ascii="Times New Roman" w:hAnsi="Times New Roman"/>
          <w:b w:val="false"/>
          <w:i w:val="false"/>
          <w:color w:val="000000"/>
          <w:sz w:val="22"/>
        </w:rPr>
        <w:t xml:space="preserve">The requirement for preparation of plans and specifications by a licensed professional engineer may be waived for the following types of projects, provided the proposed improvement complies with the construction standards. This waiver does not relieve the supplier of water from meeting the application and permit requirements of </w:t>
      </w:r>
      <w:hyperlink r:id="rId71">
        <w:r>
          <w:rPr>
            <w:rStyle w:val="Hyperlink"/>
            <w:rFonts w:ascii="Times New Roman" w:hAnsi="Times New Roman"/>
            <w:b w:val="false"/>
            <w:i w:val="false"/>
            <w:color w:val="000000"/>
            <w:sz w:val="22"/>
          </w:rPr>
          <w:t>43.3(3)</w:t>
        </w:r>
      </w:hyperlink>
      <w:r>
        <w:rPr>
          <w:rFonts w:ascii="Times New Roman" w:hAnsi="Times New Roman"/>
          <w:b w:val="false"/>
          <w:i w:val="false"/>
          <w:color w:val="000000"/>
          <w:sz w:val="22"/>
        </w:rPr>
        <w:t>, except that the applicant need not obtain a written permit prior to installing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Simple chemical feed,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improvement consists only of a simple chemical solution application or installation, which in no way affects the performance of a larger treatment process, or is included as part of a larger treatment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chemical application is by a positive displacement pump, the acceptability of said pump to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supplier of water provides the department with a schematic of the installation and manufacturer’s specifications sufficient to determine if the simple chemical feed installation meets the applicable construction standards, pursuant to </w:t>
      </w:r>
      <w:hyperlink r:id="rId72">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final installation is approved based on an on-site inspection by department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installation includes only the prepackaged delivery of chemicals (from sacks, containers, or carboys) and does not include the bulk storage or transfer of chemicals (from a delivery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Self-contained treatment unit,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equipment can be purchased “off the shelf”; is self-contained, requiring only a piping hookup for installation; and operates throughout a range of 35 to 80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plant is designed to serve no more than an average of 250 individuals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supplier of water provides the department with a schematic of the installation, manufacturer’s specifications, or other necessary information, sufficient to determine if the installation of the self-contained treatment unit will alleviate an MCL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final installation is approved based on an on-site inspection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w:t>
      </w:r>
      <w:r>
        <w:rPr>
          <w:rFonts w:ascii="Times New Roman" w:hAnsi="Times New Roman"/>
          <w:b w:val="false"/>
          <w:i w:val="false"/>
          <w:color w:val="000000"/>
          <w:sz w:val="22"/>
        </w:rPr>
        <w:t> </w:t>
      </w:r>
      <w:r>
        <w:rPr>
          <w:rFonts w:ascii="Times New Roman" w:hAnsi="Times New Roman"/>
          <w:b w:val="false"/>
          <w:i/>
          <w:color w:val="000000"/>
          <w:sz w:val="22"/>
        </w:rPr>
        <w:t xml:space="preserve">Project planning and design basis. </w:t>
      </w:r>
      <w:r>
        <w:rPr>
          <w:rFonts w:ascii="Times New Roman" w:hAnsi="Times New Roman"/>
          <w:b w:val="false"/>
          <w:i w:val="false"/>
          <w:color w:val="000000"/>
          <w:sz w:val="22"/>
        </w:rPr>
        <w:t>An engineering report describing the project design basis must be submitted to the department either with the project or in advance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must contain information and data necessary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 conformance with the construction and operation standards in </w:t>
      </w:r>
      <w:hyperlink r:id="rId73">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adequacy of the project to supply water in sufficient quantity, at sufficient pressure, and of a quality that complies with drinking water standards in 567—Chapters </w:t>
      </w:r>
      <w:hyperlink r:id="rId74">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must supply pertinent information as set forth in part one of the Ten States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reject receipt or delay review of the plans and specifications until an adequate design basis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w:t>
      </w:r>
      <w:r>
        <w:rPr>
          <w:rFonts w:ascii="Times New Roman" w:hAnsi="Times New Roman"/>
          <w:b w:val="false"/>
          <w:i w:val="false"/>
          <w:color w:val="000000"/>
          <w:sz w:val="22"/>
        </w:rPr>
        <w:t> </w:t>
      </w:r>
      <w:r>
        <w:rPr>
          <w:rFonts w:ascii="Times New Roman" w:hAnsi="Times New Roman"/>
          <w:b w:val="false"/>
          <w:i/>
          <w:color w:val="000000"/>
          <w:sz w:val="22"/>
        </w:rPr>
        <w:t xml:space="preserve">Standard specifications for water main construction. </w:t>
      </w:r>
      <w:r>
        <w:rPr>
          <w:rFonts w:ascii="Times New Roman" w:hAnsi="Times New Roman"/>
          <w:b w:val="false"/>
          <w:i w:val="false"/>
          <w:color w:val="000000"/>
          <w:sz w:val="22"/>
        </w:rPr>
        <w:t>Standard specifications for water main construction by an entity may be submitted to the department or an authorized local public works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approval shall apply to all future water main construction by or for that entity for which plans are submitted with a statement requiring construction in accordance with all applicable approved standard specifications unless the standards for PWSs specified in </w:t>
      </w:r>
      <w:hyperlink r:id="rId76">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are modified subsequent to an approval and the standard specifications would not be approvable under the modified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approved specifications are on file, construction may commence 30 days following plan receipt by the department or an authorized local public works department, if no response has been received indicating construction shall not commence until a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43.3(7)</w:t>
      </w:r>
      <w:r>
        <w:rPr>
          <w:rFonts w:ascii="Times New Roman" w:hAnsi="Times New Roman"/>
          <w:b w:val="false"/>
          <w:i w:val="false"/>
          <w:color w:val="000000"/>
          <w:sz w:val="22"/>
        </w:rPr>
        <w:t> </w:t>
      </w:r>
      <w:r>
        <w:rPr>
          <w:rFonts w:ascii="Times New Roman" w:hAnsi="Times New Roman"/>
          <w:b w:val="false"/>
          <w:i/>
          <w:color w:val="000000"/>
          <w:sz w:val="22"/>
        </w:rPr>
        <w:t xml:space="preserve">Site and monitoring requirements for new raw water source(s) and underground finished water storage facilities, and water supply separation distances (SDs).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Site approval. </w:t>
      </w:r>
      <w:r>
        <w:rPr>
          <w:rFonts w:ascii="Times New Roman" w:hAnsi="Times New Roman"/>
          <w:b w:val="false"/>
          <w:i w:val="false"/>
          <w:color w:val="000000"/>
          <w:sz w:val="22"/>
        </w:rPr>
        <w:t>The site for each proposed raw source or finished water below-ground level storage facility must be approved by the department prior to the submission of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Site approval criteria. </w:t>
      </w:r>
      <w:r>
        <w:rPr>
          <w:rFonts w:ascii="Times New Roman" w:hAnsi="Times New Roman"/>
          <w:b w:val="false"/>
          <w:i w:val="false"/>
          <w:color w:val="000000"/>
          <w:sz w:val="22"/>
        </w:rPr>
        <w:t>A site may be approved if the director concludes that the criteria in this paragraph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(GW) source. GW wells shall be planned and constructed to adapt to the geologic and GW conditions of the proposed site to ensure production of water that is both microbially safe and free of substances that could cause harmful human health effects. GW wells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Drainage must be directed away from a well in all directions for a minimum radius of 15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well site must meet the minimum SDs from contamination sources specified in Table A in </w:t>
      </w:r>
      <w:hyperlink r:id="rId77">
        <w:r>
          <w:rPr>
            <w:rStyle w:val="Hyperlink"/>
            <w:rFonts w:ascii="Times New Roman" w:hAnsi="Times New Roman"/>
            <w:b w:val="false"/>
            <w:i w:val="false"/>
            <w:color w:val="000000"/>
            <w:sz w:val="22"/>
          </w:rPr>
          <w:t>43.3(7)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well site has received preliminary department approval, the owner of the proposed well must submit, as part of the construction permit application, proof of legal control of the land for a 200-foot radius around the well, through purchase, lease, easement, ordinance, or other similar means.  Legal control must be maintained by the PWS for the life of the well. The SDs specified in Table A in </w:t>
      </w:r>
      <w:hyperlink r:id="rId78">
        <w:r>
          <w:rPr>
            <w:rStyle w:val="Hyperlink"/>
            <w:rFonts w:ascii="Times New Roman" w:hAnsi="Times New Roman"/>
            <w:b w:val="false"/>
            <w:i w:val="false"/>
            <w:color w:val="000000"/>
            <w:sz w:val="22"/>
          </w:rPr>
          <w:t>43.3(7)</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be maintained for the life of the well as legal control allows. However, if the proposed well is for an existing NCWS and is replacing an existing well that either does not meet the current standards or is in poor condition, the 200-foot legal control requirement may be waived by the department, provided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proposed well is located on the best available site;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The existing facility does not have adequate land to provide the 200-foot control zone;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has attempted to obtain legal control without success;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is no other PWS available to which the supply could connect.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GW well shall be constructed within the projected plume of any known anthropogenic GW contamination without the department’s written approval. The department may allow well construction within a contamination plume if an applicant can provide treatment that ensures all drinking water standards are met and ensures that the pumpage of the proposed well will not cause plume migration that impacts the water quality of other nearby wells. An applicant must demonstrate, using a hydrogeologic model acceptable to the department, that the time of transport is greater than two years for any viral, bacterial, or other microorganism contaminant and greater than ten years for all chemical contaminants. The projected plume modeling must account for the proposed well pumpage rate. The department may require additional construction standards for these situations to ensure protection of the GW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that an identification tag be applied to each GW well and may supply the numbered tag. The responsibility for ensuring that the tag is properly attached to the well is with the certified water well contractor for new wells and with the department for existing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(SW)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proof that a proposed SW source can, through readily available treatment methodology, comply with 567—Chapters </w:t>
      </w:r>
      <w:hyperlink r:id="rId79">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that the SW source is adequately protected against potential health hazards including, but not limited to, point source discharges, hazardous chemical spills, and the potential sources of contamination listed in Table A in </w:t>
      </w:r>
      <w:hyperlink r:id="rId81">
        <w:r>
          <w:rPr>
            <w:rStyle w:val="Hyperlink"/>
            <w:rFonts w:ascii="Times New Roman" w:hAnsi="Times New Roman"/>
            <w:b w:val="false"/>
            <w:i w:val="false"/>
            <w:color w:val="000000"/>
            <w:sz w:val="22"/>
          </w:rPr>
          <w:t>43.3(7)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SW impoundment has received preliminary department approval for use as a raw water source, the owner of the PWS shall submit proof of legal control through ownership, lease, easement, or other similar means, of contiguous land for a distance of 400 feet from the shoreline at the maximum water level. Legal control shall be for the life of the impoundment and shall control location of sources of contamination specified in Table A in </w:t>
      </w:r>
      <w:hyperlink r:id="rId82">
        <w:r>
          <w:rPr>
            <w:rStyle w:val="Hyperlink"/>
            <w:rFonts w:ascii="Times New Roman" w:hAnsi="Times New Roman"/>
            <w:b w:val="false"/>
            <w:i w:val="false"/>
            <w:color w:val="000000"/>
            <w:sz w:val="22"/>
          </w:rPr>
          <w:t>43.3(7)</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the 400-foot distance. Proof of legal control should be submitted with the construction permit application and shall be submitted prior to issuance of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source water monitoring requirements. </w:t>
      </w:r>
      <w:r>
        <w:rPr>
          <w:rFonts w:ascii="Times New Roman" w:hAnsi="Times New Roman"/>
          <w:b w:val="false"/>
          <w:i w:val="false"/>
          <w:color w:val="000000"/>
          <w:sz w:val="22"/>
        </w:rPr>
        <w:t>Water quality monitoring shall be conducted on all new water sources and results submitted to the department prior to placing the new water source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sources. Water samples shall be collected from each new water source and analyzed for all appropriate contaminants, as specified in </w:t>
      </w:r>
      <w:hyperlink r:id="rId83">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xml:space="preserve">, consistent with the particular system classification. If multiple new sources are being added, sample compositing (within a single system) shall be allowed in accordance with the composite sampling requirements in </w:t>
      </w:r>
      <w:hyperlink r:id="rId84">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A single sample may be allowed to meet this requirement, if approved by the department. Subsequent water testing shall be conducted consistent with the system’s operation permit monitoring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GW sources. Water samples from GW sources shall be collected at the conclusion of the drawdown/yield test pumping procedure, with the exception of bacteriological monitoring. Bacteriological monitoring must be conducted after disinfection of each new well and subsequent pumping of the chlorinated water to waste. Water samples must be analyzed for ammonia and should be analyzed for alkalinity, pH, calcium, chloride, copper, hardness, iron, magnesium, manganese, potassium, silica, specific conductance, sodium, sulfate, filterable and nonfilterable solids, and zinc.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SW sources. Water samples from SW sources should be collected prior to the design of the SW treatment facility and shall be collected and analyzed prior to utilization of the source. Samples shall be collected during June, July, and August. In addition, quarterly monitoring shall be conducted in March, June, September, and December at a location representative of the raw water at its point of withdrawal. Samples shall be analyzed for turbidity, alkalinity, pH, calcium, chloride, color, copper, hardness, iron, magnesium, manganese, potassium, silica, specific conductance, sodium, sulfate, filterable and nonfilterable solids, carbonate, bicarbonate, algae (qualitative and quantitative), total organic carbon (TOC), five-day biochemical oxygen demand, dissolved oxygen, surfactants, nitrogen series (organic, ammonia, nitrite, and nitrate), and phosphate.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(SDs). </w:t>
      </w:r>
      <w:r>
        <w:rPr>
          <w:rFonts w:ascii="Times New Roman" w:hAnsi="Times New Roman"/>
          <w:b w:val="false"/>
          <w:i w:val="false"/>
          <w:color w:val="000000"/>
          <w:sz w:val="22"/>
        </w:rPr>
        <w:t xml:space="preserve">The minimum lateral SDs between wells and belowground finished water storage facilities and structures or sources of contamination are specified below in Table A. Additional legal and conveyance-specific SD requirements are specified for public wells in </w:t>
      </w:r>
      <w:hyperlink r:id="rId85">
        <w:r>
          <w:rPr>
            <w:rStyle w:val="Hyperlink"/>
            <w:rFonts w:ascii="Times New Roman" w:hAnsi="Times New Roman"/>
            <w:b w:val="false"/>
            <w:i w:val="false"/>
            <w:color w:val="000000"/>
            <w:sz w:val="22"/>
          </w:rPr>
          <w:t>43.3(7)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water mains in </w:t>
      </w:r>
      <w:hyperlink r:id="rId86">
        <w:r>
          <w:rPr>
            <w:rStyle w:val="Hyperlink"/>
            <w:rFonts w:ascii="Times New Roman" w:hAnsi="Times New Roman"/>
            <w:b w:val="false"/>
            <w:i w:val="false"/>
            <w:color w:val="000000"/>
            <w:sz w:val="22"/>
          </w:rPr>
          <w:t>43.3(2)</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physical connection between a public or private potable water supply system and a sewer, or appurtenance thereto, that would permit the passage of any sewage into a potable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proposed well is located in an existing well field and will withdraw water from the same aquifer as the existing well(s), the individual SDs listed in Table A may be waived if substantial historical data are available indicating that no contamination has resulted.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Greater SDs than those listed in Table A may be required where necessary to ensure that no adverse effects to systems or the existing environment will result. Lesser SDs may be considered if detailed justification is provided by the applicant’s engineer showing that no adverse effects will result from the lesser distance and the regional department field office staff recommend approval of the lesser distance. Such exceptions must be based on special construction techniques or localized geologic or hydrologic conditions. </w:t>
      </w:r>
    </w:p>
    <w:p>
      <w:pPr>
        <w:spacing w:before="60" w:after="0"/>
        <w:ind w:left="120"/>
        <w:jc w:val="center"/>
      </w:pPr>
      <w:r>
        <w:rPr>
          <w:rFonts w:ascii="Times New Roman" w:hAnsi="Times New Roman"/>
          <w:b/>
          <w:i w:val="false"/>
          <w:color w:val="000000"/>
          <w:sz w:val="22"/>
        </w:rPr>
        <w:t>TABLE A: PUBLIC WELL AND BELOWGROUND LEVEL FINISHED WATER STORAGE FACILITY SEPARATION DISTANCES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1728"/>
        <w:gridCol w:w="1728"/>
        <w:gridCol w:w="2304"/>
      </w:tblGrid>
      <w:tr>
        <w:trPr>
          <w:trHeight w:val="420" w:hRule="atLeast"/>
        </w:trPr>
        <w:tc>
          <w:tcPr>
            <w:tcW w:w="576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Structure or Source of Contamination</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Required Minimum Lateral Distance, as Measured Horizontally on the Ground Surface, in feet</w:t>
            </w:r>
          </w:p>
        </w:tc>
      </w:tr>
      <w:tr>
        <w:trPr>
          <w:trHeight w:val="40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Public Wells</w:t>
            </w:r>
          </w:p>
        </w:tc>
        <w:tc>
          <w:tcPr>
            <w:tcW w:w="2304"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Belowground level finished</w:t>
            </w:r>
          </w:p>
        </w:tc>
      </w:tr>
      <w:tr>
        <w:trPr>
          <w:trHeight w:val="285" w:hRule="atLeast"/>
        </w:trPr>
        <w:tc>
          <w:tcPr>
            <w:tcW w:w="0" w:type="auto"/>
            <w:vMerge/>
            <w:tcBorders>
              <w:top w:val="nil"/>
              <w:bottom w:val="single" w:color="000000" w:sz="8"/>
              <w:right w:val="single" w:color="000000" w:sz="8"/>
            </w:tcBorders>
          </w:tcPr>
          <w:p/>
        </w:tc>
        <w:tc>
          <w:tcPr>
            <w:tcW w:w="172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Deep Well</w:t>
            </w:r>
            <w:r>
              <w:rPr>
                <w:rFonts w:ascii="Times New Roman" w:hAnsi="Times New Roman"/>
                <w:b/>
                <w:i w:val="false"/>
                <w:color w:val="000000"/>
                <w:sz w:val="18"/>
                <w:vertAlign w:val="superscript"/>
              </w:rPr>
              <w:t>1</w:t>
            </w:r>
          </w:p>
        </w:tc>
        <w:tc>
          <w:tcPr>
            <w:tcW w:w="172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Shallow Well</w:t>
            </w:r>
            <w:r>
              <w:rPr>
                <w:rFonts w:ascii="Times New Roman" w:hAnsi="Times New Roman"/>
                <w:b/>
                <w:i w:val="false"/>
                <w:color w:val="000000"/>
                <w:sz w:val="18"/>
                <w:vertAlign w:val="superscript"/>
              </w:rPr>
              <w:t>1</w:t>
            </w:r>
          </w:p>
        </w:tc>
        <w:tc>
          <w:tcPr>
            <w:tcW w:w="2304"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water storage facility</w:t>
            </w:r>
          </w:p>
        </w:tc>
      </w:tr>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PRIVATE WELLS:</w:t>
            </w:r>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Private wells (new or existing, deep or shallow)</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tcBorders>
            <w:tcMar>
              <w:top w:w="30" w:type="dxa"/>
              <w:left w:w="30" w:type="dxa"/>
              <w:bottom w:w="15" w:type="dxa"/>
              <w:right w:w="30" w:type="dxa"/>
            </w:tcMar>
            <w:vAlign w:val="top"/>
          </w:tcPr>
          <w:p>
            <w:pPr>
              <w:spacing w:before="0" w:after="0"/>
              <w:ind w:left="189"/>
              <w:jc w:val="left"/>
            </w:pPr>
            <w:r>
              <w:rPr>
                <w:rFonts w:ascii="Times New Roman" w:hAnsi="Times New Roman"/>
                <w:b w:val="false"/>
                <w:i w:val="false"/>
                <w:color w:val="000000"/>
                <w:sz w:val="16"/>
              </w:rPr>
              <w:t>GHEX loop boreholes</w:t>
            </w:r>
            <w:r>
              <w:rPr>
                <w:rFonts w:ascii="Times New Roman" w:hAnsi="Times New Roman"/>
                <w:b w:val="false"/>
                <w:i w:val="false"/>
                <w:color w:val="000000"/>
                <w:sz w:val="18"/>
                <w:vertAlign w:val="superscript"/>
              </w:rPr>
              <w:t>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WASTEWATER STRUCTURES:</w:t>
            </w:r>
          </w:p>
        </w:tc>
      </w:tr>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Land Disposal of Treated Wastes:</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Irrigation of wastewater</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Land application of solid wastes</w:t>
            </w:r>
            <w:r>
              <w:rPr>
                <w:rFonts w:ascii="Times New Roman" w:hAnsi="Times New Roman"/>
                <w:b w:val="false"/>
                <w:i w:val="false"/>
                <w:color w:val="000000"/>
                <w:sz w:val="18"/>
                <w:vertAlign w:val="superscript"/>
              </w:rPr>
              <w:t>3</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Land application of septage</w:t>
            </w:r>
            <w:r>
              <w:rPr>
                <w:rFonts w:ascii="Times New Roman" w:hAnsi="Times New Roman"/>
                <w:b w:val="false"/>
                <w:i w:val="false"/>
                <w:color w:val="000000"/>
                <w:sz w:val="18"/>
                <w:vertAlign w:val="superscript"/>
              </w:rPr>
              <w:t>4</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Water treatment plant waste discharged to the ground surface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Other sanitary and industrial discharges to the ground surface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Wastewater Disposal Systems:</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Water treatment plant waste treatment structures</w:t>
            </w:r>
            <w:r>
              <w:rPr>
                <w:rFonts w:ascii="Times New Roman" w:hAnsi="Times New Roman"/>
                <w:b w:val="false"/>
                <w:i w:val="false"/>
                <w:color w:val="000000"/>
                <w:sz w:val="18"/>
                <w:vertAlign w:val="superscript"/>
              </w:rPr>
              <w:t>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PSDSs and onsite treatment systems – closed portion</w:t>
            </w:r>
            <w:r>
              <w:rPr>
                <w:rFonts w:ascii="Times New Roman" w:hAnsi="Times New Roman"/>
                <w:b w:val="false"/>
                <w:i w:val="false"/>
                <w:color w:val="000000"/>
                <w:sz w:val="18"/>
                <w:vertAlign w:val="superscript"/>
              </w:rPr>
              <w:t>6</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PSDSs and onsite treatment systems – open portion</w:t>
            </w:r>
            <w:r>
              <w:rPr>
                <w:rFonts w:ascii="Times New Roman" w:hAnsi="Times New Roman"/>
                <w:b w:val="false"/>
                <w:i w:val="false"/>
                <w:color w:val="000000"/>
                <w:sz w:val="18"/>
                <w:vertAlign w:val="superscript"/>
              </w:rPr>
              <w:t>6</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Lagoons</w:t>
            </w:r>
            <w:r>
              <w:rPr>
                <w:rFonts w:ascii="Times New Roman" w:hAnsi="Times New Roman"/>
                <w:b w:val="false"/>
                <w:i w:val="false"/>
                <w:color w:val="000000"/>
                <w:sz w:val="18"/>
                <w:vertAlign w:val="superscript"/>
              </w:rPr>
              <w:t>7</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Mechanical wastewater treatment plants</w:t>
            </w:r>
            <w:r>
              <w:rPr>
                <w:rFonts w:ascii="Times New Roman" w:hAnsi="Times New Roman"/>
                <w:b w:val="false"/>
                <w:i w:val="false"/>
                <w:color w:val="000000"/>
                <w:sz w:val="18"/>
                <w:vertAlign w:val="superscript"/>
              </w:rPr>
              <w:t>8</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CHEMICALS:</w:t>
            </w:r>
          </w:p>
        </w:tc>
      </w:tr>
      <w:tr>
        <w:trPr>
          <w:trHeight w:val="40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Transmission pipelines (including, but not limited to, fertilizer, liquid petroleum, or anhydrous ammonia)</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Chemical applications to ground surface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70"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Chemical and mineral storage, except for liquid propane gas (LPG)</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Above ground storage</w:t>
            </w:r>
            <w:r>
              <w:rPr>
                <w:rFonts w:ascii="Times New Roman" w:hAnsi="Times New Roman"/>
                <w:b w:val="false"/>
                <w:i w:val="false"/>
                <w:color w:val="000000"/>
                <w:sz w:val="18"/>
                <w:vertAlign w:val="superscript"/>
              </w:rPr>
              <w:t>9</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On or under ground storage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Liquid propane gas (LPG) storage tanks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ANIMALS:</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Animal pasturage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40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Animal enclosures (such as confinement buildings or open feedlots)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Earthen silage storage trenches or pits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Animal Wastes:</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Storage basins or lagoons or runoff control basins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Solids stockpiles, solids settling facilities, or storage tanks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Land application of liquid, slurry, or solids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WATERBODIES:</w:t>
            </w:r>
          </w:p>
        </w:tc>
      </w:tr>
      <w:tr>
        <w:trPr>
          <w:trHeight w:val="43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Flowing streams, ponds, lakes, reservoirs, wetlands, or drainage channels</w:t>
            </w:r>
            <w:r>
              <w:rPr>
                <w:rFonts w:ascii="Times New Roman" w:hAnsi="Times New Roman"/>
                <w:b w:val="false"/>
                <w:i w:val="false"/>
                <w:color w:val="000000"/>
                <w:sz w:val="18"/>
                <w:vertAlign w:val="superscript"/>
              </w:rPr>
              <w:t>10</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MISCELLANEOUS STRUCTURES:</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Basements, pits, or sumps</w:t>
            </w:r>
            <w:r>
              <w:rPr>
                <w:rFonts w:ascii="Times New Roman" w:hAnsi="Times New Roman"/>
                <w:b w:val="false"/>
                <w:i w:val="false"/>
                <w:color w:val="000000"/>
                <w:sz w:val="18"/>
                <w:vertAlign w:val="superscript"/>
              </w:rPr>
              <w:t>11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Cemeteries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Cisterns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Railroads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Solid waste landfills and disposal sites</w:t>
            </w:r>
            <w:r>
              <w:rPr>
                <w:rFonts w:ascii="Times New Roman" w:hAnsi="Times New Roman"/>
                <w:b w:val="false"/>
                <w:i w:val="false"/>
                <w:color w:val="000000"/>
                <w:sz w:val="18"/>
                <w:vertAlign w:val="superscript"/>
              </w:rPr>
              <w:t>12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480"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GRAVITY SANITARY SEWER MAINS AND STORM SEWERS</w:t>
            </w:r>
            <w:r>
              <w:rPr>
                <w:rFonts w:ascii="Times New Roman" w:hAnsi="Times New Roman"/>
                <w:b/>
                <w:i w:val="false"/>
                <w:color w:val="000000"/>
                <w:sz w:val="18"/>
                <w:vertAlign w:val="superscript"/>
              </w:rPr>
              <w:t>13</w:t>
            </w:r>
            <w:r>
              <w:br/>
            </w:r>
            <w:r>
              <w:rPr>
                <w:rFonts w:ascii="Times New Roman" w:hAnsi="Times New Roman"/>
                <w:b w:val="false"/>
                <w:i w:val="false"/>
                <w:color w:val="000000"/>
                <w:sz w:val="16"/>
              </w:rPr>
              <w:t>Includes sewers carrying water treatment plant wastes, building sewer service lines, and laterals</w:t>
            </w:r>
            <w:r>
              <w:rPr>
                <w:rFonts w:ascii="Times New Roman" w:hAnsi="Times New Roman"/>
                <w:b w:val="false"/>
                <w:i w:val="false"/>
                <w:color w:val="000000"/>
                <w:sz w:val="18"/>
                <w:vertAlign w:val="superscript"/>
              </w:rPr>
              <w:t>14</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General gravity sanitary and storm sewer minimums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 prohibited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 prohibited</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Water main materials</w:t>
            </w:r>
            <w:r>
              <w:rPr>
                <w:rFonts w:ascii="Times New Roman" w:hAnsi="Times New Roman"/>
                <w:b w:val="false"/>
                <w:i w:val="false"/>
                <w:color w:val="000000"/>
                <w:sz w:val="18"/>
                <w:vertAlign w:val="superscript"/>
              </w:rPr>
              <w:t>15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25-75</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Standard sanitary sewer materials</w:t>
            </w:r>
            <w:r>
              <w:rPr>
                <w:rFonts w:ascii="Times New Roman" w:hAnsi="Times New Roman"/>
                <w:b w:val="false"/>
                <w:i w:val="false"/>
                <w:color w:val="000000"/>
                <w:sz w:val="18"/>
                <w:vertAlign w:val="superscript"/>
              </w:rPr>
              <w:t>15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70"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SANITARY SEWER FORCE MAINS:</w:t>
            </w:r>
            <w:r>
              <w:rPr>
                <w:rFonts w:ascii="Times New Roman" w:hAnsi="Times New Roman"/>
                <w:b/>
                <w:i w:val="false"/>
                <w:color w:val="000000"/>
                <w:sz w:val="18"/>
                <w:vertAlign w:val="superscript"/>
              </w:rPr>
              <w:t>13</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General sanitary sewer force main minimums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 prohibited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 prohibited</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Water main materials</w:t>
            </w:r>
            <w:r>
              <w:rPr>
                <w:rFonts w:ascii="Times New Roman" w:hAnsi="Times New Roman"/>
                <w:b w:val="false"/>
                <w:i w:val="false"/>
                <w:color w:val="000000"/>
                <w:sz w:val="18"/>
                <w:vertAlign w:val="superscript"/>
              </w:rPr>
              <w:t>15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Standard sanitary sewer materials</w:t>
            </w:r>
            <w:r>
              <w:rPr>
                <w:rFonts w:ascii="Times New Roman" w:hAnsi="Times New Roman"/>
                <w:b w:val="false"/>
                <w:i w:val="false"/>
                <w:color w:val="000000"/>
                <w:sz w:val="18"/>
                <w:vertAlign w:val="superscript"/>
              </w:rPr>
              <w:t>15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400-1000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70"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DRAINS:</w:t>
            </w:r>
            <w:r>
              <w:rPr>
                <w:rFonts w:ascii="Times New Roman" w:hAnsi="Times New Roman"/>
                <w:b/>
                <w:i w:val="false"/>
                <w:color w:val="000000"/>
                <w:sz w:val="18"/>
                <w:vertAlign w:val="superscript"/>
              </w:rPr>
              <w:t>13</w:t>
            </w:r>
          </w:p>
        </w:tc>
      </w:tr>
      <w:tr>
        <w:trPr>
          <w:trHeight w:val="225"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General drains, including well house floor drains to sewers:</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General drain minimums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 prohibited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 prohibited</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General drains - water main materials</w:t>
            </w:r>
            <w:r>
              <w:rPr>
                <w:rFonts w:ascii="Times New Roman" w:hAnsi="Times New Roman"/>
                <w:b w:val="false"/>
                <w:i w:val="false"/>
                <w:color w:val="000000"/>
                <w:sz w:val="18"/>
                <w:vertAlign w:val="superscript"/>
              </w:rPr>
              <w:t>15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25-75</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General drains - sanitary sewer materials</w:t>
            </w:r>
            <w:r>
              <w:rPr>
                <w:rFonts w:ascii="Times New Roman" w:hAnsi="Times New Roman"/>
                <w:b w:val="false"/>
                <w:i w:val="false"/>
                <w:color w:val="000000"/>
                <w:sz w:val="18"/>
                <w:vertAlign w:val="superscript"/>
              </w:rPr>
              <w:t>15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75-200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Well house floor drains to surface:</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General well house floor drains to surface minimums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 prohibited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 prohibited</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Standard sanitary sewer material</w:t>
            </w:r>
            <w:r>
              <w:rPr>
                <w:rFonts w:ascii="Times New Roman" w:hAnsi="Times New Roman"/>
                <w:b w:val="false"/>
                <w:i w:val="false"/>
                <w:color w:val="000000"/>
                <w:sz w:val="18"/>
                <w:vertAlign w:val="superscript"/>
              </w:rPr>
              <w:t>15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w:t>
            </w:r>
          </w:p>
        </w:tc>
      </w:tr>
      <w:tr>
        <w:trPr>
          <w:trHeight w:val="270"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MISCELLANEOUS CONVEYANCES:</w:t>
            </w:r>
            <w:r>
              <w:rPr>
                <w:rFonts w:ascii="Times New Roman" w:hAnsi="Times New Roman"/>
                <w:b/>
                <w:i w:val="false"/>
                <w:color w:val="000000"/>
                <w:sz w:val="18"/>
                <w:vertAlign w:val="superscript"/>
              </w:rPr>
              <w:t>13</w:t>
            </w:r>
          </w:p>
        </w:tc>
      </w:tr>
      <w:tr>
        <w:trPr>
          <w:trHeight w:val="225"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Internal conveyance piping for water plant treatment process wastes treated onsite:</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Internal conveyance piping minimums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 prohibited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 prohibited</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Standard sanitary sewer materials</w:t>
            </w:r>
            <w:r>
              <w:rPr>
                <w:rFonts w:ascii="Times New Roman" w:hAnsi="Times New Roman"/>
                <w:b w:val="false"/>
                <w:i w:val="false"/>
                <w:color w:val="000000"/>
                <w:sz w:val="18"/>
                <w:vertAlign w:val="superscript"/>
              </w:rPr>
              <w:t>15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Deep and shallow wells are defined in </w:t>
      </w:r>
      <w:hyperlink r:id="rId87">
        <w:r>
          <w:rPr>
            <w:rStyle w:val="Hyperlink"/>
            <w:rFonts w:ascii="Times New Roman" w:hAnsi="Times New Roman"/>
            <w:b w:val="false"/>
            <w:i w:val="false"/>
            <w:color w:val="000000"/>
            <w:sz w:val="16"/>
          </w:rPr>
          <w:t>567—40.2</w:t>
        </w:r>
      </w:hyperlink>
      <w:r>
        <w:rPr>
          <w:rFonts w:ascii="Times New Roman" w:hAnsi="Times New Roman"/>
          <w:b w:val="false"/>
          <w:i w:val="false"/>
          <w:color w:val="000000"/>
          <w:sz w:val="16"/>
        </w:rPr>
        <w:t xml:space="preserve">(455B).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GHEX loop boreholes are defined in </w:t>
      </w:r>
      <w:hyperlink r:id="rId88">
        <w:r>
          <w:rPr>
            <w:rStyle w:val="Hyperlink"/>
            <w:rFonts w:ascii="Times New Roman" w:hAnsi="Times New Roman"/>
            <w:b w:val="false"/>
            <w:i w:val="false"/>
            <w:color w:val="000000"/>
            <w:sz w:val="16"/>
          </w:rPr>
          <w:t>567—49.2</w:t>
        </w:r>
      </w:hyperlink>
      <w:r>
        <w:rPr>
          <w:rFonts w:ascii="Times New Roman" w:hAnsi="Times New Roman"/>
          <w:b w:val="false"/>
          <w:i w:val="false"/>
          <w:color w:val="000000"/>
          <w:sz w:val="16"/>
        </w:rPr>
        <w:t xml:space="preserve">(455B).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Solid wastes, for the purpose of land application, are those derived from the treatment of water or wastewater, including sewage sludge, as defined in </w:t>
      </w:r>
      <w:hyperlink r:id="rId89">
        <w:r>
          <w:rPr>
            <w:rStyle w:val="Hyperlink"/>
            <w:rFonts w:ascii="Times New Roman" w:hAnsi="Times New Roman"/>
            <w:b w:val="false"/>
            <w:i w:val="false"/>
            <w:color w:val="000000"/>
            <w:sz w:val="16"/>
          </w:rPr>
          <w:t>567—Chapter 67</w:t>
        </w:r>
      </w:hyperlink>
      <w:r>
        <w:rPr>
          <w:rFonts w:ascii="Times New Roman" w:hAnsi="Times New Roman"/>
          <w:b w:val="false"/>
          <w:i w:val="false"/>
          <w:color w:val="000000"/>
          <w:sz w:val="16"/>
        </w:rPr>
        <w:t xml:space="preserve">. Certain types of solid wastes from water treatment processes may be land-applied within the SD on an individual, case-by-case basis.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Septage shall be land applied in accordance with </w:t>
      </w:r>
      <w:hyperlink r:id="rId90">
        <w:r>
          <w:rPr>
            <w:rStyle w:val="Hyperlink"/>
            <w:rFonts w:ascii="Times New Roman" w:hAnsi="Times New Roman"/>
            <w:b w:val="false"/>
            <w:i w:val="false"/>
            <w:color w:val="000000"/>
            <w:sz w:val="16"/>
          </w:rPr>
          <w:t>567—Chapter 68</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The term “water treatment plant waste treatment structures” includes lagoons that are used solely to store wastes or wastewater from drinking water treatment plants, such as lime sludge storage lagoons.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PSDS (private sewage disposal system) is defined in </w:t>
      </w:r>
      <w:hyperlink r:id="rId91">
        <w:r>
          <w:rPr>
            <w:rStyle w:val="Hyperlink"/>
            <w:rFonts w:ascii="Times New Roman" w:hAnsi="Times New Roman"/>
            <w:b w:val="false"/>
            <w:i w:val="false"/>
            <w:color w:val="000000"/>
            <w:sz w:val="16"/>
          </w:rPr>
          <w:t>567—subrule 69.1(2)</w:t>
        </w:r>
      </w:hyperlink>
      <w:r>
        <w:rPr>
          <w:rFonts w:ascii="Times New Roman" w:hAnsi="Times New Roman"/>
          <w:b w:val="false"/>
          <w:i w:val="false"/>
          <w:color w:val="000000"/>
          <w:sz w:val="16"/>
        </w:rPr>
        <w:t xml:space="preserve">. “Onsite treatment system” includes any wastewater treatment system not included in the definition of a private sewage disposal system (i.e., provides treatment or disposal of domestic sewage from more than four dwelling units or 16 or more individuals on a continuing basis) that is utilizing onsite wastewater treatment technologies described in </w:t>
      </w:r>
      <w:hyperlink r:id="rId92">
        <w:r>
          <w:rPr>
            <w:rStyle w:val="Hyperlink"/>
            <w:rFonts w:ascii="Times New Roman" w:hAnsi="Times New Roman"/>
            <w:b w:val="false"/>
            <w:i w:val="false"/>
            <w:color w:val="000000"/>
            <w:sz w:val="16"/>
          </w:rPr>
          <w:t>567—Chapter 69</w:t>
        </w:r>
      </w:hyperlink>
      <w:r>
        <w:rPr>
          <w:rFonts w:ascii="Times New Roman" w:hAnsi="Times New Roman"/>
          <w:b w:val="false"/>
          <w:i w:val="false"/>
          <w:color w:val="000000"/>
          <w:sz w:val="16"/>
        </w:rPr>
        <w:t xml:space="preserve"> to treat domestic waste. Closed portion refers to the part of a treatment system that is fully contained and does not allow effluent or pretreated effluent to enter soil or groundwater (e.g., septic tank or impervious vault toilet). Open portion refers to the part of a treatment system that allows effluent or pretreated effluent to discharge into soil or groundwater for treatment or disposal (e.g., soil absorption system or unlined ISSF system). These SDs also apply to septic systems that are not considered privately owned.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The term “lagoons” includes aerated lagoon systems, advanced aerated lagoon systems, and waste stabilization lagoons as defined in </w:t>
      </w:r>
      <w:hyperlink r:id="rId93">
        <w:r>
          <w:rPr>
            <w:rStyle w:val="Hyperlink"/>
            <w:rFonts w:ascii="Times New Roman" w:hAnsi="Times New Roman"/>
            <w:b w:val="false"/>
            <w:i w:val="false"/>
            <w:color w:val="000000"/>
            <w:sz w:val="16"/>
          </w:rPr>
          <w:t>567—subrule 81.1(1)</w:t>
        </w:r>
      </w:hyperlink>
      <w:r>
        <w:rPr>
          <w:rFonts w:ascii="Times New Roman" w:hAnsi="Times New Roman"/>
          <w:b w:val="false"/>
          <w:i w:val="false"/>
          <w:color w:val="000000"/>
          <w:sz w:val="16"/>
        </w:rPr>
        <w:t xml:space="preserve"> and holding ponds, equalization basins, and sludge digestion or holding tanks as described in the IWFDS. The term does not include lagoons used to dispose of water treatment plant wastes and anaerobic lagoons used for animal wastes. The SD from lagoons shall be measured from the water surface.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The term “mechanical treatment plants” include activated sludge systems and fixed film biological treatment systems, as defined in </w:t>
      </w:r>
      <w:hyperlink r:id="rId94">
        <w:r>
          <w:rPr>
            <w:rStyle w:val="Hyperlink"/>
            <w:rFonts w:ascii="Times New Roman" w:hAnsi="Times New Roman"/>
            <w:b w:val="false"/>
            <w:i w:val="false"/>
            <w:color w:val="000000"/>
            <w:sz w:val="16"/>
          </w:rPr>
          <w:t>567—subrule 81.1(1)</w:t>
        </w:r>
      </w:hyperlink>
      <w:r>
        <w:rPr>
          <w:rFonts w:ascii="Times New Roman" w:hAnsi="Times New Roman"/>
          <w:b w:val="false"/>
          <w:i w:val="false"/>
          <w:color w:val="000000"/>
          <w:sz w:val="16"/>
        </w:rPr>
        <w:t xml:space="preserve">, and any other wastewater disposal system that is not a PSDS, an onsite treatment system, or a lagoon. </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The minimum SD for liquid fuel storage associated with standby power generators shall be 50 feet if secondary containment is provided. Secondary containment shall provide for a minimum of 110 percent of the liquid fuel storage capacity. Double-walled storage tanks shall not be considered as secondary containment. Electrical power transformers mounted on a single utility pole are exempt from the SD requirements. </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Includes drainage channels that may have a direct connection to the groundwater table or a surface water.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The SDs from basements, pits, and sumps must be met in order for a well to be considered a protected source for the purposes of the coliform sampling frequency determination in </w:t>
      </w:r>
      <w:hyperlink r:id="rId95">
        <w:r>
          <w:rPr>
            <w:rStyle w:val="Hyperlink"/>
            <w:rFonts w:ascii="Times New Roman" w:hAnsi="Times New Roman"/>
            <w:b w:val="false"/>
            <w:i w:val="false"/>
            <w:color w:val="000000"/>
            <w:sz w:val="16"/>
          </w:rPr>
          <w:t>567—subparagraph 41.2(1)</w:t>
        </w:r>
      </w:hyperlink>
      <w:r>
        <w:rPr>
          <w:rFonts w:ascii="Times New Roman" w:hAnsi="Times New Roman"/>
          <w:b w:val="false"/>
          <w:i/>
          <w:color w:val="000000"/>
          <w:sz w:val="16"/>
        </w:rPr>
        <w:t>“e”</w:t>
      </w:r>
      <w:r>
        <w:rPr>
          <w:rFonts w:ascii="Times New Roman" w:hAnsi="Times New Roman"/>
          <w:b w:val="false"/>
          <w:i w:val="false"/>
          <w:color w:val="000000"/>
          <w:sz w:val="16"/>
        </w:rPr>
        <w:t xml:space="preserve">(4). </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Solid waste, when referring to landfills and disposal sites, means garbage, refuse, rubbish, and other similar discarded solid or semisolid materials, including but not limited to such materials resulting from industrial, commercial, agricultural, and domestic activities. </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 xml:space="preserve">The SDs are dependent upon the two following factors: the type of piping that is in the existing sewer or drain, as noted in the table, and whether the piping was properly installed in accordance with the standards. </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 xml:space="preserve">The distances for building sewer service lines and laterals shall be considered the minimum distances when constructing sewer lines and shall be increased where possible to provide better protection. </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 xml:space="preserve">These are the type of materials or pipe used to construct the type of sewer, main, or drain as specified in accordance with </w:t>
      </w:r>
      <w:hyperlink r:id="rId96">
        <w:r>
          <w:rPr>
            <w:rStyle w:val="Hyperlink"/>
            <w:rFonts w:ascii="Times New Roman" w:hAnsi="Times New Roman"/>
            <w:b w:val="false"/>
            <w:i w:val="false"/>
            <w:color w:val="000000"/>
            <w:sz w:val="16"/>
          </w:rPr>
          <w:t>43.3(2)</w:t>
        </w:r>
      </w:hyperlink>
      <w:r>
        <w:rPr>
          <w:rFonts w:ascii="Times New Roman" w:hAnsi="Times New Roman"/>
          <w:b w:val="false"/>
          <w:i w:val="false"/>
          <w:color w:val="000000"/>
          <w:sz w:val="16"/>
        </w:rPr>
        <w:t xml:space="preserve"> and Section 2.4 of the IWFDS.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43.3(8)</w:t>
      </w:r>
      <w:r>
        <w:rPr>
          <w:rFonts w:ascii="Times New Roman" w:hAnsi="Times New Roman"/>
          <w:b w:val="false"/>
          <w:i w:val="false"/>
          <w:color w:val="000000"/>
          <w:sz w:val="22"/>
        </w:rPr>
        <w:t> </w:t>
      </w:r>
      <w:r>
        <w:rPr>
          <w:rFonts w:ascii="Times New Roman" w:hAnsi="Times New Roman"/>
          <w:b w:val="false"/>
          <w:i/>
          <w:color w:val="000000"/>
          <w:sz w:val="22"/>
        </w:rPr>
        <w:t xml:space="preserve">Drinking water system components. </w:t>
      </w:r>
      <w:r>
        <w:rPr>
          <w:rFonts w:ascii="Times New Roman" w:hAnsi="Times New Roman"/>
          <w:b w:val="false"/>
          <w:i w:val="false"/>
          <w:color w:val="000000"/>
          <w:sz w:val="22"/>
        </w:rPr>
        <w:t>Drinking water system components that come into contact with raw, partially treated, or finished water must be suitable for the intended use in a potable water system. Components must be certified by an American National Standards Institute (ANSI) accredited third party for conformance with ANSI/NSF Standard 61 and ANSI/NSF lead-free (through annex G of 372) specifications, if such specification exists for the particular product, unless approved components are not reasonably available for use. Component materials generally excluded from ANSI/NSF 61 requirements include concrete, stainless steel, and aluminum. If the component does not meet the ANSI/NSF Standard 61 and lead-free specifications or no specification is available, the person seeking to supply or use the component must prove to the department’s satisfaction that the component is not toxic or otherwise a potential hazard in a potable PWS.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43.3(9)</w:t>
      </w:r>
      <w:r>
        <w:rPr>
          <w:rFonts w:ascii="Times New Roman" w:hAnsi="Times New Roman"/>
          <w:b w:val="false"/>
          <w:i w:val="false"/>
          <w:color w:val="000000"/>
          <w:sz w:val="22"/>
        </w:rPr>
        <w:t> </w:t>
      </w:r>
      <w:r>
        <w:rPr>
          <w:rFonts w:ascii="Times New Roman" w:hAnsi="Times New Roman"/>
          <w:b w:val="false"/>
          <w:i/>
          <w:color w:val="000000"/>
          <w:sz w:val="22"/>
        </w:rPr>
        <w:t xml:space="preserve">Water treatment filter media material. </w:t>
      </w:r>
      <w:r>
        <w:rPr>
          <w:rFonts w:ascii="Times New Roman" w:hAnsi="Times New Roman"/>
          <w:b w:val="false"/>
          <w:i w:val="false"/>
          <w:color w:val="000000"/>
          <w:sz w:val="22"/>
        </w:rPr>
        <w:t>For single media filters, grain sizes up to 0.8 mm effective size may be approved for filters designed to remove constituents other than those contained in the primary drinking water standards. Pilot or full-scale studies demonstrating satisfactory treatment efficiency and operation with the proposed media will be required prior to issuing any construction permits that allow filter media sizes greater than 0.55 mm.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43.3(10)</w:t>
      </w:r>
      <w:r>
        <w:rPr>
          <w:rFonts w:ascii="Times New Roman" w:hAnsi="Times New Roman"/>
          <w:b w:val="false"/>
          <w:i w:val="false"/>
          <w:color w:val="000000"/>
          <w:sz w:val="22"/>
        </w:rPr>
        <w:t> </w:t>
      </w:r>
      <w:r>
        <w:rPr>
          <w:rFonts w:ascii="Times New Roman" w:hAnsi="Times New Roman"/>
          <w:b w:val="false"/>
          <w:i/>
          <w:color w:val="000000"/>
          <w:sz w:val="22"/>
        </w:rPr>
        <w:t xml:space="preserve">Best available treatment (BAT)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BATs for organic compounds. </w:t>
      </w:r>
      <w:r>
        <w:rPr>
          <w:rFonts w:ascii="Times New Roman" w:hAnsi="Times New Roman"/>
          <w:b w:val="false"/>
          <w:i w:val="false"/>
          <w:color w:val="000000"/>
          <w:sz w:val="22"/>
        </w:rPr>
        <w:t xml:space="preserve">The table in 40 CFR §141.61(b)  identifies either granular activated carbon (GAC), packed tower aeration (PTA), or oxidation (OXID) as the BAT, TT, or other means available for achieving compliance with the MCL for organic contaminants identified in </w:t>
      </w:r>
      <w:hyperlink r:id="rId97">
        <w:r>
          <w:rPr>
            <w:rStyle w:val="Hyperlink"/>
            <w:rFonts w:ascii="Times New Roman" w:hAnsi="Times New Roman"/>
            <w:b w:val="false"/>
            <w:i w:val="false"/>
            <w:color w:val="000000"/>
            <w:sz w:val="22"/>
          </w:rPr>
          <w:t>567—paragraph 41.5(1)</w:t>
        </w:r>
      </w:hyperlink>
      <w:r>
        <w:rPr>
          <w:rFonts w:ascii="Times New Roman" w:hAnsi="Times New Roman"/>
          <w:b w:val="false"/>
          <w:i/>
          <w:color w:val="000000"/>
          <w:sz w:val="22"/>
        </w:rPr>
        <w:t>“b.”</w:t>
      </w:r>
      <w:r>
        <w:rPr>
          <w:rFonts w:ascii="Times New Roman" w:hAnsi="Times New Roman"/>
          <w:b w:val="false"/>
          <w:i w:val="false"/>
          <w:color w:val="000000"/>
          <w:sz w:val="22"/>
        </w:rPr>
        <w:t xml:space="preserve"> When setting MCLs for synthetic organic chemicals (SOCs), any BAT must be at least as effective as GAC.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BATs for inorganic chemicals (IOCs) and radionuclides.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IOCs. The BAT for Inorganic Compounds table in 40 CFR §141.62(c) identifies the  BAT technology, TT, or other means available for achieving compliance with the MCLs for the IOC contaminants listed in </w:t>
      </w:r>
      <w:hyperlink r:id="rId98">
        <w:r>
          <w:rPr>
            <w:rStyle w:val="Hyperlink"/>
            <w:rFonts w:ascii="Times New Roman" w:hAnsi="Times New Roman"/>
            <w:b w:val="false"/>
            <w:i w:val="false"/>
            <w:color w:val="000000"/>
            <w:sz w:val="22"/>
          </w:rPr>
          <w:t>567—paragraph 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except fluoride.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Arsenic. The Small System Compliance Technologies for Arsenic table in 40 CFR §141.62(c) identifies the affordable technology, TT, or other means available to systems serving 10,000 or fewer persons for achieving compliance with the arsenic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Table B in 40 CFR §141.66(g) identifies the BAT for achieving compliance with the radionuclide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Table D in 40 CFR §141.66(h) identifies the radionuclides BATs for systems serving 10,000 or fewer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BATs for disinfection byproducts (DBPs) and disinfectants. </w:t>
      </w:r>
      <w:r>
        <w:rPr>
          <w:rFonts w:ascii="Times New Roman" w:hAnsi="Times New Roman"/>
          <w:b w:val="false"/>
          <w:i w:val="false"/>
          <w:color w:val="000000"/>
          <w:sz w:val="22"/>
        </w:rPr>
        <w:t xml:space="preserve">The BATs for achieving compliance with the MCLs for the DBPs listed in </w:t>
      </w:r>
      <w:hyperlink r:id="rId99">
        <w:r>
          <w:rPr>
            <w:rStyle w:val="Hyperlink"/>
            <w:rFonts w:ascii="Times New Roman" w:hAnsi="Times New Roman"/>
            <w:b w:val="false"/>
            <w:i w:val="false"/>
            <w:color w:val="000000"/>
            <w:sz w:val="22"/>
          </w:rPr>
          <w:t>567—paragraph 41.5(2)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 MRDLs listed in </w:t>
      </w:r>
      <w:hyperlink r:id="rId100">
        <w:r>
          <w:rPr>
            <w:rStyle w:val="Hyperlink"/>
            <w:rFonts w:ascii="Times New Roman" w:hAnsi="Times New Roman"/>
            <w:b w:val="false"/>
            <w:i w:val="false"/>
            <w:color w:val="000000"/>
            <w:sz w:val="22"/>
          </w:rPr>
          <w:t>567—paragraph 41.5(2)</w:t>
        </w:r>
        <w:r>
          <w:rPr>
            <w:rFonts w:ascii="Times New Roman" w:hAnsi="Times New Roman"/>
            <w:b w:val="false"/>
            <w:i/>
            <w:color w:val="000000"/>
            <w:sz w:val="22"/>
          </w:rPr>
          <w:t>“c”</w:t>
        </w:r>
      </w:hyperlink>
      <w:r>
        <w:rPr>
          <w:rFonts w:ascii="Times New Roman" w:hAnsi="Times New Roman"/>
          <w:b w:val="false"/>
          <w:i w:val="false"/>
          <w:color w:val="000000"/>
          <w:sz w:val="22"/>
        </w:rPr>
        <w:t xml:space="preserve"> are identified in 40 CFR §141.64.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Requirement to install the BAT. </w:t>
      </w:r>
      <w:r>
        <w:rPr>
          <w:rFonts w:ascii="Times New Roman" w:hAnsi="Times New Roman"/>
          <w:b w:val="false"/>
          <w:i w:val="false"/>
          <w:color w:val="000000"/>
          <w:sz w:val="22"/>
        </w:rPr>
        <w:t xml:space="preserve">The department shall require CWSs and NTNCs to install and use any treatment method identified in </w:t>
      </w:r>
      <w:r>
        <w:rPr>
          <w:rFonts w:ascii="Times New Roman" w:hAnsi="Times New Roman"/>
          <w:b w:val="false"/>
          <w:i w:val="false"/>
          <w:color w:val="000000"/>
          <w:sz w:val="22"/>
        </w:rPr>
        <w:t>43.3(10)</w:t>
      </w:r>
      <w:r>
        <w:rPr>
          <w:rFonts w:ascii="Times New Roman" w:hAnsi="Times New Roman"/>
          <w:b w:val="false"/>
          <w:i w:val="false"/>
          <w:color w:val="000000"/>
          <w:sz w:val="22"/>
        </w:rPr>
        <w:t xml:space="preserve"> as a condition for granting an interim contaminant level, except as provided in </w:t>
      </w:r>
      <w:hyperlink r:id="rId101">
        <w:r>
          <w:rPr>
            <w:rStyle w:val="Hyperlink"/>
            <w:rFonts w:ascii="Times New Roman" w:hAnsi="Times New Roman"/>
            <w:b w:val="false"/>
            <w:i w:val="false"/>
            <w:color w:val="000000"/>
            <w:sz w:val="22"/>
          </w:rPr>
          <w:t>43.3(10)</w:t>
        </w:r>
      </w:hyperlink>
      <w:r>
        <w:rPr>
          <w:rFonts w:ascii="Times New Roman" w:hAnsi="Times New Roman"/>
          <w:b w:val="false"/>
          <w:i/>
          <w:color w:val="000000"/>
          <w:sz w:val="22"/>
        </w:rPr>
        <w:t>“e.”</w:t>
      </w:r>
      <w:r>
        <w:rPr>
          <w:rFonts w:ascii="Times New Roman" w:hAnsi="Times New Roman"/>
          <w:b w:val="false"/>
          <w:i w:val="false"/>
          <w:color w:val="000000"/>
          <w:sz w:val="22"/>
        </w:rPr>
        <w:t xml:space="preserve"> If, after installation of the treatment method, a system cannot meet the MCL, it shall be eligible for a compliance schedule with an interim contaminant level granted under 567—subrule </w:t>
      </w:r>
      <w:hyperlink r:id="rId102">
        <w:r>
          <w:rPr>
            <w:rStyle w:val="Hyperlink"/>
            <w:rFonts w:ascii="Times New Roman" w:hAnsi="Times New Roman"/>
            <w:b w:val="false"/>
            <w:i w:val="false"/>
            <w:color w:val="000000"/>
            <w:sz w:val="22"/>
          </w:rPr>
          <w:t>40.5(9)</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567—43.2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Engineering assessment option. </w:t>
      </w:r>
      <w:r>
        <w:rPr>
          <w:rFonts w:ascii="Times New Roman" w:hAnsi="Times New Roman"/>
          <w:b w:val="false"/>
          <w:i w:val="false"/>
          <w:color w:val="000000"/>
          <w:sz w:val="22"/>
        </w:rPr>
        <w:t xml:space="preserve">If a system can demonstrate through comprehensive engineering assessments, which may include pilot plant studies at the department’s discretion, that the treatment methods identified in </w:t>
      </w:r>
      <w:hyperlink r:id="rId104">
        <w:r>
          <w:rPr>
            <w:rStyle w:val="Hyperlink"/>
            <w:rFonts w:ascii="Times New Roman" w:hAnsi="Times New Roman"/>
            <w:b w:val="false"/>
            <w:i w:val="false"/>
            <w:color w:val="000000"/>
            <w:sz w:val="22"/>
          </w:rPr>
          <w:t>43.3(10)</w:t>
        </w:r>
      </w:hyperlink>
      <w:r>
        <w:rPr>
          <w:rFonts w:ascii="Times New Roman" w:hAnsi="Times New Roman"/>
          <w:b w:val="false"/>
          <w:i w:val="false"/>
          <w:color w:val="000000"/>
          <w:sz w:val="22"/>
        </w:rPr>
        <w:t xml:space="preserve"> would only achieve a de minimis reduction in contaminants, the department may establish a compliance schedule that requires the system being granted the waiver to examine other treatment methods as a condition of obtaining the interim contaminant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 </w:t>
      </w:r>
      <w:r>
        <w:rPr>
          <w:rFonts w:ascii="Times New Roman" w:hAnsi="Times New Roman"/>
          <w:b w:val="false"/>
          <w:i w:val="false"/>
          <w:color w:val="000000"/>
          <w:sz w:val="22"/>
        </w:rPr>
        <w:t xml:space="preserve">If the department determines that a treatment method identified in </w:t>
      </w:r>
      <w:hyperlink r:id="rId105">
        <w:r>
          <w:rPr>
            <w:rStyle w:val="Hyperlink"/>
            <w:rFonts w:ascii="Times New Roman" w:hAnsi="Times New Roman"/>
            <w:b w:val="false"/>
            <w:i w:val="false"/>
            <w:color w:val="000000"/>
            <w:sz w:val="22"/>
          </w:rPr>
          <w:t>43.3(10)</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is technically feasible, the department may require a system to install or use a treatment method in connection with a compliance schedule established under </w:t>
      </w:r>
      <w:hyperlink r:id="rId106">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 xml:space="preserve">(9) and </w:t>
      </w:r>
      <w:hyperlink r:id="rId107">
        <w:r>
          <w:rPr>
            <w:rStyle w:val="Hyperlink"/>
            <w:rFonts w:ascii="Times New Roman" w:hAnsi="Times New Roman"/>
            <w:b w:val="false"/>
            <w:i w:val="false"/>
            <w:color w:val="000000"/>
            <w:sz w:val="22"/>
          </w:rPr>
          <w:t>567—43.2</w:t>
        </w:r>
      </w:hyperlink>
      <w:r>
        <w:rPr>
          <w:rFonts w:ascii="Times New Roman" w:hAnsi="Times New Roman"/>
          <w:b w:val="false"/>
          <w:i w:val="false"/>
          <w:color w:val="000000"/>
          <w:sz w:val="22"/>
        </w:rPr>
        <w:t>(455B). The determination shall be based upon studies by the system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Avoidance of unacceptable risk to health (URTH). </w:t>
      </w:r>
      <w:r>
        <w:rPr>
          <w:rFonts w:ascii="Times New Roman" w:hAnsi="Times New Roman"/>
          <w:b w:val="false"/>
          <w:i w:val="false"/>
          <w:color w:val="000000"/>
          <w:sz w:val="22"/>
        </w:rPr>
        <w:t xml:space="preserve">To avoid an URTH, the department may require a PWS to use bottled water, POU devices, POE devices, or other means as a condition of granting a waiver or an exemption from the requirements of </w:t>
      </w:r>
      <w:hyperlink r:id="rId108">
        <w:r>
          <w:rPr>
            <w:rStyle w:val="Hyperlink"/>
            <w:rFonts w:ascii="Times New Roman" w:hAnsi="Times New Roman"/>
            <w:b w:val="false"/>
            <w:i w:val="false"/>
            <w:color w:val="000000"/>
            <w:sz w:val="22"/>
          </w:rPr>
          <w:t>43.3(10)</w:t>
        </w:r>
      </w:hyperlink>
      <w:r>
        <w:rPr>
          <w:rFonts w:ascii="Times New Roman" w:hAnsi="Times New Roman"/>
          <w:b w:val="false"/>
          <w:i w:val="false"/>
          <w:color w:val="000000"/>
          <w:sz w:val="22"/>
        </w:rPr>
        <w:t xml:space="preserve"> or as a condition of a compliance schedule.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567—43.4</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of completion. </w:t>
      </w:r>
      <w:r>
        <w:rPr>
          <w:rFonts w:ascii="Times New Roman" w:hAnsi="Times New Roman"/>
          <w:b w:val="false"/>
          <w:i w:val="false"/>
          <w:color w:val="000000"/>
          <w:sz w:val="22"/>
        </w:rPr>
        <w:t xml:space="preserve">Within 30 days after completion of construction, installation or modification of any project, the construction permit holder shall submit a certification by a licensed professional engineer that the project was completed in accordance with the approved plans and specifications, except if the project received a waiver pursuant to </w:t>
      </w:r>
      <w:hyperlink r:id="rId109">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567—43.5</w:t>
      </w:r>
      <w:r>
        <w:rPr>
          <w:rFonts w:ascii="Times New Roman" w:hAnsi="Times New Roman"/>
          <w:b/>
          <w:i w:val="false"/>
          <w:color w:val="000000"/>
          <w:sz w:val="22"/>
        </w:rPr>
        <w:t xml:space="preserve">(455B) </w:t>
      </w:r>
      <w:r>
        <w:rPr>
          <w:rFonts w:ascii="Times New Roman" w:hAnsi="Times New Roman"/>
          <w:b/>
          <w:i w:val="false"/>
          <w:color w:val="000000"/>
          <w:sz w:val="22"/>
        </w:rPr>
        <w:t xml:space="preserve">Filtration and disinfection for surface water (SW) and influenced groundwater (IGW) PWSs.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color w:val="000000"/>
          <w:sz w:val="22"/>
        </w:rPr>
        <w:t xml:space="preserve">Applicability/general requirements. </w:t>
      </w:r>
      <w:r>
        <w:rPr>
          <w:rFonts w:ascii="Times New Roman" w:hAnsi="Times New Roman"/>
          <w:b w:val="false"/>
          <w:i w:val="false"/>
          <w:color w:val="000000"/>
          <w:sz w:val="22"/>
        </w:rPr>
        <w:t xml:space="preserve">These rules apply to all PWSs using SW or IGW, in whole or in part, and establish criteria under which filtration is required as a treatment technique (TT). In addition, these rules establish TT requirements in lieu of MCLs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heterotrophic plate count (HPC) bacteria, </w:t>
      </w:r>
      <w:r>
        <w:rPr>
          <w:rFonts w:ascii="Times New Roman" w:hAnsi="Times New Roman"/>
          <w:b w:val="false"/>
          <w:i/>
          <w:color w:val="000000"/>
          <w:sz w:val="22"/>
        </w:rPr>
        <w:t>Legionella</w:t>
      </w:r>
      <w:r>
        <w:rPr>
          <w:rFonts w:ascii="Times New Roman" w:hAnsi="Times New Roman"/>
          <w:b w:val="false"/>
          <w:i w:val="false"/>
          <w:color w:val="000000"/>
          <w:sz w:val="22"/>
        </w:rPr>
        <w:t xml:space="preserve">, viruses and turbidity. Each PWS with a SW or IGW must provide source water treatment that complies with these TT requirements. Systems that serve at least 10,000 persons must also comply with </w:t>
      </w:r>
      <w:hyperlink r:id="rId110">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Systems that serve fewer than 10,000 persons must also comply with </w:t>
      </w:r>
      <w:hyperlink r:id="rId111">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TT requirements. </w:t>
      </w:r>
      <w:r>
        <w:rPr>
          <w:rFonts w:ascii="Times New Roman" w:hAnsi="Times New Roman"/>
          <w:b w:val="false"/>
          <w:i w:val="false"/>
          <w:color w:val="000000"/>
          <w:sz w:val="22"/>
        </w:rPr>
        <w:t>The TT requirements consist of installing and properly operating water treatment processes which reliably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99.9 percent (3-log) removal or inactivation of </w:t>
      </w:r>
      <w:r>
        <w:rPr>
          <w:rFonts w:ascii="Times New Roman" w:hAnsi="Times New Roman"/>
          <w:b w:val="false"/>
          <w:i/>
          <w:color w:val="000000"/>
          <w:sz w:val="22"/>
        </w:rPr>
        <w:t xml:space="preserve">Giardia lamblia </w:t>
      </w:r>
      <w:r>
        <w:rPr>
          <w:rFonts w:ascii="Times New Roman" w:hAnsi="Times New Roman"/>
          <w:b w:val="false"/>
          <w:i w:val="false"/>
          <w:color w:val="000000"/>
          <w:sz w:val="22"/>
        </w:rPr>
        <w:t>cysts between a point where the raw water is not subject to recontamination by SW runoff and a point downstream before or at the first customer;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99.99 percent (4-log) virus removal or inactivation between a point where the raw water is not subject to recontamination by SW runoff and a point downstream before or at the first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Criteria for identification of IGW. </w:t>
      </w:r>
      <w:r>
        <w:rPr>
          <w:rFonts w:ascii="Times New Roman" w:hAnsi="Times New Roman"/>
          <w:b w:val="false"/>
          <w:i w:val="false"/>
          <w:color w:val="000000"/>
          <w:sz w:val="22"/>
        </w:rPr>
        <w:t xml:space="preserve">Direct GW influence must be determined for individual sources in accordance with department criteria. The department determination of direct influence may be based on site-specific measurements of water quality or documentation of well construction characteristics and geology with field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Sources subject to this rule. </w:t>
      </w:r>
      <w:r>
        <w:rPr>
          <w:rFonts w:ascii="Times New Roman" w:hAnsi="Times New Roman"/>
          <w:b w:val="false"/>
          <w:i w:val="false"/>
          <w:color w:val="000000"/>
          <w:sz w:val="22"/>
        </w:rPr>
        <w:t xml:space="preserve">Only SW and IGW that are at risk to the contamination from </w:t>
      </w:r>
      <w:r>
        <w:rPr>
          <w:rFonts w:ascii="Times New Roman" w:hAnsi="Times New Roman"/>
          <w:b w:val="false"/>
          <w:i/>
          <w:color w:val="000000"/>
          <w:sz w:val="22"/>
        </w:rPr>
        <w:t>Giardia</w:t>
      </w:r>
      <w:r>
        <w:rPr>
          <w:rFonts w:ascii="Times New Roman" w:hAnsi="Times New Roman"/>
          <w:b w:val="false"/>
          <w:i w:val="false"/>
          <w:color w:val="000000"/>
          <w:sz w:val="22"/>
        </w:rPr>
        <w:t xml:space="preserve"> cysts are subject to this rule. GW sources shall not be subject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Source evaluation criteria. </w:t>
      </w:r>
      <w:r>
        <w:rPr>
          <w:rFonts w:ascii="Times New Roman" w:hAnsi="Times New Roman"/>
          <w:b w:val="false"/>
          <w:i w:val="false"/>
          <w:color w:val="000000"/>
          <w:sz w:val="22"/>
        </w:rPr>
        <w:t xml:space="preserve">The identification of a source as SW or IGW shall be determined for an individual source, by the department, in accordance with the criteria in this rule. These criteria shall be used to delineate between SW, IGW, and GW. The PWS shall provide to the department that information necessary to make the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Preliminary evaluation. </w:t>
      </w:r>
      <w:r>
        <w:rPr>
          <w:rFonts w:ascii="Times New Roman" w:hAnsi="Times New Roman"/>
          <w:b w:val="false"/>
          <w:i w:val="false"/>
          <w:color w:val="000000"/>
          <w:sz w:val="22"/>
        </w:rPr>
        <w:t>For all sources, the department shall conduct a preliminary evaluation of information provided by the PWS to determine if the source is an obvious SW or is an IGW. The source shall be evaluated during that period of highest susceptibility to influence from SW. A preliminary evaluation may include a review of surveys, reports, geological information of the area, physical properties of the source, and departmental and PWS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source is identified as a SW, no additional evaluation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source is GW and identified as a deep well,  no additional evaluation is needed unless through direct knowledge or documentation the source does not meet the well source evaluation requirements in </w:t>
      </w:r>
      <w:hyperlink r:id="rId112">
        <w:r>
          <w:rPr>
            <w:rStyle w:val="Hyperlink"/>
            <w:rFonts w:ascii="Times New Roman" w:hAnsi="Times New Roman"/>
            <w:b w:val="false"/>
            <w:i w:val="false"/>
            <w:color w:val="000000"/>
            <w:sz w:val="22"/>
          </w:rPr>
          <w:t>43.5(1)</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deep well shall then be evaluated using a formal evaluation in accordance with </w:t>
      </w:r>
      <w:hyperlink r:id="rId113">
        <w:r>
          <w:rPr>
            <w:rStyle w:val="Hyperlink"/>
            <w:rFonts w:ascii="Times New Roman" w:hAnsi="Times New Roman"/>
            <w:b w:val="false"/>
            <w:i w:val="false"/>
            <w:color w:val="000000"/>
            <w:sz w:val="22"/>
          </w:rPr>
          <w:t>43.5(1)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source is a shallow well, a well source evaluation shall be conducted in accordance with </w:t>
      </w:r>
      <w:hyperlink r:id="rId114">
        <w:r>
          <w:rPr>
            <w:rStyle w:val="Hyperlink"/>
            <w:rFonts w:ascii="Times New Roman" w:hAnsi="Times New Roman"/>
            <w:b w:val="false"/>
            <w:i w:val="false"/>
            <w:color w:val="000000"/>
            <w:sz w:val="22"/>
          </w:rPr>
          <w:t>43.5(1)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source is a spring, infiltration gallery, radial collector well, or any other subsurface source, a formal evaluation shall be conducted in accordance with </w:t>
      </w:r>
      <w:hyperlink r:id="rId115">
        <w:r>
          <w:rPr>
            <w:rStyle w:val="Hyperlink"/>
            <w:rFonts w:ascii="Times New Roman" w:hAnsi="Times New Roman"/>
            <w:b w:val="false"/>
            <w:i w:val="false"/>
            <w:color w:val="000000"/>
            <w:sz w:val="22"/>
          </w:rPr>
          <w:t>43.5(1)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Well source evaluation. </w:t>
      </w:r>
      <w:r>
        <w:rPr>
          <w:rFonts w:ascii="Times New Roman" w:hAnsi="Times New Roman"/>
          <w:b w:val="false"/>
          <w:i w:val="false"/>
          <w:color w:val="000000"/>
          <w:sz w:val="22"/>
        </w:rPr>
        <w:t xml:space="preserve">Shallow wells greater than 50 feet in lateral distance from a SW source shall be evaluated for direct influence of SW through a review of departmental or PWS files in accordance with this paragraph. Sources that meet these criteria shall be considered to be not under the direct influence of SW, and no additional evaluation will be required. Shallow wells 50 feet or less in lateral distance from a SW shall be evaluated in accordance with </w:t>
      </w:r>
      <w:hyperlink r:id="rId116">
        <w:r>
          <w:rPr>
            <w:rStyle w:val="Hyperlink"/>
            <w:rFonts w:ascii="Times New Roman" w:hAnsi="Times New Roman"/>
            <w:b w:val="false"/>
            <w:i w:val="false"/>
            <w:color w:val="000000"/>
            <w:sz w:val="22"/>
          </w:rPr>
          <w:t>43.5(1)</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Well construction criteria. The well shall be constructed so as to prevent SW from entering the well or traversing the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quality criteria. Water quality records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record of total coliform or fecal coliform contamination in untreated samples collected over the past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history of turbidity problems associated with the well, other than turbidity as a result of inorganic chemical precipitates.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history of known or suspected outbreak of </w:t>
      </w:r>
      <w:r>
        <w:rPr>
          <w:rFonts w:ascii="Times New Roman" w:hAnsi="Times New Roman"/>
          <w:b w:val="false"/>
          <w:i/>
          <w:color w:val="000000"/>
          <w:sz w:val="22"/>
        </w:rPr>
        <w:t>Giardia</w:t>
      </w:r>
      <w:r>
        <w:rPr>
          <w:rFonts w:ascii="Times New Roman" w:hAnsi="Times New Roman"/>
          <w:b w:val="false"/>
          <w:i w:val="false"/>
          <w:color w:val="000000"/>
          <w:sz w:val="22"/>
        </w:rPr>
        <w:t xml:space="preserve"> or other pathogenic organisms associated with SW (e.g., </w:t>
      </w:r>
      <w:r>
        <w:rPr>
          <w:rFonts w:ascii="Times New Roman" w:hAnsi="Times New Roman"/>
          <w:b w:val="false"/>
          <w:i/>
          <w:color w:val="000000"/>
          <w:sz w:val="22"/>
        </w:rPr>
        <w:t>Cryptosporidium</w:t>
      </w:r>
      <w:r>
        <w:rPr>
          <w:rFonts w:ascii="Times New Roman" w:hAnsi="Times New Roman"/>
          <w:b w:val="false"/>
          <w:i w:val="false"/>
          <w:color w:val="000000"/>
          <w:sz w:val="22"/>
        </w:rPr>
        <w:t>) that has been attributed to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available data. If data on particulate matter analysis of the well are available, there shall be no evidence of particulate matter present that is associated with SW. If information on turbidity or temperature monitoring of the well and nearby SW is available, there shall be no data on the source which correlates with that of a nearby SW.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Further evaluation. Wells that do not meet all the requirements of this paragraph shall require a formal evaluation in accordance with </w:t>
      </w:r>
      <w:hyperlink r:id="rId117">
        <w:r>
          <w:rPr>
            <w:rStyle w:val="Hyperlink"/>
            <w:rFonts w:ascii="Times New Roman" w:hAnsi="Times New Roman"/>
            <w:b w:val="false"/>
            <w:i w:val="false"/>
            <w:color w:val="000000"/>
            <w:sz w:val="22"/>
          </w:rPr>
          <w:t>43.5(1)</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may require a particulate analysis and physical properties evaluation in accordance with </w:t>
      </w:r>
      <w:hyperlink r:id="rId118">
        <w:r>
          <w:rPr>
            <w:rStyle w:val="Hyperlink"/>
            <w:rFonts w:ascii="Times New Roman" w:hAnsi="Times New Roman"/>
            <w:b w:val="false"/>
            <w:i w:val="false"/>
            <w:color w:val="000000"/>
            <w:sz w:val="22"/>
          </w:rPr>
          <w:t>43.5(1)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Formal evaluation. </w:t>
      </w:r>
      <w:r>
        <w:rPr>
          <w:rFonts w:ascii="Times New Roman" w:hAnsi="Times New Roman"/>
          <w:b w:val="false"/>
          <w:i w:val="false"/>
          <w:color w:val="000000"/>
          <w:sz w:val="22"/>
        </w:rPr>
        <w:t xml:space="preserve">A formal evaluation shall be conducted by the department or a licensed professional engineer at the direction of the PWS.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formal evaluation shall include a complete file review and may include a field survey, as noted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file review. In addition to the information gathered in a preliminary evaluation in </w:t>
      </w:r>
      <w:hyperlink r:id="rId119">
        <w:r>
          <w:rPr>
            <w:rStyle w:val="Hyperlink"/>
            <w:rFonts w:ascii="Times New Roman" w:hAnsi="Times New Roman"/>
            <w:b w:val="false"/>
            <w:i w:val="false"/>
            <w:color w:val="000000"/>
            <w:sz w:val="22"/>
          </w:rPr>
          <w:t>43.5(1)</w:t>
        </w:r>
        <w:r>
          <w:rPr>
            <w:rFonts w:ascii="Times New Roman" w:hAnsi="Times New Roman"/>
            <w:b w:val="false"/>
            <w:i/>
            <w:color w:val="000000"/>
            <w:sz w:val="22"/>
          </w:rPr>
          <w:t>“e,”</w:t>
        </w:r>
      </w:hyperlink>
      <w:r>
        <w:rPr>
          <w:rFonts w:ascii="Times New Roman" w:hAnsi="Times New Roman"/>
          <w:b w:val="false"/>
          <w:i w:val="false"/>
          <w:color w:val="000000"/>
          <w:sz w:val="22"/>
        </w:rPr>
        <w:t xml:space="preserve"> a complete file review for a well source shall consider, but not be limited to, design and construction details; evidence of direct SW contamination; water quality analysis; indications of waterborne disease outbreaks; operational procedures; and customer complaints regarding water quality or water-related infectious illness.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Field survey. An evaluation of a source other than a well source shall include a complete file review and a field survey. A field survey shall substantiate findings of the complete file review and determine if the source is at risk to pathogens from direct SW influence. A survey shall examine the source for evidence that SW enters the source through defects, which may include but is not limited to infiltration gallery laterals exposed to SW, springs open to the atmosphere, or surface runoff entering a spring or other collector. A field survey shall note the distances to obvious SW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summarizing the findings of the complete file review and the field survey, when conducted, shall be submitted to the department for final review and classification of the source. Either method or both may be used to demonstrate that the source is an SW or an IGW.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complete file review or field survey demonstrates conclusively that the source is subject to the direct SW influence, the source shall be classified as an IGW.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findings do not demonstrate conclusive evidence of direct influence of SW, the analysis and evaluation in </w:t>
      </w:r>
      <w:hyperlink r:id="rId120">
        <w:r>
          <w:rPr>
            <w:rStyle w:val="Hyperlink"/>
            <w:rFonts w:ascii="Times New Roman" w:hAnsi="Times New Roman"/>
            <w:b w:val="false"/>
            <w:i w:val="false"/>
            <w:color w:val="000000"/>
            <w:sz w:val="22"/>
          </w:rPr>
          <w:t>43.5(1)</w:t>
        </w:r>
      </w:hyperlink>
      <w:r>
        <w:rPr>
          <w:rFonts w:ascii="Times New Roman" w:hAnsi="Times New Roman"/>
          <w:b w:val="false"/>
          <w:i/>
          <w:color w:val="000000"/>
          <w:sz w:val="22"/>
        </w:rPr>
        <w:t>“h”</w:t>
      </w:r>
      <w:r>
        <w:rPr>
          <w:rFonts w:ascii="Times New Roman" w:hAnsi="Times New Roman"/>
          <w:b w:val="false"/>
          <w:i w:val="false"/>
          <w:color w:val="000000"/>
          <w:sz w:val="22"/>
        </w:rPr>
        <w:t xml:space="preserve"> should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Particulate analysis and physical properties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SW indicators. Particulate analysis shall be conducted to identify organisms that only occur in SWs as opposed to GWs, and whose presence in GW would indicate the direct influence of SW.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 </w:t>
      </w:r>
      <w:r>
        <w:rPr>
          <w:rFonts w:ascii="Times New Roman" w:hAnsi="Times New Roman"/>
          <w:b w:val="false"/>
          <w:i/>
          <w:color w:val="000000"/>
          <w:sz w:val="22"/>
        </w:rPr>
        <w:t>Giardia</w:t>
      </w:r>
      <w:r>
        <w:rPr>
          <w:rFonts w:ascii="Times New Roman" w:hAnsi="Times New Roman"/>
          <w:b w:val="false"/>
          <w:i w:val="false"/>
          <w:color w:val="000000"/>
          <w:sz w:val="22"/>
        </w:rPr>
        <w:t xml:space="preserve"> cyst, live diatoms, and blue-green, green, or other chloroplast containing algae in any source water shall be considered evidence of direct SW influence.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Rotifers and insect parts are indicators of SW. Without knowledge of which species is present, the finding of rotifers indicates that the source is either directly influenced by SW, or the water contains organic matter sufficient to support the growth of rotifers. Insects or insect parts shall be considered strong evidence of SW influence, if not direct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presence of coccidia (e.g.,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 the source water is considered a good indicator of direct influence of SW. Other macroorganisms (greater than 7 um) that are parasitic to animals and fish, such as, but not limited to, helminths (e.g., tapeworm cysts), ascaris, and Diphyllobothrium, shall be considered as indicators of direct influence of SW.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properties. Turbidity, temperature, pH and conductivity provide supportive, but less direct, evidence of direct influence of SW. Temperature fluctuations or turbidity fluctuations of greater than 0.5-1.0 NTU over the course of a year may indicate direct influence of SW. Changes in other chemical parameters such as pH, conductivity, or hardness may indirectly indicate influence by nearby SW.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A PWS using a SW source or an IGW is considered to be in compliance with this subrule if it meets the filtration requirements in </w:t>
      </w:r>
      <w:hyperlink r:id="rId121">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and the disinfection requirements in </w:t>
      </w:r>
      <w:hyperlink r:id="rId122">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requirement. </w:t>
      </w:r>
      <w:r>
        <w:rPr>
          <w:rFonts w:ascii="Times New Roman" w:hAnsi="Times New Roman"/>
          <w:b w:val="false"/>
          <w:i w:val="false"/>
          <w:color w:val="000000"/>
          <w:sz w:val="22"/>
        </w:rPr>
        <w:t xml:space="preserve">Each PWS using a SW source or an IGW must be operated by a certified operator who meets the requirements of </w:t>
      </w:r>
      <w:hyperlink r:id="rId123">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color w:val="000000"/>
          <w:sz w:val="22"/>
        </w:rPr>
        <w:t xml:space="preserve">Disinfection requirements. </w:t>
      </w:r>
      <w:r>
        <w:rPr>
          <w:rFonts w:ascii="Times New Roman" w:hAnsi="Times New Roman"/>
          <w:b w:val="false"/>
          <w:i w:val="false"/>
          <w:color w:val="000000"/>
          <w:sz w:val="22"/>
        </w:rPr>
        <w:t xml:space="preserve">All CWS, NTNC, and TNC using SW or IGW in whole or in part shall be required to provide disinfection in compliance with this subrule and filtration in compliance with </w:t>
      </w:r>
      <w:hyperlink r:id="rId124">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If the department has determined that filtration is required, the system must comply with any interim disinfection requirements the department deems necessary before filtration is installed. A system providing filtration on or before December 30, 1991, must comply with  this subrule beginning June 29, 1993. A system providing filtration after December 30, 1991, must comply with this subrule when filtration is installed. Failure to meet any requirement of this subrule after the applicable date is a TT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treatment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Disinfection treatment must be sufficient to ensure that the total treatment processes of a system achieve at least 99.9 percent (3-log) inactivation or removal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and at least 99.99 percent (4-log) virus inactivation or removal, acceptable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0.5 log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must be achieved through disinfection treatment using a chemical disinfectant even if the required inactivation or removal is met or exceeded through physical treatment processes.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system must calculate the total inactivation ratio (CT</w:t>
      </w:r>
      <w:r>
        <w:rPr>
          <w:rFonts w:ascii="Times New Roman" w:hAnsi="Times New Roman"/>
          <w:b w:val="false"/>
          <w:i w:val="false"/>
          <w:color w:val="000000"/>
          <w:sz w:val="18"/>
          <w:vertAlign w:val="subscript"/>
        </w:rPr>
        <w:t>calculated</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required</w:t>
      </w:r>
      <w:r>
        <w:rPr>
          <w:rFonts w:ascii="Times New Roman" w:hAnsi="Times New Roman"/>
          <w:b w:val="false"/>
          <w:i w:val="false"/>
          <w:color w:val="000000"/>
          <w:sz w:val="22"/>
        </w:rPr>
        <w:t>) each day the treatment plant is in operation. A system’s total inactivation ratio must be equal to or greater than 1.0 to ensure that the minimum inactivation and removal requirements have been achieved. If a system’s total inactivation ratio for the day is below 1.0, it must notify the department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Disinfection system. </w:t>
      </w:r>
      <w:r>
        <w:rPr>
          <w:rFonts w:ascii="Times New Roman" w:hAnsi="Times New Roman"/>
          <w:b w:val="false"/>
          <w:i w:val="false"/>
          <w:color w:val="000000"/>
          <w:sz w:val="22"/>
        </w:rPr>
        <w:t>The disinfection system must include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Redundant components, including an auxiliary power supply with automatic start-up and alarm, to ensure that disinfectant application is maintained continuously while water is being delivered to the distribution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shutoff of delivery of water to the distribution system when the residual disinfectant concentration (RDC) in the water is less than 0.3 mg/L free residual or 1.5 mg/L total residual chlorine. If the department determines that automatic shutoff would cause unreasonable risk to health or interfere with fire protection, the system must comply with </w:t>
      </w:r>
      <w:hyperlink r:id="rId125">
        <w:r>
          <w:rPr>
            <w:rStyle w:val="Hyperlink"/>
            <w:rFonts w:ascii="Times New Roman" w:hAnsi="Times New Roman"/>
            <w:b w:val="false"/>
            <w:i w:val="false"/>
            <w:color w:val="000000"/>
            <w:sz w:val="22"/>
          </w:rPr>
          <w:t>43.5(2)</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entering system. </w:t>
      </w:r>
      <w:r>
        <w:rPr>
          <w:rFonts w:ascii="Times New Roman" w:hAnsi="Times New Roman"/>
          <w:b w:val="false"/>
          <w:i w:val="false"/>
          <w:color w:val="000000"/>
          <w:sz w:val="22"/>
        </w:rPr>
        <w:t xml:space="preserve">The RDC in the water entering the distribution system, measured as specified in </w:t>
      </w:r>
      <w:hyperlink r:id="rId126">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w:t>
      </w:r>
      <w:hyperlink r:id="rId127">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(2)“1,” cannot be less than 0.3 mg/L free residual or 1.5 mg/L total residual chlorine for more than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in the system. </w:t>
      </w:r>
      <w:r>
        <w:rPr>
          <w:rFonts w:ascii="Times New Roman" w:hAnsi="Times New Roman"/>
          <w:b w:val="false"/>
          <w:i w:val="false"/>
          <w:color w:val="000000"/>
          <w:sz w:val="22"/>
        </w:rPr>
        <w:t xml:space="preserve">The RDC in the distribution system, measured as total chlorine, combined chlorine, or chlorine dioxide, as specified in </w:t>
      </w:r>
      <w:hyperlink r:id="rId128">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w:t>
      </w:r>
      <w:hyperlink r:id="rId129">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 xml:space="preserve">(2)“2,” cannot be undetectable in more than five percent of the samples each month for any two consecutive months that the system serves water to the public. Water within the distribution system with an HPC bacteria concentration less than or equal to 500/mL, measured as HPC as specified in </w:t>
      </w:r>
      <w:hyperlink r:id="rId130">
        <w:r>
          <w:rPr>
            <w:rStyle w:val="Hyperlink"/>
            <w:rFonts w:ascii="Times New Roman" w:hAnsi="Times New Roman"/>
            <w:b w:val="false"/>
            <w:i w:val="false"/>
            <w:color w:val="000000"/>
            <w:sz w:val="22"/>
          </w:rPr>
          <w:t>567—paragraph 41.2(2)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deemed to have a detectable disinfectant residual for purposes of determining compliance with this requirement. Therefore, the value “V” in the following formula cannot exceed five percent in one month for any two consecutive months.</w:t>
      </w:r>
    </w:p>
    <w:p>
      <w:pPr>
        <w:spacing w:before="0" w:after="0"/>
        <w:ind w:left="120"/>
        <w:jc w:val="both"/>
      </w:pPr>
      <w:r>
        <w:rPr>
          <w:rFonts w:ascii="Times New Roman" w:hAnsi="Times New Roman"/>
          <w:b w:val="false"/>
          <w:i w:val="false"/>
          <w:color w:val="000000"/>
          <w:sz w:val="22"/>
        </w:rPr>
        <w:t>V = [(c + d + e) / (a + b)] x 100</w:t>
      </w:r>
    </w:p>
    <w:p>
      <w:pPr>
        <w:spacing w:before="0" w:after="0"/>
        <w:ind w:left="120"/>
        <w:jc w:val="both"/>
      </w:pPr>
      <w:r>
        <w:rPr>
          <w:rFonts w:ascii="Times New Roman" w:hAnsi="Times New Roman"/>
          <w:b w:val="false"/>
          <w:i w:val="false"/>
          <w:color w:val="000000"/>
          <w:sz w:val="22"/>
        </w:rPr>
        <w:t>where the letters indicate the number of instances in which:</w:t>
      </w:r>
    </w:p>
    <w:tbl>
      <w:tblPr>
        <w:tblW w:w="5000" w:type="pct"/>
        <w:tblCellSpacing w:w="0" w:type="auto"/>
        <w:tblBorders>
          <w:top w:val="none"/>
          <w:left w:val="none"/>
          <w:bottom w:val="none"/>
          <w:right w:val="none"/>
          <w:insideH w:val="none"/>
          <w:insideV w:val="none"/>
        </w:tblBorders>
        <w:tblLayout w:type="fixed"/>
      </w:tblPr>
      <w:tblGrid>
        <w:gridCol w:w="2043"/>
        <w:gridCol w:w="9147"/>
      </w:tblGrid>
      <w:tr>
        <w:trPr>
          <w:trHeight w:val="270" w:hRule="atLeast"/>
        </w:trPr>
        <w:tc>
          <w:tcPr>
            <w:tcW w:w="20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a = </w:t>
            </w:r>
          </w:p>
        </w:tc>
        <w:tc>
          <w:tcPr>
            <w:tcW w:w="9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RDC is measured</w:t>
            </w:r>
          </w:p>
        </w:tc>
      </w:tr>
      <w:tr>
        <w:trPr>
          <w:trHeight w:val="270" w:hRule="atLeast"/>
        </w:trPr>
        <w:tc>
          <w:tcPr>
            <w:tcW w:w="20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b = </w:t>
            </w:r>
          </w:p>
        </w:tc>
        <w:tc>
          <w:tcPr>
            <w:tcW w:w="9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RDC is not measured but HPC bacteria is measured</w:t>
            </w:r>
          </w:p>
        </w:tc>
      </w:tr>
      <w:tr>
        <w:trPr>
          <w:trHeight w:val="270" w:hRule="atLeast"/>
        </w:trPr>
        <w:tc>
          <w:tcPr>
            <w:tcW w:w="20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c = </w:t>
            </w:r>
          </w:p>
        </w:tc>
        <w:tc>
          <w:tcPr>
            <w:tcW w:w="9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RDC is measured but not detected and no HPC is measured</w:t>
            </w:r>
          </w:p>
        </w:tc>
      </w:tr>
      <w:tr>
        <w:trPr>
          <w:trHeight w:val="270" w:hRule="atLeast"/>
        </w:trPr>
        <w:tc>
          <w:tcPr>
            <w:tcW w:w="20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d = </w:t>
            </w:r>
          </w:p>
        </w:tc>
        <w:tc>
          <w:tcPr>
            <w:tcW w:w="9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RDC is detected and where the HPC is greater than 500/mL</w:t>
            </w:r>
          </w:p>
        </w:tc>
      </w:tr>
      <w:tr>
        <w:trPr>
          <w:trHeight w:val="270" w:hRule="atLeast"/>
        </w:trPr>
        <w:tc>
          <w:tcPr>
            <w:tcW w:w="20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e = </w:t>
            </w:r>
          </w:p>
        </w:tc>
        <w:tc>
          <w:tcPr>
            <w:tcW w:w="9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RDC is not measured and HPC is greater than 500/mL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color w:val="000000"/>
          <w:sz w:val="22"/>
        </w:rPr>
        <w:t xml:space="preserve">Filtration requirements. </w:t>
      </w:r>
      <w:r>
        <w:rPr>
          <w:rFonts w:ascii="Times New Roman" w:hAnsi="Times New Roman"/>
          <w:b w:val="false"/>
          <w:i w:val="false"/>
          <w:color w:val="000000"/>
          <w:sz w:val="22"/>
        </w:rPr>
        <w:t xml:space="preserve">Turbidity measurements required by this subrule shall be made in accordance with </w:t>
      </w:r>
      <w:hyperlink r:id="rId131">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32">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 PWS that uses a SW source or an IGW source must provide treatment consisting of both disinfection, as specified in </w:t>
      </w:r>
      <w:hyperlink r:id="rId133">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and filtration treatment that complies with the turbidity requirements of </w:t>
      </w:r>
      <w:hyperlink r:id="rId134">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43.5(5)</w:t>
        </w:r>
      </w:hyperlink>
      <w:r>
        <w:rPr>
          <w:rFonts w:ascii="Times New Roman" w:hAnsi="Times New Roman"/>
          <w:b w:val="false"/>
          <w:i w:val="false"/>
          <w:color w:val="000000"/>
          <w:sz w:val="22"/>
        </w:rPr>
        <w:t>. A system shall install filtration within 18 months after the department determines, in writing, that filtration is required. The department may require, and a system shall comply, with any interim turbidity requirements the department deems necessary. Failure to meet any requirements of the subrules referenced below after the dates specified is a TT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providing or required to provide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or before December 30, 1991, must comply with this subrule by June 29, 1993;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December 30, 1991, must comply with this subrule when filtration is installed.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January 1, 2002, systems serving at least 10,000 people must meet the turbidity requirements in </w:t>
      </w:r>
      <w:hyperlink r:id="rId137">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January 1, 2005, systems serving fewer than 10,000 people must meet the turbidity requirements in </w:t>
      </w:r>
      <w:hyperlink r:id="rId138">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Conventional filtration treatment or direct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using conventional filtration serving at least 10,000 people must meet the turbidity level requirements in </w:t>
      </w:r>
      <w:hyperlink r:id="rId139">
        <w:r>
          <w:rPr>
            <w:rStyle w:val="Hyperlink"/>
            <w:rFonts w:ascii="Times New Roman" w:hAnsi="Times New Roman"/>
            <w:b w:val="false"/>
            <w:i w:val="false"/>
            <w:color w:val="000000"/>
            <w:sz w:val="22"/>
          </w:rPr>
          <w:t>43.9(3)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using conventional filtration or direct filtration serving fewer than 10,000 people must meet the turbidity level requirements in </w:t>
      </w:r>
      <w:hyperlink r:id="rId140">
        <w:r>
          <w:rPr>
            <w:rStyle w:val="Hyperlink"/>
            <w:rFonts w:ascii="Times New Roman" w:hAnsi="Times New Roman"/>
            <w:b w:val="false"/>
            <w:i w:val="false"/>
            <w:color w:val="000000"/>
            <w:sz w:val="22"/>
          </w:rPr>
          <w:t>43.10(4)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Slow sand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systems using slow sand filtration, the turbidity level of representative samples of a system’s filtered water must be less than or equal to 0.3 NTU in at least 95 percent of the measurements taken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turbidity level of representative samples of a system’s filtered water must not exceed 1 NTU in two consecutive 15-minute recordings.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Diatomaceous earth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systems using diatomaceous earth filtration, the turbidity level of representative samples of a system’s filtered water must be less than or equal to 0.3 NTU in at least 95 percent of the measurements taken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turbidity level of representative samples of a system’s filtered water must not exceed 1 NTU in two consecutive 15-minute recordings.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filtration technologies. </w:t>
      </w:r>
      <w:r>
        <w:rPr>
          <w:rFonts w:ascii="Times New Roman" w:hAnsi="Times New Roman"/>
          <w:b w:val="false"/>
          <w:i w:val="false"/>
          <w:color w:val="000000"/>
          <w:sz w:val="22"/>
        </w:rPr>
        <w:t xml:space="preserve">A PWS may use either a filtration technology not listed in </w:t>
      </w:r>
      <w:hyperlink r:id="rId141">
        <w:r>
          <w:rPr>
            <w:rStyle w:val="Hyperlink"/>
            <w:rFonts w:ascii="Times New Roman" w:hAnsi="Times New Roman"/>
            <w:b w:val="false"/>
            <w:i w:val="false"/>
            <w:color w:val="000000"/>
            <w:sz w:val="22"/>
          </w:rPr>
          <w:t>43.5(3)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or a filtration technology listed in </w:t>
      </w:r>
      <w:hyperlink r:id="rId142">
        <w:r>
          <w:rPr>
            <w:rStyle w:val="Hyperlink"/>
            <w:rFonts w:ascii="Times New Roman" w:hAnsi="Times New Roman"/>
            <w:b w:val="false"/>
            <w:i w:val="false"/>
            <w:color w:val="000000"/>
            <w:sz w:val="22"/>
          </w:rPr>
          <w:t>43.5(3)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at a higher turbidity level if it demonstrates to the department, through a preliminary report submitted by a licensed professional engineer using pilot plant studies or other means, that the alternative filtration technology, in combination with disinfection treatment that meets the requirements of </w:t>
      </w:r>
      <w:hyperlink r:id="rId143">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consistently achieves 99.9 percent removal or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99.99 percent virus removal or inactivation. For a system that uses alternative filtration technology and makes this demonstration, the turbidity TT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turbidity level of representative samples of a system’s filtered water must be less than or equal to 0.3 NTU in at least 95 percent of the measurements taken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turbidity level of representative samples of a system’s filtered water must not exceed 1 NTU. Beginning January 1, 2002, systems serving at least 10,000 people must meet the requirements for other filtration technologies in </w:t>
      </w:r>
      <w:hyperlink r:id="rId144">
        <w:r>
          <w:rPr>
            <w:rStyle w:val="Hyperlink"/>
            <w:rFonts w:ascii="Times New Roman" w:hAnsi="Times New Roman"/>
            <w:b w:val="false"/>
            <w:i w:val="false"/>
            <w:color w:val="000000"/>
            <w:sz w:val="22"/>
          </w:rPr>
          <w:t>43.9(3)</w:t>
        </w:r>
        <w:r>
          <w:rPr>
            <w:rFonts w:ascii="Times New Roman" w:hAnsi="Times New Roman"/>
            <w:b w:val="false"/>
            <w:i/>
            <w:color w:val="000000"/>
            <w:sz w:val="22"/>
          </w:rPr>
          <w:t>“b.”</w:t>
        </w:r>
      </w:hyperlink>
      <w:r>
        <w:rPr>
          <w:rFonts w:ascii="Times New Roman" w:hAnsi="Times New Roman"/>
          <w:b w:val="false"/>
          <w:i w:val="false"/>
          <w:color w:val="000000"/>
          <w:sz w:val="22"/>
        </w:rPr>
        <w:t xml:space="preserve"> Beginning January 1, 2005, systems serving fewer than 10,000 people must meet the requirements for other filtration technologies in </w:t>
      </w:r>
      <w:hyperlink r:id="rId145">
        <w:r>
          <w:rPr>
            <w:rStyle w:val="Hyperlink"/>
            <w:rFonts w:ascii="Times New Roman" w:hAnsi="Times New Roman"/>
            <w:b w:val="false"/>
            <w:i w:val="false"/>
            <w:color w:val="000000"/>
            <w:sz w:val="22"/>
          </w:rPr>
          <w:t>43.10(4)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w:t>
      </w:r>
      <w:r>
        <w:rPr>
          <w:rFonts w:ascii="Times New Roman" w:hAnsi="Times New Roman"/>
          <w:b w:val="false"/>
          <w:i w:val="false"/>
          <w:color w:val="000000"/>
          <w:sz w:val="22"/>
        </w:rPr>
        <w:t> </w:t>
      </w:r>
      <w:r>
        <w:rPr>
          <w:rFonts w:ascii="Times New Roman" w:hAnsi="Times New Roman"/>
          <w:b w:val="false"/>
          <w:i/>
          <w:color w:val="000000"/>
          <w:sz w:val="22"/>
        </w:rPr>
        <w:t xml:space="preserve">Analytical and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methods. </w:t>
      </w:r>
      <w:r>
        <w:rPr>
          <w:rFonts w:ascii="Times New Roman" w:hAnsi="Times New Roman"/>
          <w:b w:val="false"/>
          <w:i w:val="false"/>
          <w:color w:val="000000"/>
          <w:sz w:val="22"/>
        </w:rPr>
        <w:t xml:space="preserve">Only the analytical method(s) specified in this paragraph, or otherwise approved by the department, may be used to demonstrate compliance with </w:t>
      </w:r>
      <w:hyperlink r:id="rId146">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Measurements for pH, temperature, turbidity, and RDCs must be conducted by a Grade II, III or IV operator meeting the requirements of </w:t>
      </w:r>
      <w:hyperlink r:id="rId148">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supervision of such an operator, or a laboratory certified in accordance with </w:t>
      </w:r>
      <w:hyperlink r:id="rId14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For consecutive PWSs from a SW or IGW system, the disinfectant concentration analyses must be conducted by a certified operator who meets the requirements of </w:t>
      </w:r>
      <w:hyperlink r:id="rId150">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Heterotrophic plate count (HPC) bacteria measurements must be conducted by a laboratory certified by the department to do such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Turbidity shall be analyzed using the methodology in the following table. Calibrate each turbidimeter at least once every 90 days with a primary standard. The calibration of each turbidimeter used for compliance must be verified at least once per week with a primary standard, secondary standard, the manufacturer’s proprietary calibration confirmation device, or by a department-approved method. If the verification is not within plus or minus 0.05 NTU for measurements of less than or equal to 0.5 NTU, or within plus or minus 10 percent of measurements greater than 0.5 NTU, the turbidimeter must be recalibrated.</w:t>
      </w:r>
    </w:p>
    <w:p>
      <w:pPr>
        <w:spacing w:before="60" w:after="0"/>
        <w:ind w:left="120"/>
        <w:jc w:val="center"/>
      </w:pPr>
      <w:r>
        <w:rPr>
          <w:rFonts w:ascii="Times New Roman" w:hAnsi="Times New Roman"/>
          <w:b/>
          <w:i w:val="false"/>
          <w:color w:val="000000"/>
          <w:sz w:val="22"/>
        </w:rPr>
        <w:t>Turbidity Methodology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20"/>
        <w:gridCol w:w="922"/>
        <w:gridCol w:w="1037"/>
        <w:gridCol w:w="1497"/>
        <w:gridCol w:w="2419"/>
        <w:gridCol w:w="3225"/>
      </w:tblGrid>
      <w:tr>
        <w:trPr>
          <w:trHeight w:val="225" w:hRule="atLeast"/>
        </w:trPr>
        <w:tc>
          <w:tcPr>
            <w:tcW w:w="2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Analytical Method</w:t>
            </w:r>
          </w:p>
        </w:tc>
      </w:tr>
      <w:tr>
        <w:trPr>
          <w:trHeight w:val="240" w:hRule="atLeast"/>
        </w:trPr>
        <w:tc>
          <w:tcPr>
            <w:tcW w:w="242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Methodology</w:t>
            </w:r>
          </w:p>
        </w:tc>
        <w:tc>
          <w:tcPr>
            <w:tcW w:w="92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EPA</w:t>
            </w:r>
          </w:p>
        </w:tc>
        <w:tc>
          <w:tcPr>
            <w:tcW w:w="103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SM</w:t>
            </w:r>
          </w:p>
        </w:tc>
        <w:tc>
          <w:tcPr>
            <w:tcW w:w="149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GLI</w:t>
            </w:r>
          </w:p>
        </w:tc>
        <w:tc>
          <w:tcPr>
            <w:tcW w:w="241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HACH</w:t>
            </w:r>
          </w:p>
        </w:tc>
        <w:tc>
          <w:tcPr>
            <w:tcW w:w="322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Other</w:t>
            </w:r>
          </w:p>
        </w:tc>
      </w:tr>
      <w:tr>
        <w:trPr>
          <w:trHeight w:val="450" w:hRule="atLeast"/>
        </w:trPr>
        <w:tc>
          <w:tcPr>
            <w:tcW w:w="2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Nephelometric</w:t>
            </w:r>
            <w:r>
              <w:rPr>
                <w:rFonts w:ascii="Times New Roman" w:hAnsi="Times New Roman"/>
                <w:b w:val="false"/>
                <w:i w:val="false"/>
                <w:color w:val="000000"/>
                <w:sz w:val="18"/>
                <w:vertAlign w:val="superscript"/>
              </w:rPr>
              <w:t>5</w:t>
            </w:r>
          </w:p>
        </w:tc>
        <w:tc>
          <w:tcPr>
            <w:tcW w:w="92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180.1</w:t>
            </w:r>
            <w:r>
              <w:rPr>
                <w:rFonts w:ascii="Times New Roman" w:hAnsi="Times New Roman"/>
                <w:b w:val="false"/>
                <w:i w:val="false"/>
                <w:color w:val="000000"/>
                <w:sz w:val="18"/>
                <w:vertAlign w:val="superscript"/>
              </w:rPr>
              <w:t>1</w:t>
            </w:r>
          </w:p>
        </w:tc>
        <w:tc>
          <w:tcPr>
            <w:tcW w:w="10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2130B</w:t>
            </w:r>
            <w:r>
              <w:rPr>
                <w:rFonts w:ascii="Times New Roman" w:hAnsi="Times New Roman"/>
                <w:b w:val="false"/>
                <w:i w:val="false"/>
                <w:color w:val="000000"/>
                <w:sz w:val="18"/>
                <w:vertAlign w:val="superscript"/>
              </w:rPr>
              <w:t>2</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Method 2</w:t>
            </w:r>
            <w:r>
              <w:rPr>
                <w:rFonts w:ascii="Times New Roman" w:hAnsi="Times New Roman"/>
                <w:b w:val="false"/>
                <w:i w:val="false"/>
                <w:color w:val="000000"/>
                <w:sz w:val="18"/>
                <w:vertAlign w:val="superscript"/>
              </w:rPr>
              <w:t>3</w:t>
            </w:r>
          </w:p>
        </w:tc>
        <w:tc>
          <w:tcPr>
            <w:tcW w:w="2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FilterTrak 10133</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Hach Method 8195, Rev. 3.015</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80" w:hRule="atLeast"/>
        </w:trPr>
        <w:tc>
          <w:tcPr>
            <w:tcW w:w="2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Laser Nephelometry (online)</w:t>
            </w:r>
          </w:p>
        </w:tc>
        <w:tc>
          <w:tcPr>
            <w:tcW w:w="92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03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49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41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322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Mitchell M5271</w:t>
            </w: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Mitchell M5331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Lovibond PTV 600013</w:t>
            </w:r>
          </w:p>
        </w:tc>
      </w:tr>
      <w:tr>
        <w:trPr>
          <w:trHeight w:val="825" w:hRule="atLeast"/>
        </w:trPr>
        <w:tc>
          <w:tcPr>
            <w:tcW w:w="2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LED Nephelometry (online)</w:t>
            </w:r>
          </w:p>
        </w:tc>
        <w:tc>
          <w:tcPr>
            <w:tcW w:w="92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03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49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41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322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Mitchell M5331</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Mitchell M5331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AMI Turbiwell</w:t>
            </w: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Lovibond PTV 200012; Lovibond PTV 100014</w:t>
            </w:r>
          </w:p>
        </w:tc>
      </w:tr>
      <w:tr>
        <w:trPr>
          <w:trHeight w:val="405" w:hRule="atLeast"/>
        </w:trPr>
        <w:tc>
          <w:tcPr>
            <w:tcW w:w="2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LED Nephelometry (portable)</w:t>
            </w:r>
          </w:p>
        </w:tc>
        <w:tc>
          <w:tcPr>
            <w:tcW w:w="92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03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49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41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322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Orion AQ4500</w:t>
            </w:r>
            <w:r>
              <w:rPr>
                <w:rFonts w:ascii="Times New Roman" w:hAnsi="Times New Roman"/>
                <w:b w:val="false"/>
                <w:i w:val="false"/>
                <w:color w:val="000000"/>
                <w:sz w:val="18"/>
                <w:vertAlign w:val="superscript"/>
              </w:rPr>
              <w:t>8</w:t>
            </w:r>
          </w:p>
        </w:tc>
      </w:tr>
      <w:tr>
        <w:trPr>
          <w:trHeight w:val="405" w:hRule="atLeast"/>
        </w:trPr>
        <w:tc>
          <w:tcPr>
            <w:tcW w:w="242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360-degree</w:t>
            </w:r>
            <w:r>
              <w:br/>
            </w:r>
            <w:r>
              <w:rPr>
                <w:rFonts w:ascii="Times New Roman" w:hAnsi="Times New Roman"/>
                <w:b w:val="false"/>
                <w:i w:val="false"/>
                <w:color w:val="000000"/>
                <w:sz w:val="16"/>
              </w:rPr>
              <w:t>Nephelometry</w:t>
            </w:r>
          </w:p>
        </w:tc>
        <w:tc>
          <w:tcPr>
            <w:tcW w:w="92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03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49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41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32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Hach Method 10258</w:t>
            </w:r>
            <w:r>
              <w:rPr>
                <w:rFonts w:ascii="Times New Roman" w:hAnsi="Times New Roman"/>
                <w:b w:val="false"/>
                <w:i w:val="false"/>
                <w:color w:val="000000"/>
                <w:sz w:val="18"/>
                <w:vertAlign w:val="superscript"/>
              </w:rPr>
              <w:t>11</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“Methods for the Determination of Inorganic Substances in Environmental Samples,” EPA-600/R-93-100, August 1993. NTIS, PB94-121811.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SM, 18th (1992), 19th (1995), 20th (1998), 21st (2005), 22nd (2012), and 23rd (2017) editions (any of these editions may be used).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GLI Method 2, “Turbidity,” November 2, 1992, Great Lakes Instruments, Inc., 8855 North 55th Street, Milwaukee, WI 53223.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Hach FilterTrak Method 10133, “Determination of Turbidity by Laser Nephelometry,” January 2000, Revision 2.0, </w:t>
      </w:r>
      <w:hyperlink r:id="rId151">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Styrene divinyl benzene beads (e.g., AMCO-AEPA-1 or equivalent) and stabilized formazin (e.g., Hach StablCalTM or equivalent) are acceptable substitutes for formazin.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Mitchell Method M5271, Revision 1.1. “Determination of Turbidity by Laser Nephelometry,” March 5, 2009, </w:t>
      </w:r>
      <w:hyperlink r:id="rId152">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Mitchell Method M5331, Revision 1.1. “Determination of Turbidity by LED Nephelometry,” March 5, 2009, </w:t>
      </w:r>
      <w:hyperlink r:id="rId153">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Orion Method AQ4500, Revision 1.0. “Determination of Turbidity by LED Nephelometry,” May 8, 2009, www.nemi.gov or Thermo Scientific, </w:t>
      </w:r>
      <w:hyperlink r:id="rId154">
        <w:r>
          <w:rPr>
            <w:rStyle w:val="Hyperlink"/>
            <w:rFonts w:ascii="Times New Roman" w:hAnsi="Times New Roman"/>
            <w:b w:val="false"/>
            <w:i w:val="false"/>
            <w:color w:val="000000"/>
            <w:sz w:val="16"/>
            <w:u w:val="single"/>
          </w:rPr>
          <w:t>www.thermo.com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AMI Turbiwell, “Continuous Measurement of Turbidity Using a SWAN AMI Turbiwell Turbidimeter,” August 2009, </w:t>
      </w:r>
      <w:hyperlink r:id="rId155">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Mitchell Method M5331, Revision 1.2. “Determination of Turbidity by LED or Laser Nephelometry,” February 2016, </w:t>
      </w:r>
      <w:hyperlink r:id="rId156">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Hach Company. “Hach Method 10258 – Determination of Turbidity by 360-Degree Nephelometry,” January 2016 and March 2018, revision 2.0, </w:t>
      </w:r>
      <w:hyperlink r:id="rId157">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Lovibond PTV 2000. “Continuous Measurement of Drinking Water Turbidity Using a Lovibond PTV 2000 660-nm LED Turbidimeter,” December 2016, Revision 1.0,Tintometer, Inc., 6456 Parkland Drive, Sarasota, FL 34243. </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 xml:space="preserve">Lovibond PTV 6000. “Continuous Measurement of Drinking Water Turbidity Using a Lovibond PTV 6000 Laser Turbidimeter,” December 2016, Revision 1.0, Tintometer, Inc., 6456 Parkland Drive, Sarasota, FL 34243. </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 xml:space="preserve">Lovibond PTV 1000. “Continuous Measurement of Drinking Water Turbidity Using a Lovibond PTV 1000 White Light LED Turbidimeter,” December 2016, Revision 1.0, Tintometer, Inc., 6456 Parkland Drive, Sarasota, FL 34243. </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 xml:space="preserve">Hach Company. “Hach Method 8195-Determination of Turbidity by Nephelometry,” March 2018, Revision 3.0, </w:t>
      </w:r>
      <w:hyperlink r:id="rId158">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temperature and pH (hydrogen ion concentration) shall be determined in compliance with the methodology in </w:t>
      </w:r>
      <w:hyperlink r:id="rId159">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HPC bacteria sampling and analysis shall be conducted in compliance with 567—subrule </w:t>
      </w:r>
      <w:hyperlink r:id="rId160">
        <w:r>
          <w:rPr>
            <w:rStyle w:val="Hyperlink"/>
            <w:rFonts w:ascii="Times New Roman" w:hAnsi="Times New Roman"/>
            <w:b w:val="false"/>
            <w:i w:val="false"/>
            <w:color w:val="000000"/>
            <w:sz w:val="22"/>
          </w:rPr>
          <w:t>41.2(2)</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43.5(2)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time from sample collection to initiation of analysis shall not exceed eight hours, and the samples must be held below 10 degrees Celsius during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residual disinfectant concentrations (RDCs) shall be determined using one of the analytical methods in the following table. RDCs for free chlorine and total chlorine may also be measured by using DPD colorimetric test kits. Free and total chlorine residuals may be measured continuously by adapting a specified chlorine residual method for use with a continuous monitoring instrument provided the chemistry, accuracy, and precision remain the same. Instruments used for continuous monitoring must be verified with a grab sample measurement at least every seven days. The analyzer concentration must be within plus or minus 0.1 mg/L or plus or minus 15 percent (whichever is larger) of the grab sample measurement. If the verification is not within this range, immediate actions must be taken to resolve the issue and another verification must be conducted.</w:t>
      </w:r>
    </w:p>
    <w:p>
      <w:pPr>
        <w:spacing w:before="60" w:after="0"/>
        <w:ind w:left="120"/>
        <w:jc w:val="center"/>
      </w:pPr>
      <w:r>
        <w:rPr>
          <w:rFonts w:ascii="Times New Roman" w:hAnsi="Times New Roman"/>
          <w:b/>
          <w:i w:val="false"/>
          <w:color w:val="000000"/>
          <w:sz w:val="22"/>
        </w:rPr>
        <w:t>Disinfectant Analytical Methodology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53"/>
        <w:gridCol w:w="3686"/>
        <w:gridCol w:w="1728"/>
        <w:gridCol w:w="2073"/>
        <w:gridCol w:w="2880"/>
      </w:tblGrid>
      <w:tr>
        <w:trPr>
          <w:trHeight w:val="285" w:hRule="atLeast"/>
        </w:trPr>
        <w:tc>
          <w:tcPr>
            <w:tcW w:w="115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Residual</w:t>
            </w:r>
          </w:p>
        </w:tc>
        <w:tc>
          <w:tcPr>
            <w:tcW w:w="368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Methodology</w:t>
            </w:r>
          </w:p>
        </w:tc>
        <w:tc>
          <w:tcPr>
            <w:tcW w:w="172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SM</w:t>
            </w:r>
            <w:r>
              <w:rPr>
                <w:rFonts w:ascii="Times New Roman" w:hAnsi="Times New Roman"/>
                <w:b/>
                <w:i w:val="false"/>
                <w:color w:val="000000"/>
                <w:sz w:val="18"/>
                <w:vertAlign w:val="superscript"/>
              </w:rPr>
              <w:t>1,2</w:t>
            </w:r>
          </w:p>
        </w:tc>
        <w:tc>
          <w:tcPr>
            <w:tcW w:w="20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SM Online</w:t>
            </w:r>
            <w:r>
              <w:rPr>
                <w:rFonts w:ascii="Times New Roman" w:hAnsi="Times New Roman"/>
                <w:b/>
                <w:i w:val="false"/>
                <w:color w:val="000000"/>
                <w:sz w:val="18"/>
                <w:vertAlign w:val="superscript"/>
              </w:rPr>
              <w:t>6</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Other</w:t>
            </w:r>
          </w:p>
        </w:tc>
      </w:tr>
      <w:tr>
        <w:trPr>
          <w:trHeight w:val="270" w:hRule="atLeast"/>
        </w:trPr>
        <w:tc>
          <w:tcPr>
            <w:tcW w:w="115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6"/>
              </w:rPr>
              <w:t>Free chlorine</w:t>
            </w: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D</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D-00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D1253-03</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08, 14</w:t>
            </w:r>
          </w:p>
        </w:tc>
      </w:tr>
      <w:tr>
        <w:trPr>
          <w:trHeight w:val="21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Ferrous Titrimetric</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F</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F-00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Colorimetric</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G</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G-00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Hach Method 10260</w:t>
            </w:r>
            <w:r>
              <w:rPr>
                <w:rFonts w:ascii="Times New Roman" w:hAnsi="Times New Roman"/>
                <w:b w:val="false"/>
                <w:i w:val="false"/>
                <w:color w:val="000000"/>
                <w:sz w:val="18"/>
                <w:vertAlign w:val="superscript"/>
              </w:rPr>
              <w:t>10</w:t>
            </w:r>
          </w:p>
        </w:tc>
      </w:tr>
      <w:tr>
        <w:trPr>
          <w:trHeight w:val="21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Syringaldazine (FACTS)</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H</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H-00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Online Chlorine Analyzer</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880"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EPA 334.0</w:t>
            </w:r>
            <w:r>
              <w:rPr>
                <w:rFonts w:ascii="Times New Roman" w:hAnsi="Times New Roman"/>
                <w:b w:val="false"/>
                <w:i w:val="false"/>
                <w:color w:val="000000"/>
                <w:sz w:val="18"/>
                <w:vertAlign w:val="superscript"/>
              </w:rPr>
              <w:t>7</w:t>
            </w:r>
          </w:p>
        </w:tc>
      </w:tr>
      <w:tr>
        <w:trPr>
          <w:trHeight w:val="24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Sensor</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880"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ChloroSense</w:t>
            </w:r>
            <w:r>
              <w:rPr>
                <w:rFonts w:ascii="Times New Roman" w:hAnsi="Times New Roman"/>
                <w:b w:val="false"/>
                <w:i w:val="false"/>
                <w:color w:val="000000"/>
                <w:sz w:val="18"/>
                <w:vertAlign w:val="superscript"/>
              </w:rPr>
              <w:t>8</w:t>
            </w:r>
          </w:p>
        </w:tc>
      </w:tr>
      <w:tr>
        <w:trPr>
          <w:trHeight w:val="255" w:hRule="atLeast"/>
        </w:trPr>
        <w:tc>
          <w:tcPr>
            <w:tcW w:w="0" w:type="auto"/>
            <w:vMerge/>
            <w:tcBorders>
              <w:top w:val="nil"/>
              <w:bottom w:val="single" w:color="000000" w:sz="8"/>
              <w:right w:val="single" w:color="000000" w:sz="8"/>
            </w:tcBorders>
          </w:tcPr>
          <w:p/>
        </w:tc>
        <w:tc>
          <w:tcPr>
            <w:tcW w:w="3686"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Indophenol Colorimetric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880"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Hach Method 10241</w:t>
            </w:r>
            <w:r>
              <w:rPr>
                <w:rFonts w:ascii="Times New Roman" w:hAnsi="Times New Roman"/>
                <w:b w:val="false"/>
                <w:i w:val="false"/>
                <w:color w:val="000000"/>
                <w:sz w:val="18"/>
                <w:vertAlign w:val="superscript"/>
              </w:rPr>
              <w:t>11</w:t>
            </w:r>
          </w:p>
        </w:tc>
      </w:tr>
      <w:tr>
        <w:trPr>
          <w:trHeight w:val="255" w:hRule="atLeast"/>
        </w:trPr>
        <w:tc>
          <w:tcPr>
            <w:tcW w:w="115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6"/>
              </w:rPr>
              <w:t>Total chlorine</w:t>
            </w: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D</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D-00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D1253-03</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08, 14</w:t>
            </w:r>
          </w:p>
        </w:tc>
      </w:tr>
      <w:tr>
        <w:trPr>
          <w:trHeight w:val="39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Amperometric Titration (low-level measurement)</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E</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E-00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1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Ferrous Titrimetric</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F</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F-00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Colorimetric</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G</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G-00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Hach Method 10260</w:t>
            </w:r>
            <w:r>
              <w:rPr>
                <w:rFonts w:ascii="Times New Roman" w:hAnsi="Times New Roman"/>
                <w:b w:val="false"/>
                <w:i w:val="false"/>
                <w:color w:val="000000"/>
                <w:sz w:val="18"/>
                <w:vertAlign w:val="superscript"/>
              </w:rPr>
              <w:t>10</w:t>
            </w:r>
          </w:p>
        </w:tc>
      </w:tr>
      <w:tr>
        <w:trPr>
          <w:trHeight w:val="21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Iodometric Electrode</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I</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 I-00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Online Chlorine Analyzer</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880"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EPA 334.0</w:t>
            </w:r>
            <w:r>
              <w:rPr>
                <w:rFonts w:ascii="Times New Roman" w:hAnsi="Times New Roman"/>
                <w:b w:val="false"/>
                <w:i w:val="false"/>
                <w:color w:val="000000"/>
                <w:sz w:val="18"/>
                <w:vertAlign w:val="superscript"/>
              </w:rPr>
              <w:t>7</w:t>
            </w:r>
          </w:p>
        </w:tc>
      </w:tr>
      <w:tr>
        <w:trPr>
          <w:trHeight w:val="255" w:hRule="atLeast"/>
        </w:trPr>
        <w:tc>
          <w:tcPr>
            <w:tcW w:w="0" w:type="auto"/>
            <w:vMerge/>
            <w:tcBorders>
              <w:top w:val="nil"/>
              <w:bottom w:val="single" w:color="000000" w:sz="8"/>
              <w:right w:val="single" w:color="000000" w:sz="8"/>
            </w:tcBorders>
          </w:tcPr>
          <w:p/>
        </w:tc>
        <w:tc>
          <w:tcPr>
            <w:tcW w:w="3686"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Sensor</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880"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ChloroSense</w:t>
            </w:r>
            <w:r>
              <w:rPr>
                <w:rFonts w:ascii="Times New Roman" w:hAnsi="Times New Roman"/>
                <w:b w:val="false"/>
                <w:i w:val="false"/>
                <w:color w:val="000000"/>
                <w:sz w:val="18"/>
                <w:vertAlign w:val="superscript"/>
              </w:rPr>
              <w:t>8</w:t>
            </w:r>
          </w:p>
        </w:tc>
      </w:tr>
      <w:tr>
        <w:trPr>
          <w:trHeight w:val="270" w:hRule="atLeast"/>
        </w:trPr>
        <w:tc>
          <w:tcPr>
            <w:tcW w:w="115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6"/>
              </w:rPr>
              <w:t>Chlorine dioxide</w:t>
            </w: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C</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4500-C10</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C-00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7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DPD Method</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7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Titration</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4500-C10</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E-00</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r>
        <w:trPr>
          <w:trHeight w:val="240" w:hRule="atLeast"/>
        </w:trPr>
        <w:tc>
          <w:tcPr>
            <w:tcW w:w="0" w:type="auto"/>
            <w:vMerge/>
            <w:tcBorders>
              <w:top w:val="nil"/>
              <w:bottom w:val="single" w:color="000000" w:sz="8"/>
              <w:right w:val="single" w:color="000000" w:sz="8"/>
            </w:tcBorders>
          </w:tcP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Amperometric Sensor</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880"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ChlordioX Plus</w:t>
            </w:r>
            <w:r>
              <w:rPr>
                <w:rFonts w:ascii="Times New Roman" w:hAnsi="Times New Roman"/>
                <w:b w:val="false"/>
                <w:i w:val="false"/>
                <w:color w:val="000000"/>
                <w:sz w:val="18"/>
                <w:vertAlign w:val="superscript"/>
              </w:rPr>
              <w:t>9</w:t>
            </w:r>
          </w:p>
        </w:tc>
      </w:tr>
      <w:tr>
        <w:trPr>
          <w:trHeight w:val="255" w:hRule="atLeast"/>
        </w:trPr>
        <w:tc>
          <w:tcPr>
            <w:tcW w:w="0" w:type="auto"/>
            <w:vMerge/>
            <w:tcBorders>
              <w:top w:val="nil"/>
              <w:bottom w:val="single" w:color="000000" w:sz="8"/>
              <w:right w:val="single" w:color="000000" w:sz="8"/>
            </w:tcBorders>
          </w:tcPr>
          <w:p/>
        </w:tc>
        <w:tc>
          <w:tcPr>
            <w:tcW w:w="3686"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Spectrophotometric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c>
          <w:tcPr>
            <w:tcW w:w="2880"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327.0, Revision 1.1</w:t>
            </w:r>
            <w:r>
              <w:rPr>
                <w:rFonts w:ascii="Times New Roman" w:hAnsi="Times New Roman"/>
                <w:b w:val="false"/>
                <w:i w:val="false"/>
                <w:color w:val="000000"/>
                <w:sz w:val="18"/>
                <w:vertAlign w:val="superscript"/>
              </w:rPr>
              <w:t>5</w:t>
            </w:r>
          </w:p>
        </w:tc>
      </w:tr>
      <w:tr>
        <w:trPr>
          <w:trHeight w:val="315" w:hRule="atLeast"/>
        </w:trPr>
        <w:tc>
          <w:tcPr>
            <w:tcW w:w="1153" w:type="dxa"/>
            <w:tcBorders>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6"/>
              </w:rPr>
              <w:t>Ozone</w:t>
            </w:r>
          </w:p>
        </w:tc>
        <w:tc>
          <w:tcPr>
            <w:tcW w:w="3686"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Indigo method</w:t>
            </w:r>
          </w:p>
        </w:tc>
        <w:tc>
          <w:tcPr>
            <w:tcW w:w="1728"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4500-O</w:t>
            </w:r>
            <w:r>
              <w:rPr>
                <w:rFonts w:ascii="Times New Roman" w:hAnsi="Times New Roman"/>
                <w:b w:val="false"/>
                <w:i w:val="false"/>
                <w:color w:val="000000"/>
                <w:sz w:val="18"/>
                <w:vertAlign w:val="subscript"/>
              </w:rPr>
              <w:t>3</w:t>
            </w:r>
            <w:r>
              <w:rPr>
                <w:rFonts w:ascii="Times New Roman" w:hAnsi="Times New Roman"/>
                <w:b w:val="false"/>
                <w:i w:val="false"/>
                <w:color w:val="000000"/>
                <w:sz w:val="16"/>
              </w:rPr>
              <w:t xml:space="preserve"> B</w:t>
            </w:r>
            <w:r>
              <w:rPr>
                <w:rFonts w:ascii="Times New Roman" w:hAnsi="Times New Roman"/>
                <w:b w:val="false"/>
                <w:i w:val="false"/>
                <w:color w:val="000000"/>
                <w:sz w:val="18"/>
                <w:vertAlign w:val="superscript"/>
              </w:rPr>
              <w:t>3</w:t>
            </w:r>
          </w:p>
        </w:tc>
        <w:tc>
          <w:tcPr>
            <w:tcW w:w="207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4500-O</w:t>
            </w:r>
            <w:r>
              <w:rPr>
                <w:rFonts w:ascii="Times New Roman" w:hAnsi="Times New Roman"/>
                <w:b w:val="false"/>
                <w:i w:val="false"/>
                <w:color w:val="000000"/>
                <w:sz w:val="18"/>
                <w:vertAlign w:val="subscript"/>
              </w:rPr>
              <w:t>3</w:t>
            </w:r>
            <w:r>
              <w:rPr>
                <w:rFonts w:ascii="Times New Roman" w:hAnsi="Times New Roman"/>
                <w:b w:val="false"/>
                <w:i w:val="false"/>
                <w:color w:val="000000"/>
                <w:sz w:val="16"/>
              </w:rPr>
              <w:t xml:space="preserve"> B-97</w:t>
            </w:r>
          </w:p>
        </w:tc>
        <w:tc>
          <w:tcPr>
            <w:tcW w:w="288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SM, 18th (1992), 19th (1995), 20th (1998), 21st (2005), 22nd (2012), and 23rd (2017) editions (any of these editions may be used). Only the 18th, 19th, and 20th editions may be used for chlorine dioxide Method 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Other analytical test procedures are contained within Technical Notes on Drinking Water Methods, EPA-600/R-94-173, October 1994, NTIS PB95-104766.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SM, 18th (1992), 19th (1995), 21st (2005), and 22nd (2012) editions (any edition may be used).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ASTM, Vol. 11.01, 2004; any year containing the cited version of the method may be used.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EPA Method 327.0, Revision 1.1, “Determination of Chlorine Dioxide and Chlorite Ion in Drinking Water Using Lissamine Green B and Horseradish Peroxidase with Detection by Visible Spectrophotometry,” May 2005, EPA 815-R-05-008, </w:t>
      </w:r>
      <w:hyperlink r:id="rId162">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SM Online, </w:t>
      </w:r>
      <w:hyperlink r:id="rId163">
        <w:r>
          <w:rPr>
            <w:rStyle w:val="Hyperlink"/>
            <w:rFonts w:ascii="Times New Roman" w:hAnsi="Times New Roman"/>
            <w:b w:val="false"/>
            <w:i w:val="false"/>
            <w:color w:val="000000"/>
            <w:sz w:val="16"/>
            <w:u w:val="single"/>
          </w:rPr>
          <w:t>www.standardmethods.org</w:t>
        </w:r>
      </w:hyperlink>
      <w:r>
        <w:rPr>
          <w:rFonts w:ascii="Times New Roman" w:hAnsi="Times New Roman"/>
          <w:b w:val="false"/>
          <w:i w:val="false"/>
          <w:color w:val="000000"/>
          <w:sz w:val="16"/>
        </w:rPr>
        <w:t xml:space="preserve">. The year in which each method was approved by the Standard Methods Committee is designated by the last two digits in the method number. The methods listed are the only online versions that may be used.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EPA Method 334.0, “Determination of Residual Chlorine in Drinking Water Using an On-Line Chlorine Analyzer,” September 2009. EPA 815-B-09-013, </w:t>
      </w:r>
      <w:hyperlink r:id="rId164">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ChloroSense, “Measurement of Free and Total Chlorine in Drinking Water by Palintest ChloroSense,” September 2009, www.nemi.gov or Palintest Water Analysis Technologies, </w:t>
      </w:r>
      <w:hyperlink r:id="rId165">
        <w:r>
          <w:rPr>
            <w:rStyle w:val="Hyperlink"/>
            <w:rFonts w:ascii="Times New Roman" w:hAnsi="Times New Roman"/>
            <w:b w:val="false"/>
            <w:i w:val="false"/>
            <w:color w:val="000000"/>
            <w:sz w:val="16"/>
            <w:u w:val="single"/>
          </w:rPr>
          <w:t>www.palintest.com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ChlordioX Plus. “Chlorine Dioxide and Chlorite in Drinking Water by Amperometry Using Disposable Sensors,” November 2013, Palintest Water Analysis Technologies, </w:t>
      </w:r>
      <w:hyperlink r:id="rId166">
        <w:r>
          <w:rPr>
            <w:rStyle w:val="Hyperlink"/>
            <w:rFonts w:ascii="Times New Roman" w:hAnsi="Times New Roman"/>
            <w:b w:val="false"/>
            <w:i w:val="false"/>
            <w:color w:val="000000"/>
            <w:sz w:val="16"/>
            <w:u w:val="single"/>
          </w:rPr>
          <w:t>www.palintest.com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Hach Company. “Hach Method 10260 – Determination of Chlorinated Oxidants (Free and Total) in Water Using Disposable Planar Reagent-Filled Cuvettes and Mesofluidic Channel Colorimetry,” April 2013, </w:t>
      </w:r>
      <w:hyperlink r:id="rId167">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Hach Company. “Hach Method 10241 – Spectophotometric Measurement of Free Chlorine in Finished Drinking Water,” November 2015, Revision 1.2, </w:t>
      </w:r>
      <w:hyperlink r:id="rId168">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A PWS that uses a SW or IGW source must monitor in accordance with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Turbidity.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monitoring. Turbidity measurements required by </w:t>
      </w:r>
      <w:r>
        <w:rPr>
          <w:rFonts w:ascii="Times New Roman" w:hAnsi="Times New Roman"/>
          <w:b w:val="false"/>
          <w:i w:val="false"/>
          <w:color w:val="000000"/>
          <w:sz w:val="22"/>
        </w:rPr>
        <w:t>43.5(3)</w:t>
      </w:r>
      <w:r>
        <w:rPr>
          <w:rFonts w:ascii="Times New Roman" w:hAnsi="Times New Roman"/>
          <w:b w:val="false"/>
          <w:i w:val="false"/>
          <w:color w:val="000000"/>
          <w:sz w:val="22"/>
        </w:rPr>
        <w:t xml:space="preserve"> must be performed on representative samples of the system’s filtered water utilizing continuous turbidity monitoring equipment. Turbidity monitoring results must be recorded at least every 15 minutes. Turbidity must be monitored according to a written  turbidity protocol approved by the department and audited for compliance during sanitary surveys.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protocol. The turbidity monitoring protocol shall include but is not limited to: sample measurement location; calibration method, frequency, and standards; verification method, frequency, and documentation; and data collection, recording frequency,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continuous monitoring equipment. If there is a failure in the continuous turbidity monitoring equipment, the system must conduct grab sampling every four hours in lieu of continuous monitoring until the turbidimeter is repaired and back online. A system has a maximum of five working days after failure to repair the equipment or else the system is in violation. The system must notify the department within 24 hours of both when the turbidimeter was taken offline and when it was returned online. It is a TT violation if the turbidity exceeds 1 NTU at any time during grab sampling. The system must inform the department as soon as possible, but no later than 24 hours after the exceedance is known, in accordance with </w:t>
      </w:r>
      <w:hyperlink r:id="rId169">
        <w:r>
          <w:rPr>
            <w:rStyle w:val="Hyperlink"/>
            <w:rFonts w:ascii="Times New Roman" w:hAnsi="Times New Roman"/>
            <w:b w:val="false"/>
            <w:i w:val="false"/>
            <w:color w:val="000000"/>
            <w:sz w:val="22"/>
          </w:rPr>
          <w:t>567—subparagraph 40.5(3)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Residual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Residual entering the system. The RDC of the water entering the distribution system shall be monitored continuously, and the lowest value recorded each day. If there is a failure in the continuous monitoring equipment, grab sampling every four hours may be conducted in lieu of continuous monitoring, but shall not exceed five working days following the equipment failure. If acceptable to the department, systems serving 3,300 or fewer persons may take grab samples in lieu of providing continuous monitoring on an ongoing basis at the frequencies prescribed below:</w:t>
      </w:r>
    </w:p>
    <w:p>
      <w:pPr>
        <w:spacing w:before="0" w:after="0"/>
        <w:ind w:left="120"/>
        <w:jc w:val="center"/>
      </w:pPr>
      <w:r>
        <w:rPr>
          <w:rFonts w:ascii="Times New Roman" w:hAnsi="Times New Roman"/>
          <w:b/>
          <w:i w:val="false"/>
          <w:color w:val="000000"/>
          <w:sz w:val="22"/>
        </w:rPr>
        <w:t>Residual Disinfectant Samples Required of SW or IGW PWS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555"/>
        <w:gridCol w:w="4635"/>
      </w:tblGrid>
      <w:tr>
        <w:trPr>
          <w:trHeight w:val="240" w:hRule="atLeast"/>
        </w:trPr>
        <w:tc>
          <w:tcPr>
            <w:tcW w:w="655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System size (persons served)</w:t>
            </w:r>
          </w:p>
        </w:tc>
        <w:tc>
          <w:tcPr>
            <w:tcW w:w="463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Samples per day*</w:t>
            </w:r>
          </w:p>
        </w:tc>
      </w:tr>
      <w:tr>
        <w:trPr>
          <w:trHeight w:val="240" w:hRule="atLeast"/>
        </w:trPr>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961"/>
              <w:jc w:val="both"/>
            </w:pPr>
            <w:r>
              <w:rPr>
                <w:rFonts w:ascii="Times New Roman" w:hAnsi="Times New Roman"/>
                <w:b w:val="false"/>
                <w:i w:val="false"/>
                <w:color w:val="000000"/>
                <w:sz w:val="16"/>
              </w:rPr>
              <w:t>500 or fewer</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961"/>
              <w:jc w:val="both"/>
            </w:pPr>
            <w:r>
              <w:rPr>
                <w:rFonts w:ascii="Times New Roman" w:hAnsi="Times New Roman"/>
                <w:b w:val="false"/>
                <w:i w:val="false"/>
                <w:color w:val="000000"/>
                <w:sz w:val="16"/>
              </w:rPr>
              <w:t>501 to 1,000</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961"/>
              <w:jc w:val="both"/>
            </w:pPr>
            <w:r>
              <w:rPr>
                <w:rFonts w:ascii="Times New Roman" w:hAnsi="Times New Roman"/>
                <w:b w:val="false"/>
                <w:i w:val="false"/>
                <w:color w:val="000000"/>
                <w:sz w:val="16"/>
              </w:rPr>
              <w:t>1,001 to 2,500</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25" w:hRule="atLeast"/>
        </w:trPr>
        <w:tc>
          <w:tcPr>
            <w:tcW w:w="6555" w:type="dxa"/>
            <w:tcBorders>
              <w:right w:val="single" w:color="000000" w:sz="8"/>
            </w:tcBorders>
            <w:tcMar>
              <w:top w:w="30" w:type="dxa"/>
              <w:left w:w="30" w:type="dxa"/>
              <w:bottom w:w="15" w:type="dxa"/>
              <w:right w:w="30" w:type="dxa"/>
            </w:tcMar>
            <w:vAlign w:val="top"/>
          </w:tcPr>
          <w:p>
            <w:pPr>
              <w:spacing w:before="0" w:after="0"/>
              <w:ind w:left="961"/>
              <w:jc w:val="both"/>
            </w:pPr>
            <w:r>
              <w:rPr>
                <w:rFonts w:ascii="Times New Roman" w:hAnsi="Times New Roman"/>
                <w:b w:val="false"/>
                <w:i w:val="false"/>
                <w:color w:val="000000"/>
                <w:sz w:val="16"/>
              </w:rPr>
              <w:t>2,501 to 3,300</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bl>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When more than one grab sample is required per day, the day’s samples cannot be taken at the same time. The sampling intervals must be a minimum of four-hour intervals. </w:t>
      </w:r>
    </w:p>
    <w:p>
      <w:pPr>
        <w:spacing w:before="0" w:after="0"/>
        <w:ind w:left="120"/>
        <w:jc w:val="both"/>
      </w:pPr>
      <w:r>
        <w:rPr>
          <w:rFonts w:ascii="Times New Roman" w:hAnsi="Times New Roman"/>
          <w:b w:val="false"/>
          <w:i w:val="false"/>
          <w:color w:val="000000"/>
          <w:sz w:val="22"/>
        </w:rPr>
        <w:t xml:space="preserve"> If at any time the disinfectant concentration falls below 0.3 mg/L free residual or 1.5 mg/L total residual chlorine (TRC) in a system using grab sampling in lieu of continuous monitoring, the system shall take a grab sample every four hours until the RDC is equal to or greater than 0.3 mg/L free residual or 1.5 mg/L TRC.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Residual in the system. The RDC must be measured at least daily in the distribution system. Residual disinfectant measurements that are required as part of the total coliform bacteria sample collection under </w:t>
      </w:r>
      <w:hyperlink r:id="rId170">
        <w:r>
          <w:rPr>
            <w:rStyle w:val="Hyperlink"/>
            <w:rFonts w:ascii="Times New Roman" w:hAnsi="Times New Roman"/>
            <w:b w:val="false"/>
            <w:i w:val="false"/>
            <w:color w:val="000000"/>
            <w:sz w:val="22"/>
          </w:rPr>
          <w:t>567—subparagraph 41.2(1)</w:t>
        </w:r>
      </w:hyperlink>
      <w:r>
        <w:rPr>
          <w:rFonts w:ascii="Times New Roman" w:hAnsi="Times New Roman"/>
          <w:b w:val="false"/>
          <w:i/>
          <w:color w:val="000000"/>
          <w:sz w:val="22"/>
        </w:rPr>
        <w:t>“c”</w:t>
      </w:r>
      <w:r>
        <w:rPr>
          <w:rFonts w:ascii="Times New Roman" w:hAnsi="Times New Roman"/>
          <w:b w:val="false"/>
          <w:i w:val="false"/>
          <w:color w:val="000000"/>
          <w:sz w:val="22"/>
        </w:rPr>
        <w:t xml:space="preserve">(7) shall be used to satisfy this requirement on the day(s) when a bacteria sample(s) is collected. The department may allow a PWS that uses both a GW source and a SW source or uses an IGW to take residual disinfectant samples at points other than the total coliform sampling points, if these points are included as a part of the coliform sample site plan meeting the requirements of </w:t>
      </w:r>
      <w:hyperlink r:id="rId171">
        <w:r>
          <w:rPr>
            <w:rStyle w:val="Hyperlink"/>
            <w:rFonts w:ascii="Times New Roman" w:hAnsi="Times New Roman"/>
            <w:b w:val="false"/>
            <w:i w:val="false"/>
            <w:color w:val="000000"/>
            <w:sz w:val="22"/>
          </w:rPr>
          <w:t>567—paragraph 41.2(1)</w:t>
        </w:r>
      </w:hyperlink>
      <w:r>
        <w:rPr>
          <w:rFonts w:ascii="Times New Roman" w:hAnsi="Times New Roman"/>
          <w:b w:val="false"/>
          <w:i/>
          <w:color w:val="000000"/>
          <w:sz w:val="22"/>
        </w:rPr>
        <w:t>“c”</w:t>
      </w:r>
      <w:r>
        <w:rPr>
          <w:rFonts w:ascii="Times New Roman" w:hAnsi="Times New Roman"/>
          <w:b w:val="false"/>
          <w:i w:val="false"/>
          <w:color w:val="000000"/>
          <w:sz w:val="22"/>
        </w:rPr>
        <w:t xml:space="preserve">(1)“1” and if the department determines that such points are representative of treated (disinfected) water quality within the distribution system. HPC may be measured in lieu of RDC, using the analytical methods in </w:t>
      </w:r>
      <w:hyperlink r:id="rId172">
        <w:r>
          <w:rPr>
            <w:rStyle w:val="Hyperlink"/>
            <w:rFonts w:ascii="Times New Roman" w:hAnsi="Times New Roman"/>
            <w:b w:val="false"/>
            <w:i w:val="false"/>
            <w:color w:val="000000"/>
            <w:sz w:val="22"/>
          </w:rPr>
          <w:t>567—paragraph 41.2(2)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time from sample collection to initiation of analysis shall not exceed eight hours. All HPC samples must be kept below 10 degrees Celsius during laboratory transit, and must be analyzed by a  laboratory certified in accordance with </w:t>
      </w:r>
      <w:hyperlink r:id="rId173">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43.5(5)</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 xml:space="preserve">PWSs shall report the results of routine monitoring required to demonstrate compliance with rule </w:t>
      </w:r>
      <w:hyperlink r:id="rId174">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(455B) and TT violations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Waterborne disease outbreak. </w:t>
      </w:r>
      <w:r>
        <w:rPr>
          <w:rFonts w:ascii="Times New Roman" w:hAnsi="Times New Roman"/>
          <w:b w:val="false"/>
          <w:i w:val="false"/>
          <w:color w:val="000000"/>
          <w:sz w:val="22"/>
        </w:rPr>
        <w:t>Each system, upon discovering that a waterborne disease outbreak potentially attributable to that system has occurred, must report that occurrence to the department as soon as possible, but no later than by the end of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Turbidity exceeds 5 NTU. </w:t>
      </w:r>
      <w:r>
        <w:rPr>
          <w:rFonts w:ascii="Times New Roman" w:hAnsi="Times New Roman"/>
          <w:b w:val="false"/>
          <w:i w:val="false"/>
          <w:color w:val="000000"/>
          <w:sz w:val="22"/>
        </w:rPr>
        <w:t xml:space="preserve">If at any time the turbidity exceeds 5 NTU, the system must inform the department as soon as possible, but no later than 24 hours after the exceedance is known, in accordance with the PN requirements in </w:t>
      </w:r>
      <w:hyperlink r:id="rId175">
        <w:r>
          <w:rPr>
            <w:rStyle w:val="Hyperlink"/>
            <w:rFonts w:ascii="Times New Roman" w:hAnsi="Times New Roman"/>
            <w:b w:val="false"/>
            <w:i w:val="false"/>
            <w:color w:val="000000"/>
            <w:sz w:val="22"/>
          </w:rPr>
          <w:t>567—subparagraph 40.5(3)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entering distribution system below 0.3 mg/L free residual chlorine or 1.5 mg/L total residual chlorine (TRC). </w:t>
      </w:r>
      <w:r>
        <w:rPr>
          <w:rFonts w:ascii="Times New Roman" w:hAnsi="Times New Roman"/>
          <w:b w:val="false"/>
          <w:i w:val="false"/>
          <w:color w:val="000000"/>
          <w:sz w:val="22"/>
        </w:rPr>
        <w:t>If at any time the residual falls below 0.3 mg/L free residual chlorine or 1.5 mg/L TRC in the water entering the distribution system, the system must notify the department as soon as possible, but no later than by the end of the next business day. The system also must notify the department by the end of the next business day whether or not the residual was restored to at least 0.3 mg/L free residual chlorine or 1.5 mg/L TRC within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w:t>
      </w:r>
      <w:r>
        <w:rPr>
          <w:rFonts w:ascii="Times New Roman" w:hAnsi="Times New Roman"/>
          <w:b w:val="false"/>
          <w:i w:val="false"/>
          <w:color w:val="000000"/>
          <w:sz w:val="22"/>
        </w:rPr>
        <w:t xml:space="preserve">Routine monitoring results shall be provided as part of the MORs in accordance with rule </w:t>
      </w:r>
      <w:hyperlink r:id="rId176">
        <w:r>
          <w:rPr>
            <w:rStyle w:val="Hyperlink"/>
            <w:rFonts w:ascii="Times New Roman" w:hAnsi="Times New Roman"/>
            <w:b w:val="false"/>
            <w:i w:val="false"/>
            <w:color w:val="000000"/>
            <w:sz w:val="22"/>
          </w:rPr>
          <w:t>567—40.3</w:t>
        </w:r>
      </w:hyperlink>
      <w:r>
        <w:rPr>
          <w:rFonts w:ascii="Times New Roman" w:hAnsi="Times New Roman"/>
          <w:b w:val="false"/>
          <w:i w:val="false"/>
          <w:color w:val="000000"/>
          <w:sz w:val="22"/>
        </w:rPr>
        <w:t xml:space="preserve">(455B) and </w:t>
      </w:r>
      <w:hyperlink r:id="rId177">
        <w:r>
          <w:rPr>
            <w:rStyle w:val="Hyperlink"/>
            <w:rFonts w:ascii="Times New Roman" w:hAnsi="Times New Roman"/>
            <w:b w:val="false"/>
            <w:i w:val="false"/>
            <w:color w:val="000000"/>
            <w:sz w:val="22"/>
          </w:rPr>
          <w:t>567—subrule 40.8(3)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Total inactivation ratio below 1.0. </w:t>
      </w:r>
      <w:r>
        <w:rPr>
          <w:rFonts w:ascii="Times New Roman" w:hAnsi="Times New Roman"/>
          <w:b w:val="false"/>
          <w:i w:val="false"/>
          <w:color w:val="000000"/>
          <w:sz w:val="22"/>
        </w:rPr>
        <w:t>If the system’s total inactivation ratio for the day is below 1.0, the system must notify the department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43.5(6)</w:t>
      </w:r>
      <w:r>
        <w:rPr>
          <w:rFonts w:ascii="Times New Roman" w:hAnsi="Times New Roman"/>
          <w:b w:val="false"/>
          <w:i w:val="false"/>
          <w:color w:val="000000"/>
          <w:sz w:val="22"/>
        </w:rPr>
        <w:t> </w:t>
      </w:r>
      <w:r>
        <w:rPr>
          <w:rFonts w:ascii="Times New Roman" w:hAnsi="Times New Roman"/>
          <w:b w:val="false"/>
          <w:i/>
          <w:color w:val="000000"/>
          <w:sz w:val="22"/>
        </w:rPr>
        <w:t xml:space="preserve">Filter backwash recycle provisions. </w:t>
      </w:r>
      <w:r>
        <w:rPr>
          <w:rFonts w:ascii="Times New Roman" w:hAnsi="Times New Roman"/>
          <w:b w:val="false"/>
          <w:i w:val="false"/>
          <w:color w:val="000000"/>
          <w:sz w:val="22"/>
        </w:rPr>
        <w:t>All SW or IGW systems that employ conventional filtration or direct filtration treatment and that recycle spent filter backwash water, thickener supernatant, or liquids from dewatering processes must comply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system must notify the department in writing by December 8, 2003, if it recycles spent filter backwash water, thickener supernatant, or liquids from dewatering processes. This notification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plan schematic showing the origin of all recycled flows (including, but not limited to, spent filter backwash water, thickener supernatant, and liquids from dewatering processes), the hydraulic conveyance used to transport them, and the location where they are reintroduced back into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gallons per minute (GPM), the typical recycle flow, highest observed plant flow experience in the previous year, design flow for the treatment plant, minimum plant rate during which the filter backwash will be recycled, and the department-approved operating capacity for the plant where the department has made such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(TT) requirement. </w:t>
      </w:r>
      <w:r>
        <w:rPr>
          <w:rFonts w:ascii="Times New Roman" w:hAnsi="Times New Roman"/>
          <w:b w:val="false"/>
          <w:i w:val="false"/>
          <w:color w:val="000000"/>
          <w:sz w:val="22"/>
        </w:rPr>
        <w:t>Any system that recycles spent filter backwash water, thickener supernatant, or liquids from dewatering processes must return these flows through the processes of its existing conventional or direct filtration system or at an alternate location approved by the department by June 8, 2004. However, if capital improvements are necessary to modify the recycle location to meet this requirement, all capital improvements must be completed no later than June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The system must collect and retain on file the recycle flow information specified below for department review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recycle notification and information submitted to the department under </w:t>
      </w:r>
      <w:hyperlink r:id="rId178">
        <w:r>
          <w:rPr>
            <w:rStyle w:val="Hyperlink"/>
            <w:rFonts w:ascii="Times New Roman" w:hAnsi="Times New Roman"/>
            <w:b w:val="false"/>
            <w:i w:val="false"/>
            <w:color w:val="000000"/>
            <w:sz w:val="22"/>
          </w:rPr>
          <w:t>43.5(6)</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all recycle flows and their return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average and maximum backwash flow rate through the filters and the average and maximum duration of the filter backwash process in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typical filter run length and a written summary of how filter run length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type of treatment provided for the recycle flow;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Data on the physical dimensions of the equalization and treatment units, typical and maximum hydraulic loading rates, type of treatment chemicals used including average dose and frequency of use, and frequency of solids removal,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567—43.6</w:t>
      </w:r>
      <w:r>
        <w:rPr>
          <w:rFonts w:ascii="Times New Roman" w:hAnsi="Times New Roman"/>
          <w:b/>
          <w:i w:val="false"/>
          <w:color w:val="000000"/>
          <w:sz w:val="22"/>
        </w:rPr>
        <w:t xml:space="preserve">(455B) </w:t>
      </w:r>
      <w:r>
        <w:rPr>
          <w:rFonts w:ascii="Times New Roman" w:hAnsi="Times New Roman"/>
          <w:b/>
          <w:i w:val="false"/>
          <w:color w:val="000000"/>
          <w:sz w:val="22"/>
        </w:rPr>
        <w:t xml:space="preserve">Residual disinfectant and disinfection byproduct (DBP)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CWSs and NTNCs. This rule establishes criteria under which CWSs and NTNCs that add a chemical disinfectant to the water in any part of the drinking water treatment process or that provide water that contains a chemical disinfectant must modify their practices to meet the MCLs in </w:t>
      </w:r>
      <w:hyperlink r:id="rId179">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 xml:space="preserve">(455B), the MRDLs in this subrule, and the TT requirements for DBP precursors in </w:t>
      </w:r>
      <w:hyperlink r:id="rId180">
        <w:r>
          <w:rPr>
            <w:rStyle w:val="Hyperlink"/>
            <w:rFonts w:ascii="Times New Roman" w:hAnsi="Times New Roman"/>
            <w:b w:val="false"/>
            <w:i w:val="false"/>
            <w:color w:val="000000"/>
            <w:sz w:val="22"/>
          </w:rPr>
          <w:t>43.6(3)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TNC systems with chlorine dioxide disinfection. This rule establishes criteria under which TNCs  that use chlorine dioxide as a disinfectant or oxidant must modify their practices to meet the chlorine dioxide MRDL in </w:t>
      </w:r>
      <w:hyperlink r:id="rId181">
        <w:r>
          <w:rPr>
            <w:rStyle w:val="Hyperlink"/>
            <w:rFonts w:ascii="Times New Roman" w:hAnsi="Times New Roman"/>
            <w:b w:val="false"/>
            <w:i w:val="false"/>
            <w:color w:val="000000"/>
            <w:sz w:val="22"/>
          </w:rPr>
          <w:t>43.6(1)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dates. Compliance dates for this rule are based upon the source water type and the population served. Systems must comply with this rule as follows,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SW and IGW CWSs and NTNCs. CWSs and NTNCs using SW or IGW in whole or in part and that serve 10,000 or more persons must comply with this rule. CWSs and NTNCs using SW or IGW that serve fewer than 10,000 persons must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GW CWSs and NTNCs. CWSs and NTNCs using only GW not under the direct influence of SW must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TNC systems using chlorine dioxide. TNC systems serving over 10,000 persons and using SW or IGW and using chlorine dioxide as a disinfectant or oxidant must comply with THE chlorine dioxide requirements in this rule. TNC systems serving 10,000 persons or less, regardless of source water type, and using chlorine dioxide as a disinfectant or oxidant must comply with the chlorine dioxide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Residual disinfectant control. Notwithstanding the MRDLs in this rule, systems may increase residual disinfectant levels of chlorine or chloramines (but not chlorine dioxide) in the distribution system to a level and for a time necessary to protect public health or to address specific microbiological contamination problems caused by circumstances including, but not limited to, distribution line breaks, storm run-off events, source water contamination events, or cross-connection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Consecutive systems. Consecutive systems that provide water containing a disinfectant or oxidant must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Systems with multiple water sources. Systems with water sources that are used independently from each other, are not from the same source as determined by the department, or do not go through identical treatment processes must monitor for the applicable disinfectants or oxidants and DBPs during operation of each source. Systems must comply with this rule during the use of each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MRDLs. </w:t>
      </w:r>
      <w:r>
        <w:rPr>
          <w:rFonts w:ascii="Times New Roman" w:hAnsi="Times New Roman"/>
          <w:b w:val="false"/>
          <w:i w:val="false"/>
          <w:color w:val="000000"/>
          <w:sz w:val="22"/>
        </w:rPr>
        <w:t>The MRDLs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088"/>
        <w:gridCol w:w="5102"/>
      </w:tblGrid>
      <w:tr>
        <w:trPr>
          <w:trHeight w:val="240" w:hRule="atLeast"/>
        </w:trPr>
        <w:tc>
          <w:tcPr>
            <w:tcW w:w="608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Residual Disinfectant</w:t>
            </w:r>
          </w:p>
        </w:tc>
        <w:tc>
          <w:tcPr>
            <w:tcW w:w="510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MRDL (mg/L)</w:t>
            </w:r>
          </w:p>
        </w:tc>
      </w:tr>
      <w:tr>
        <w:trPr>
          <w:trHeight w:val="300" w:hRule="atLeast"/>
        </w:trPr>
        <w:tc>
          <w:tcPr>
            <w:tcW w:w="60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Chloramines</w:t>
            </w:r>
          </w:p>
        </w:tc>
        <w:tc>
          <w:tcPr>
            <w:tcW w:w="5102"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4.0 as Cl</w:t>
            </w:r>
            <w:r>
              <w:rPr>
                <w:rFonts w:ascii="Times New Roman" w:hAnsi="Times New Roman"/>
                <w:b w:val="false"/>
                <w:i w:val="false"/>
                <w:color w:val="000000"/>
                <w:sz w:val="18"/>
                <w:vertAlign w:val="subscript"/>
              </w:rPr>
              <w:t>2</w:t>
            </w:r>
          </w:p>
        </w:tc>
      </w:tr>
      <w:tr>
        <w:trPr>
          <w:trHeight w:val="285" w:hRule="atLeast"/>
        </w:trPr>
        <w:tc>
          <w:tcPr>
            <w:tcW w:w="60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Chlorine</w:t>
            </w:r>
          </w:p>
        </w:tc>
        <w:tc>
          <w:tcPr>
            <w:tcW w:w="5102"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4.0 as Cl</w:t>
            </w:r>
            <w:r>
              <w:rPr>
                <w:rFonts w:ascii="Times New Roman" w:hAnsi="Times New Roman"/>
                <w:b w:val="false"/>
                <w:i w:val="false"/>
                <w:color w:val="000000"/>
                <w:sz w:val="18"/>
                <w:vertAlign w:val="subscript"/>
              </w:rPr>
              <w:t>2</w:t>
            </w:r>
          </w:p>
        </w:tc>
      </w:tr>
      <w:tr>
        <w:trPr>
          <w:trHeight w:val="285" w:hRule="atLeast"/>
        </w:trPr>
        <w:tc>
          <w:tcPr>
            <w:tcW w:w="608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Chlorine dioxide</w:t>
            </w:r>
          </w:p>
        </w:tc>
        <w:tc>
          <w:tcPr>
            <w:tcW w:w="5102"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0.8 as ClO</w:t>
            </w:r>
            <w:r>
              <w:rPr>
                <w:rFonts w:ascii="Times New Roman" w:hAnsi="Times New Roman"/>
                <w:b w:val="false"/>
                <w:i w:val="false"/>
                <w:color w:val="000000"/>
                <w:sz w:val="18"/>
                <w:vertAlign w:val="subscript"/>
              </w:rPr>
              <w:t>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take all samples during normal operating conditions. If a system does not use the disinfectant or oxidant on a daily basis, it must conduct the required daily monitoring each day the disinfectant or oxidant is used, and any required monthly monitoring during those months in which the disinfectant or oxidant is used during any portion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monitor in accordance with the monitoring plan required under </w:t>
      </w:r>
      <w:hyperlink r:id="rId182">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(1)“5” is a monitoring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monitor is a violation for the entire period covered by the annual average where compliance is based on an RAA of monthly or quarterly samples or averages. The system’s failure to monitor makes it impossible to determine MRDL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may use only data collected under this rule or of </w:t>
      </w:r>
      <w:hyperlink r:id="rId183">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(455B) to qualify for reduced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required to monitor under this rule or </w:t>
      </w:r>
      <w:hyperlink r:id="rId184">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 xml:space="preserve">(455B) must develop and implement a monitoring plan, in accordance with </w:t>
      </w:r>
      <w:hyperlink r:id="rId185">
        <w:r>
          <w:rPr>
            <w:rStyle w:val="Hyperlink"/>
            <w:rFonts w:ascii="Times New Roman" w:hAnsi="Times New Roman"/>
            <w:b w:val="false"/>
            <w:i w:val="false"/>
            <w:color w:val="000000"/>
            <w:sz w:val="22"/>
          </w:rPr>
          <w:t>567—paragraph 41.6(1)</w:t>
        </w:r>
      </w:hyperlink>
      <w:r>
        <w:rPr>
          <w:rFonts w:ascii="Times New Roman" w:hAnsi="Times New Roman"/>
          <w:b w:val="false"/>
          <w:i/>
          <w:color w:val="000000"/>
          <w:sz w:val="22"/>
        </w:rPr>
        <w:t>“c”</w:t>
      </w:r>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Chlorine and chloramines.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monitoring. CWSs and NTNCs using chlorine or chloramines must measure the residual disinfectant level at the same points in the distribution system and at the same time as total coliforms are sampled, as specified in </w:t>
      </w:r>
      <w:hyperlink r:id="rId186">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SW and IGW systems may use the results of RDC sampling conducted under </w:t>
      </w:r>
      <w:hyperlink r:id="rId187">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(2)“2,” in lieu of taking separate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Reduced monitoring. Chlorine and chloramine monitoring may not be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Chlorine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monitoring. Any PWSs using chlorine dioxide for disinfection or oxidation must take daily samples at the SEP.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monitoring. On each day following a routine daily sample monitoring result that exceeds the MRDL, a system is required to take three chlorine dioxide distribution system samples at the locations required below, in addition to the routine daily sample required at the SEP.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chlorine dioxide or chloramines are used to maintain a residual disinfectant in the distribution system, or if chlorine is used to maintain a residual disinfectant in the distribution system and there are no disinfection addition points after the SEP (i.e., no booster chlorination), a system must take three samples as close to the first customer as possible, at intervals of at least six hours.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chlorine is used to maintain a residual disinfectant in the distribution system and there are one or more disinfection addition points after the SEP (i.e., booster chlorination), a system must take one sample at each of the following locations: as close to the first customer as possible, in a location representative of average residence time, and as close to the end of the distribution system as possible (reflecting maximum residence time in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Reduced monitoring. Chlorine dioxide monitoring may not be reduced.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analytical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Analytical methods. Systems must measure RDCs for free chlorine, combined chlorine (chloramines), and chlorine dioxide by the methods listed in the following table:</w:t>
      </w:r>
    </w:p>
    <w:p>
      <w:pPr>
        <w:spacing w:before="60" w:after="0"/>
        <w:ind w:left="120"/>
        <w:jc w:val="center"/>
      </w:pPr>
      <w:r>
        <w:rPr>
          <w:rFonts w:ascii="Times New Roman" w:hAnsi="Times New Roman"/>
          <w:b/>
          <w:i w:val="false"/>
          <w:color w:val="000000"/>
          <w:sz w:val="22"/>
        </w:rPr>
        <w:t>Approved Methods for Residual Disinfectant Compliance Monitoring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5"/>
        <w:gridCol w:w="1729"/>
        <w:gridCol w:w="1958"/>
        <w:gridCol w:w="1382"/>
        <w:gridCol w:w="1382"/>
        <w:gridCol w:w="1382"/>
        <w:gridCol w:w="1382"/>
      </w:tblGrid>
      <w:tr>
        <w:trPr>
          <w:trHeight w:val="285" w:hRule="atLeast"/>
        </w:trPr>
        <w:tc>
          <w:tcPr>
            <w:tcW w:w="230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7"/>
              </w:rPr>
              <w:t>Methodology</w:t>
            </w:r>
          </w:p>
        </w:tc>
        <w:tc>
          <w:tcPr>
            <w:tcW w:w="172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7"/>
              </w:rPr>
              <w:t>SM</w:t>
            </w:r>
            <w:r>
              <w:rPr>
                <w:rFonts w:ascii="Times New Roman" w:hAnsi="Times New Roman"/>
                <w:b/>
                <w:i w:val="false"/>
                <w:color w:val="000000"/>
                <w:sz w:val="18"/>
                <w:vertAlign w:val="superscript"/>
              </w:rPr>
              <w:t>1</w:t>
            </w:r>
          </w:p>
        </w:tc>
        <w:tc>
          <w:tcPr>
            <w:tcW w:w="1958"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7"/>
              </w:rPr>
              <w:t>Other Method</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7"/>
              </w:rPr>
              <w:t>Residual measured</w:t>
            </w:r>
            <w:r>
              <w:rPr>
                <w:rFonts w:ascii="Times New Roman" w:hAnsi="Times New Roman"/>
                <w:b/>
                <w:i w:val="false"/>
                <w:color w:val="000000"/>
                <w:sz w:val="18"/>
                <w:vertAlign w:val="superscript"/>
              </w:rPr>
              <w:t>2</w:t>
            </w:r>
          </w:p>
        </w:tc>
      </w:tr>
      <w:tr>
        <w:trPr>
          <w:trHeight w:val="45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382" w:type="dxa"/>
            <w:tcBorders>
              <w:bottom w:val="doub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7"/>
              </w:rPr>
              <w:t>Free</w:t>
            </w:r>
          </w:p>
          <w:p>
            <w:pPr>
              <w:spacing w:before="0" w:after="0"/>
              <w:ind w:left="160"/>
              <w:jc w:val="center"/>
            </w:pPr>
            <w:r>
              <w:rPr>
                <w:rFonts w:ascii="Times New Roman" w:hAnsi="Times New Roman"/>
                <w:b/>
                <w:i w:val="false"/>
                <w:color w:val="000000"/>
                <w:sz w:val="17"/>
              </w:rPr>
              <w:t>Chlorine</w:t>
            </w:r>
          </w:p>
        </w:tc>
        <w:tc>
          <w:tcPr>
            <w:tcW w:w="1382"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7"/>
              </w:rPr>
              <w:t>Combined Chlorine</w:t>
            </w:r>
          </w:p>
        </w:tc>
        <w:tc>
          <w:tcPr>
            <w:tcW w:w="1382" w:type="dxa"/>
            <w:tcBorders>
              <w:bottom w:val="doub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7"/>
              </w:rPr>
              <w:t>Total</w:t>
            </w:r>
          </w:p>
          <w:p>
            <w:pPr>
              <w:spacing w:before="0" w:after="0"/>
              <w:ind w:left="160"/>
              <w:jc w:val="center"/>
            </w:pPr>
            <w:r>
              <w:rPr>
                <w:rFonts w:ascii="Times New Roman" w:hAnsi="Times New Roman"/>
                <w:b/>
                <w:i w:val="false"/>
                <w:color w:val="000000"/>
                <w:sz w:val="17"/>
              </w:rPr>
              <w:t>Chlorine</w:t>
            </w:r>
          </w:p>
        </w:tc>
        <w:tc>
          <w:tcPr>
            <w:tcW w:w="1382"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7"/>
              </w:rPr>
              <w:t>Chlorine Dioxide</w:t>
            </w:r>
          </w:p>
        </w:tc>
      </w:tr>
      <w:tr>
        <w:trPr>
          <w:trHeight w:val="480"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Amperometric Titration</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D</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7"/>
              </w:rPr>
              <w:t>ASTM: D 1253-86</w:t>
            </w:r>
            <w:r>
              <w:rPr>
                <w:rFonts w:ascii="Times New Roman" w:hAnsi="Times New Roman"/>
                <w:b w:val="false"/>
                <w:i w:val="false"/>
                <w:color w:val="000000"/>
                <w:sz w:val="18"/>
                <w:vertAlign w:val="superscript"/>
              </w:rPr>
              <w:t>3</w:t>
            </w:r>
            <w:r>
              <w:rPr>
                <w:rFonts w:ascii="Times New Roman" w:hAnsi="Times New Roman"/>
                <w:b w:val="false"/>
                <w:i w:val="false"/>
                <w:color w:val="000000"/>
                <w:sz w:val="17"/>
              </w:rPr>
              <w:t xml:space="preserve"> (96), 03, 08, 14</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Low Level Amperometric Titration</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E</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DPD Ferrous Titrimetric</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F</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65"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DPD Colorimetric</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G</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Hach Method 10260</w:t>
            </w:r>
            <w:r>
              <w:rPr>
                <w:rFonts w:ascii="Times New Roman" w:hAnsi="Times New Roman"/>
                <w:b w:val="false"/>
                <w:i w:val="false"/>
                <w:color w:val="000000"/>
                <w:sz w:val="18"/>
                <w:vertAlign w:val="superscript"/>
              </w:rPr>
              <w:t>6</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Syringaldazine (FACTS)</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H</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70"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Amperometric Sensor</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ChloroSense</w:t>
            </w:r>
            <w:r>
              <w:rPr>
                <w:rFonts w:ascii="Times New Roman" w:hAnsi="Times New Roman"/>
                <w:b w:val="false"/>
                <w:i w:val="false"/>
                <w:color w:val="000000"/>
                <w:sz w:val="18"/>
                <w:vertAlign w:val="superscript"/>
              </w:rPr>
              <w:t>5</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Online Chlorine Analyzer</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EPA 334.04</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65"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Indophenol Colorimetric</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Hach Method 10241</w:t>
            </w:r>
            <w:r>
              <w:rPr>
                <w:rFonts w:ascii="Times New Roman" w:hAnsi="Times New Roman"/>
                <w:b w:val="false"/>
                <w:i w:val="false"/>
                <w:color w:val="000000"/>
                <w:sz w:val="18"/>
                <w:vertAlign w:val="superscript"/>
              </w:rPr>
              <w:t>8</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Iodometric Electrode</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 I</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300"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DPD</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7"/>
              </w:rPr>
              <w:t>D</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r>
      <w:tr>
        <w:trPr>
          <w:trHeight w:val="435"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Amperometric Method II</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 4500-ClO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7"/>
              </w:rPr>
              <w:t>E</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r>
      <w:tr>
        <w:trPr>
          <w:trHeight w:val="435" w:hRule="atLeast"/>
        </w:trPr>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Lissamine Green Spectrophotometric</w:t>
            </w:r>
          </w:p>
        </w:tc>
        <w:tc>
          <w:tcPr>
            <w:tcW w:w="17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7"/>
              </w:rPr>
              <w:t>EPA 327.0 Rev.</w:t>
            </w:r>
            <w:r>
              <w:rPr>
                <w:rFonts w:ascii="Times New Roman" w:hAnsi="Times New Roman"/>
                <w:b w:val="false"/>
                <w:i w:val="false"/>
                <w:color w:val="000000"/>
                <w:sz w:val="17"/>
              </w:rPr>
              <w:t> </w:t>
            </w:r>
          </w:p>
          <w:p>
            <w:pPr>
              <w:spacing w:before="0" w:after="0"/>
              <w:ind w:left="0"/>
              <w:jc w:val="left"/>
            </w:pPr>
            <w:r>
              <w:rPr>
                <w:rFonts w:ascii="Times New Roman" w:hAnsi="Times New Roman"/>
                <w:b w:val="false"/>
                <w:i w:val="false"/>
                <w:color w:val="000000"/>
                <w:sz w:val="17"/>
              </w:rPr>
              <w:t>1.1</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r>
      <w:tr>
        <w:trPr>
          <w:trHeight w:val="270" w:hRule="atLeast"/>
        </w:trPr>
        <w:tc>
          <w:tcPr>
            <w:tcW w:w="2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Amperometric Sensor</w:t>
            </w:r>
          </w:p>
        </w:tc>
        <w:tc>
          <w:tcPr>
            <w:tcW w:w="172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9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ChlordioX Plus</w:t>
            </w:r>
            <w:r>
              <w:rPr>
                <w:rFonts w:ascii="Times New Roman" w:hAnsi="Times New Roman"/>
                <w:b w:val="false"/>
                <w:i w:val="false"/>
                <w:color w:val="000000"/>
                <w:sz w:val="18"/>
                <w:vertAlign w:val="superscript"/>
              </w:rPr>
              <w:t>7</w:t>
            </w:r>
          </w:p>
        </w:tc>
        <w:tc>
          <w:tcPr>
            <w:tcW w:w="13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w:t>
            </w:r>
          </w:p>
        </w:tc>
      </w:tr>
    </w:tbl>
    <w:p>
      <w:pPr>
        <w:spacing w:before="0" w:after="0"/>
        <w:ind w:left="120"/>
        <w:jc w:val="both"/>
      </w:pPr>
      <w:r>
        <w:rPr>
          <w:rFonts w:ascii="Times New Roman" w:hAnsi="Times New Roman"/>
          <w:b w:val="false"/>
          <w:i w:val="false"/>
          <w:color w:val="000000"/>
          <w:sz w:val="16"/>
        </w:rPr>
        <w:t>The procedures shall be done in accordance with the documents listed below. The incorporation by reference of the following documents was approved by the Director of the Federal Register on February 16, 1999, in accordance with 5 U.S.C. 552(a) and 1 CFR Part 51. The document sources are listed below, and further document information is available from the Safe Drinking Water Hotline, 800.426.4791. Documents may be inspected at EPA’s Drinking Water Docket; or at the Office of Federal Register.</w:t>
      </w:r>
    </w:p>
    <w:p>
      <w:pPr>
        <w:spacing w:before="0" w:after="0"/>
        <w:ind w:left="120"/>
        <w:jc w:val="both"/>
      </w:pPr>
      <w:r>
        <w:rPr>
          <w:rFonts w:ascii="Times New Roman" w:hAnsi="Times New Roman"/>
          <w:b w:val="false"/>
          <w:i w:val="false"/>
          <w:color w:val="000000"/>
          <w:sz w:val="16"/>
        </w:rPr>
        <w:t>The following method is available from the NTIS: “Determination of Chlorine Dioxide and Chlorite Ion in Drinking Water Using Lissamine Green B and Horseradish Peroxidase with Detection by Visible Spectrophotometry, Revision 1.1,” EPA, May 2005, EPA 815-R-05-008.</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SM, 19th  (1995), 20th (1998), 21st (2005), 22nd (2012), and 23rd (2017) editions. Methods: 4500-Cl D, 4500-Cl E, 4500-Cl F, 4500-Cl G, 4500-Cl H, 4500-Cl I, 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 Only the 19th and 20th editions may be used for the chlorine dioxide Method 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X indicates method is approved for measuring the specified residual disinfectant. Free chlorine or total chlorine may be measured for demonstrating compliance with the chlorine MRDL, and combined chlorine or total chlorine may be measured for demonstrating compliance with the chloramine MRDL.</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ASTM, Volume 11.01, 1996, Method D 1253-86.</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EPA Method 334.0, “Determination of Residual Chlorine in Drinking Water Using an On-Line Chlorine Analyzer,” September 2009, EPA 815-B-09-013, </w:t>
      </w:r>
      <w:hyperlink r:id="rId188">
        <w:r>
          <w:rPr>
            <w:rStyle w:val="Hyperlink"/>
            <w:rFonts w:ascii="Times New Roman" w:hAnsi="Times New Roman"/>
            <w:b w:val="false"/>
            <w:i w:val="false"/>
            <w:color w:val="000000"/>
            <w:sz w:val="16"/>
            <w:u w:val="single"/>
          </w:rPr>
          <w:t>nepis.epa.gov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ChloroSense, “Measurement of Free and Total Chlorine in Drinking Water by Palintest ChloroSense,” September 2009, </w:t>
      </w:r>
      <w:hyperlink r:id="rId189">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Palintest Water Analysis Technologies, </w:t>
      </w:r>
      <w:hyperlink r:id="rId190">
        <w:r>
          <w:rPr>
            <w:rStyle w:val="Hyperlink"/>
            <w:rFonts w:ascii="Times New Roman" w:hAnsi="Times New Roman"/>
            <w:b w:val="false"/>
            <w:i w:val="false"/>
            <w:color w:val="000000"/>
            <w:sz w:val="16"/>
            <w:u w:val="single"/>
          </w:rPr>
          <w:t>www.palintest.com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Hach Method 10260, “Determination of Chlorinated Oxidants (Free and Total) in Water Using Disposable Planar Reagent-Filled Cuvettes and Mesofluidic Channel Colorimetry,” April 2013, </w:t>
      </w:r>
      <w:hyperlink r:id="rId191">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ChlordioX Plus. “Chlorine Dioxide and Chlorite in Drinking Water by Amperometry Using Disposable Sensors,” November 2013, Palintest Water Analysis Technologies, </w:t>
      </w:r>
      <w:hyperlink r:id="rId192">
        <w:r>
          <w:rPr>
            <w:rStyle w:val="Hyperlink"/>
            <w:rFonts w:ascii="Times New Roman" w:hAnsi="Times New Roman"/>
            <w:b w:val="false"/>
            <w:i w:val="false"/>
            <w:color w:val="000000"/>
            <w:sz w:val="16"/>
            <w:u w:val="single"/>
          </w:rPr>
          <w:t>www.palintest.com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Hach Company. “Hach Method 10241 – Spectrophotometric Measurement of Free Chlorine in Finished Drinking Water,” November 2015, Revision 1.2, </w:t>
      </w:r>
      <w:hyperlink r:id="rId193">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Test kit use. Systems may also measure RDCs for chlorine, chloramines, and chlorine dioxide by using DPD colorimetric test kits acceptable to the department. Free and total chlorine RDCs may be measured continuously by adapting a specified chlorine residual method for use with a continuous monitoring instrument provided the chemistry, accuracy, and precision remain the same. Continuous monitoring instruments must be verified with a grab sample measurement at least every seven days in accordance with </w:t>
      </w:r>
      <w:hyperlink r:id="rId194">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 requirement. RDC measurements shall be conducted by a Grade A through IV operator meeting the requirements of </w:t>
      </w:r>
      <w:hyperlink r:id="rId195">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direct supervision of such an operator, or a laboratory certified in accordance with </w:t>
      </w:r>
      <w:hyperlink r:id="rId196">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compliance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compliance is based on an RAA of monthly or quarterly samples or averages and the system’s failure to monitor makes it impossible to determine MRDL compliance for chlorine and chloramines, this failure to monitor will be treated as a monitoring violation for the entire period covered by the annual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samples taken and analyzed under this rule must be included in determining compliance, even if that number is greater than the minimum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Chlorine and chloramines.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must be based on an RAA, computed quarterly, of monthly averages of all samples collected by the system under </w:t>
      </w:r>
      <w:hyperlink r:id="rId197">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 xml:space="preserve">(2). If the average covering any consecutive four-quarter period exceeds the MRDL, the system is in violation of the MRDL and must provide PN pursuant to </w:t>
      </w:r>
      <w:hyperlink r:id="rId198">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 xml:space="preserve">(455B) and report to the department pursuant to </w:t>
      </w:r>
      <w:hyperlink r:id="rId199">
        <w:r>
          <w:rPr>
            <w:rStyle w:val="Hyperlink"/>
            <w:rFonts w:ascii="Times New Roman" w:hAnsi="Times New Roman"/>
            <w:b w:val="false"/>
            <w:i w:val="false"/>
            <w:color w:val="000000"/>
            <w:sz w:val="22"/>
          </w:rPr>
          <w:t>567—paragraph 40.8(3)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where systems switch between the use of chlorine and chloramines for residual disinfection during the year, compliance must be determined by including together all monitoring results of both chlorine and chloramines. Reports submitted pursuant to </w:t>
      </w:r>
      <w:hyperlink r:id="rId200">
        <w:r>
          <w:rPr>
            <w:rStyle w:val="Hyperlink"/>
            <w:rFonts w:ascii="Times New Roman" w:hAnsi="Times New Roman"/>
            <w:b w:val="false"/>
            <w:i w:val="false"/>
            <w:color w:val="000000"/>
            <w:sz w:val="22"/>
          </w:rPr>
          <w:t>567—paragraph 40.8(3)</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clearly indicate which residual disinfectant was analyzed for each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Chlorine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Acute violations. Compliance must be based on consecutive daily samples collected under </w:t>
      </w:r>
      <w:hyperlink r:id="rId201">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 xml:space="preserve">(3). If any daily sample taken at the SEP exceeds the MRDL, and on the following day one or more of the three samples taken in the distribution system exceed the MRDL, the system is in violation of the MRDL and shall take immediate corrective action to lower the level of chlorine dioxide below the MRDL. Failure to take samples in the distribution system the day following an exceedance of the chlorine dioxide MRDL at the SEP is also an MRDL violation. For either violation, the system must provide notice pursuant to the Tier 1 PN requirements in </w:t>
      </w:r>
      <w:hyperlink r:id="rId202">
        <w:r>
          <w:rPr>
            <w:rStyle w:val="Hyperlink"/>
            <w:rFonts w:ascii="Times New Roman" w:hAnsi="Times New Roman"/>
            <w:b w:val="false"/>
            <w:i w:val="false"/>
            <w:color w:val="000000"/>
            <w:sz w:val="22"/>
          </w:rPr>
          <w:t>567—subrule 40.5(2)</w:t>
        </w:r>
      </w:hyperlink>
      <w:r>
        <w:rPr>
          <w:rFonts w:ascii="Times New Roman" w:hAnsi="Times New Roman"/>
          <w:b w:val="false"/>
          <w:i w:val="false"/>
          <w:color w:val="000000"/>
          <w:sz w:val="22"/>
        </w:rPr>
        <w:t xml:space="preserve">, and report  to the department pursuant to </w:t>
      </w:r>
      <w:hyperlink r:id="rId203">
        <w:r>
          <w:rPr>
            <w:rStyle w:val="Hyperlink"/>
            <w:rFonts w:ascii="Times New Roman" w:hAnsi="Times New Roman"/>
            <w:b w:val="false"/>
            <w:i w:val="false"/>
            <w:color w:val="000000"/>
            <w:sz w:val="22"/>
          </w:rPr>
          <w:t>567—paragraph 40.8(3)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Nonacute violations. Compliance must be based on consecutive daily samples collected under </w:t>
      </w:r>
      <w:hyperlink r:id="rId204">
        <w:r>
          <w:rPr>
            <w:rStyle w:val="Hyperlink"/>
            <w:rFonts w:ascii="Times New Roman" w:hAnsi="Times New Roman"/>
            <w:b w:val="false"/>
            <w:i w:val="false"/>
            <w:color w:val="000000"/>
            <w:sz w:val="22"/>
          </w:rPr>
          <w:t>43.6(1)</w:t>
        </w:r>
      </w:hyperlink>
      <w:r>
        <w:rPr>
          <w:rFonts w:ascii="Times New Roman" w:hAnsi="Times New Roman"/>
          <w:b w:val="false"/>
          <w:i/>
          <w:color w:val="000000"/>
          <w:sz w:val="22"/>
        </w:rPr>
        <w:t>“c”</w:t>
      </w:r>
      <w:r>
        <w:rPr>
          <w:rFonts w:ascii="Times New Roman" w:hAnsi="Times New Roman"/>
          <w:b w:val="false"/>
          <w:i w:val="false"/>
          <w:color w:val="000000"/>
          <w:sz w:val="22"/>
        </w:rPr>
        <w:t xml:space="preserve">(3). If any two consecutive daily samples taken at the SEP exceed the MRDL and all distribution system samples taken are below the MRDL, the system is in violation of the MRDL and must take corrective action to lower the level of chlorine dioxide below the MRDL at the point of sampling. Failure to monitor at the SEP the day following an exceedance of the chlorine dioxide MRDL at the SEP is also an MRDL violation. For either violation, the system must provide notice pursuant to the Tier 2 PN requirements in </w:t>
      </w:r>
      <w:hyperlink r:id="rId205">
        <w:r>
          <w:rPr>
            <w:rStyle w:val="Hyperlink"/>
            <w:rFonts w:ascii="Times New Roman" w:hAnsi="Times New Roman"/>
            <w:b w:val="false"/>
            <w:i w:val="false"/>
            <w:color w:val="000000"/>
            <w:sz w:val="22"/>
          </w:rPr>
          <w:t>567—subrule 40.5(3)</w:t>
        </w:r>
      </w:hyperlink>
      <w:r>
        <w:rPr>
          <w:rFonts w:ascii="Times New Roman" w:hAnsi="Times New Roman"/>
          <w:b w:val="false"/>
          <w:i w:val="false"/>
          <w:color w:val="000000"/>
          <w:sz w:val="22"/>
        </w:rPr>
        <w:t xml:space="preserve">, and report to the department pursuant to </w:t>
      </w:r>
      <w:hyperlink r:id="rId206">
        <w:r>
          <w:rPr>
            <w:rStyle w:val="Hyperlink"/>
            <w:rFonts w:ascii="Times New Roman" w:hAnsi="Times New Roman"/>
            <w:b w:val="false"/>
            <w:i w:val="false"/>
            <w:color w:val="000000"/>
            <w:sz w:val="22"/>
          </w:rPr>
          <w:t>567—paragraph 40.8(3)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disinfectants. </w:t>
      </w:r>
      <w:r>
        <w:rPr>
          <w:rFonts w:ascii="Times New Roman" w:hAnsi="Times New Roman"/>
          <w:b w:val="false"/>
          <w:i w:val="false"/>
          <w:color w:val="000000"/>
          <w:sz w:val="22"/>
        </w:rPr>
        <w:t xml:space="preserve">Systems required to sample quarterly or more frequently must report to the department within ten days after the end of each quarter in which samples were collected, notwithstanding the PN provisions of rule </w:t>
      </w:r>
      <w:hyperlink r:id="rId207">
        <w:r>
          <w:rPr>
            <w:rStyle w:val="Hyperlink"/>
            <w:rFonts w:ascii="Times New Roman" w:hAnsi="Times New Roman"/>
            <w:b w:val="false"/>
            <w:i w:val="false"/>
            <w:color w:val="000000"/>
            <w:sz w:val="22"/>
          </w:rPr>
          <w:t>567—40.5(455B)</w:t>
        </w:r>
      </w:hyperlink>
      <w:r>
        <w:rPr>
          <w:rFonts w:ascii="Times New Roman" w:hAnsi="Times New Roman"/>
          <w:b w:val="false"/>
          <w:i w:val="false"/>
          <w:color w:val="000000"/>
          <w:sz w:val="22"/>
        </w:rPr>
        <w:t xml:space="preserve">. Systems required to sample less frequently than quarterly must report to the department within ten days after the end of each monitoring period in which samples were collected. Other disinfectant reporting requirements are in </w:t>
      </w:r>
      <w:hyperlink r:id="rId208">
        <w:r>
          <w:rPr>
            <w:rStyle w:val="Hyperlink"/>
            <w:rFonts w:ascii="Times New Roman" w:hAnsi="Times New Roman"/>
            <w:b w:val="false"/>
            <w:i w:val="false"/>
            <w:color w:val="000000"/>
            <w:sz w:val="22"/>
          </w:rPr>
          <w:t>567—subparagraph 40.8(3)</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color w:val="000000"/>
          <w:sz w:val="22"/>
        </w:rPr>
        <w:t xml:space="preserve">DBP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SW or IGW CWS and NTNC systems with conventional filtration. This rule establishes criteria under which SW or IGW CWSs and NTNCs using conventional filtration treatment that either add a chemical disinfectant to the water in any part of the drinking water treatment process, or that provide water that contains a chemical disinfectant, must modify their practices to meet the MCLs  in </w:t>
      </w:r>
      <w:hyperlink r:id="rId209">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(455B) and the MRDL and TT requirements for DBP precursors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CWSs and NTNCs that use ozone in their treatment process must comply with the bromide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dates for this rule are based upon the population served. CWS and NTNC systems using SW or IGW in whole or in part and that serve 10,000 or more persons must comply with this rule beginning January 1, 2002; while those systems serving fewer than 10,000 persons must comply with this rule beginning January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GW systems to monitor DBP precursors as a part of an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DBP precursor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total organic carbon (TOC)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SW and IGW systems using conventional filtration treatment must monitor each treatment plant for TOC no later than at the point of CFE turbidity monitoring and representative of the treated water. The systems must also monitor for TOC in the source water prior to any treatment, at the same time as monitoring for TOC in the treated water. These samples (source water and treated water) are referred to as paired samples. At the same time the source water sample is taken, all systems must monitor for alkalinity in the source water prior to any treatment. Systems must take one paired set of samples and one source water alkalinity sample per month per plant at a time representative of normal operating conditions and influent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SW and IGW systems that do not use conventional filtration treatment must conduct the TOC monitoring under </w:t>
      </w:r>
      <w:hyperlink r:id="rId210">
        <w:r>
          <w:rPr>
            <w:rStyle w:val="Hyperlink"/>
            <w:rFonts w:ascii="Times New Roman" w:hAnsi="Times New Roman"/>
            <w:b w:val="false"/>
            <w:i w:val="false"/>
            <w:color w:val="000000"/>
            <w:sz w:val="22"/>
          </w:rPr>
          <w:t>43.6(2)</w:t>
        </w:r>
      </w:hyperlink>
      <w:r>
        <w:rPr>
          <w:rFonts w:ascii="Times New Roman" w:hAnsi="Times New Roman"/>
          <w:b w:val="false"/>
          <w:i/>
          <w:color w:val="000000"/>
          <w:sz w:val="22"/>
        </w:rPr>
        <w:t>“b”</w:t>
      </w:r>
      <w:r>
        <w:rPr>
          <w:rFonts w:ascii="Times New Roman" w:hAnsi="Times New Roman"/>
          <w:b w:val="false"/>
          <w:i w:val="false"/>
          <w:color w:val="000000"/>
          <w:sz w:val="22"/>
        </w:rPr>
        <w:t xml:space="preserve">(1)“1” in order to qualify for reduced DBP monitoring for TTHM and HAA5 under </w:t>
      </w:r>
      <w:hyperlink r:id="rId211">
        <w:r>
          <w:rPr>
            <w:rStyle w:val="Hyperlink"/>
            <w:rFonts w:ascii="Times New Roman" w:hAnsi="Times New Roman"/>
            <w:b w:val="false"/>
            <w:i w:val="false"/>
            <w:color w:val="000000"/>
            <w:sz w:val="22"/>
          </w:rPr>
          <w:t>567—paragraph 41.6(1)</w:t>
        </w:r>
      </w:hyperlink>
      <w:r>
        <w:rPr>
          <w:rFonts w:ascii="Times New Roman" w:hAnsi="Times New Roman"/>
          <w:b w:val="false"/>
          <w:i/>
          <w:color w:val="000000"/>
          <w:sz w:val="22"/>
        </w:rPr>
        <w:t>“c”</w:t>
      </w:r>
      <w:r>
        <w:rPr>
          <w:rFonts w:ascii="Times New Roman" w:hAnsi="Times New Roman"/>
          <w:b w:val="false"/>
          <w:i w:val="false"/>
          <w:color w:val="000000"/>
          <w:sz w:val="22"/>
        </w:rPr>
        <w:t>(4)“2.” The source water TOC RAA must be less than or equal to 4.0 mg/L based on the most recent four quarters of monitoring on a continuing basis at each treatment plant to reduce or remain on reduced TTHM and HAA5 monitoring. Once qualified for reduced TTHM and HAA5 monitoring, a system may reduce source water TOC monitoring to quarterly TOC samples taken every 90 days at a location prior to any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Reduced monitoring. The department may allow SW and IGW systems with an average treated water TOC of less than 2.0 mg/L for two consecutive years, or less than 1.0 mg/L for one year, to reduce monitoring for both TOC and alkalinity to one set of paired samples and one source water alkalinity sample per plant per quarter. The system must revert to routine monitoring in the month following the quarter when the annual average treated water TOC is greater than or equal to 2.0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Bromide. The department may allow systems required to analyze for bromate to reduce bromate monitoring from monthly to once per quarter, if a system demonstrates that the average source water bromide concentration is less than 0.05 mg/L based upon representative monthly measurements for one year. A system must continue bromide monitoring to remain on reduced bromate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assign DBP precursor monitoring prior to the compliance dates in </w:t>
      </w:r>
      <w:hyperlink r:id="rId212">
        <w:r>
          <w:rPr>
            <w:rStyle w:val="Hyperlink"/>
            <w:rFonts w:ascii="Times New Roman" w:hAnsi="Times New Roman"/>
            <w:b w:val="false"/>
            <w:i w:val="false"/>
            <w:color w:val="000000"/>
            <w:sz w:val="22"/>
          </w:rPr>
          <w:t>43.6(2)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 part of an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DBP analytical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Analytical methods. DBP precursors must be analyzed using the following methods by a laboratory certified in accordance with </w:t>
      </w:r>
      <w:hyperlink r:id="rId213">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unless otherwise specified.</w:t>
      </w:r>
    </w:p>
    <w:p>
      <w:pPr>
        <w:spacing w:before="60" w:after="0"/>
        <w:ind w:left="120"/>
        <w:jc w:val="center"/>
      </w:pPr>
      <w:r>
        <w:rPr>
          <w:rFonts w:ascii="Times New Roman" w:hAnsi="Times New Roman"/>
          <w:b/>
          <w:i w:val="false"/>
          <w:color w:val="000000"/>
          <w:sz w:val="22"/>
        </w:rPr>
        <w:t>Approved Methods for DBP Precursor Monitoring</w:t>
      </w:r>
      <w:r>
        <w:rPr>
          <w:rFonts w:ascii="Times New Roman" w:hAnsi="Times New Roman"/>
          <w:b/>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1"/>
        <w:gridCol w:w="2880"/>
        <w:gridCol w:w="1728"/>
        <w:gridCol w:w="1382"/>
        <w:gridCol w:w="1382"/>
        <w:gridCol w:w="1267"/>
      </w:tblGrid>
      <w:tr>
        <w:trPr>
          <w:trHeight w:val="240" w:hRule="atLeast"/>
        </w:trPr>
        <w:tc>
          <w:tcPr>
            <w:tcW w:w="2881"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Analyte</w:t>
            </w:r>
          </w:p>
        </w:tc>
        <w:tc>
          <w:tcPr>
            <w:tcW w:w="2880"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Methodology</w:t>
            </w:r>
          </w:p>
        </w:tc>
        <w:tc>
          <w:tcPr>
            <w:tcW w:w="1728"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EPA</w:t>
            </w:r>
          </w:p>
        </w:tc>
        <w:tc>
          <w:tcPr>
            <w:tcW w:w="1382"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SM</w:t>
            </w:r>
          </w:p>
        </w:tc>
        <w:tc>
          <w:tcPr>
            <w:tcW w:w="1382"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ASTM</w:t>
            </w:r>
          </w:p>
        </w:tc>
        <w:tc>
          <w:tcPr>
            <w:tcW w:w="1267"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Other</w:t>
            </w:r>
          </w:p>
        </w:tc>
      </w:tr>
      <w:tr>
        <w:trPr>
          <w:trHeight w:val="270" w:hRule="atLeast"/>
        </w:trPr>
        <w:tc>
          <w:tcPr>
            <w:tcW w:w="28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Alkalinity</w:t>
            </w:r>
            <w:r>
              <w:rPr>
                <w:rFonts w:ascii="Times New Roman" w:hAnsi="Times New Roman"/>
                <w:b w:val="false"/>
                <w:i w:val="false"/>
                <w:color w:val="000000"/>
                <w:sz w:val="18"/>
                <w:vertAlign w:val="superscript"/>
              </w:rPr>
              <w:t>6</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Titrimetric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2320B</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D 1067-92B</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Electrometric titration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I-1030-85</w:t>
            </w:r>
          </w:p>
        </w:tc>
      </w:tr>
      <w:tr>
        <w:trPr>
          <w:trHeight w:val="58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Bromide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300.0, 300.1, 317.0 Rev. 2.0, 326.0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6581-00</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35" w:hRule="atLeast"/>
        </w:trPr>
        <w:tc>
          <w:tcPr>
            <w:tcW w:w="28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Dissolved Organic Carbon</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(DOC)</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temperature combustion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5310B or 5310B-00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8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Persulfate-UV or heated-persulfate oxidation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5310C or 5310C-00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Wet oxidation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1.1, 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5310D or 5310D-00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pH</w:t>
            </w:r>
            <w:r>
              <w:rPr>
                <w:rFonts w:ascii="Times New Roman" w:hAnsi="Times New Roman"/>
                <w:b w:val="false"/>
                <w:i w:val="false"/>
                <w:color w:val="000000"/>
                <w:sz w:val="18"/>
                <w:vertAlign w:val="superscript"/>
              </w:rPr>
              <w:t>3</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150.1, 150.2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4500-H</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-B</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D 1293-84</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6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SUVA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Calculation using DOC and UV</w:t>
            </w:r>
            <w:r>
              <w:rPr>
                <w:rFonts w:ascii="Times New Roman" w:hAnsi="Times New Roman"/>
                <w:b w:val="false"/>
                <w:i w:val="false"/>
                <w:color w:val="000000"/>
                <w:sz w:val="18"/>
                <w:vertAlign w:val="subscript"/>
              </w:rPr>
              <w:t>254</w:t>
            </w:r>
            <w:r>
              <w:rPr>
                <w:rFonts w:ascii="Times New Roman" w:hAnsi="Times New Roman"/>
                <w:b w:val="false"/>
                <w:i w:val="false"/>
                <w:color w:val="000000"/>
                <w:sz w:val="16"/>
              </w:rPr>
              <w:t xml:space="preserve"> data</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1.2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8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TOC</w:t>
            </w:r>
            <w:r>
              <w:rPr>
                <w:rFonts w:ascii="Times New Roman" w:hAnsi="Times New Roman"/>
                <w:b w:val="false"/>
                <w:i w:val="false"/>
                <w:color w:val="000000"/>
                <w:sz w:val="18"/>
                <w:vertAlign w:val="superscript"/>
              </w:rPr>
              <w:t>4</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temperature combustion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5310B or 5310B-00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615" w:hRule="atLeast"/>
        </w:trPr>
        <w:tc>
          <w:tcPr>
            <w:tcW w:w="28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Persulfate-UV or heated-persulfate oxidation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5310C or 5310C-00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Hach Method 10267</w:t>
            </w:r>
            <w:r>
              <w:rPr>
                <w:rFonts w:ascii="Times New Roman" w:hAnsi="Times New Roman"/>
                <w:b w:val="false"/>
                <w:i w:val="false"/>
                <w:color w:val="000000"/>
                <w:sz w:val="18"/>
                <w:vertAlign w:val="superscript"/>
              </w:rPr>
              <w:t>7</w:t>
            </w:r>
          </w:p>
        </w:tc>
      </w:tr>
      <w:tr>
        <w:trPr>
          <w:trHeight w:val="405" w:hRule="atLeast"/>
        </w:trPr>
        <w:tc>
          <w:tcPr>
            <w:tcW w:w="28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Wet oxidation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1.1, 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5310D or 5310D-00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61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Ozone oxidation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Hach Method 10261</w:t>
            </w:r>
            <w:r>
              <w:rPr>
                <w:rFonts w:ascii="Times New Roman" w:hAnsi="Times New Roman"/>
                <w:b w:val="false"/>
                <w:i w:val="false"/>
                <w:color w:val="000000"/>
                <w:sz w:val="18"/>
                <w:vertAlign w:val="superscript"/>
              </w:rPr>
              <w:t>8</w:t>
            </w:r>
          </w:p>
        </w:tc>
      </w:tr>
      <w:tr>
        <w:trPr>
          <w:trHeight w:val="40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UV Absorption at 254 nm</w:t>
            </w:r>
            <w:r>
              <w:rPr>
                <w:rFonts w:ascii="Times New Roman" w:hAnsi="Times New Roman"/>
                <w:b w:val="false"/>
                <w:i w:val="false"/>
                <w:color w:val="000000"/>
                <w:sz w:val="18"/>
                <w:vertAlign w:val="superscript"/>
              </w:rPr>
              <w:t>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Spectrophotometry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415.3 Rev.</w:t>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1.1, 415.3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5910B or 5910B-00, 11</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 procedures shall be done in accordance with the documents listed below. The incorporation by reference of the following documents was approved by the Director of the Federal Register on February 16, 1999, in accordance with 5 U.S.C. 552(a) and 1 CFR Part 51. The document sources are listed below, and further document information is available from the Safe Drinking Water Hotline, 800.426.4791. Documents may be inspected at EPA’s Drinking Water Docket or at the Office of Federal Register.</w:t>
      </w:r>
    </w:p>
    <w:p>
      <w:pPr>
        <w:spacing w:before="0" w:after="0"/>
        <w:ind w:left="120"/>
        <w:jc w:val="both"/>
      </w:pPr>
      <w:r>
        <w:rPr>
          <w:rFonts w:ascii="Times New Roman" w:hAnsi="Times New Roman"/>
          <w:b w:val="false"/>
          <w:i w:val="false"/>
          <w:color w:val="000000"/>
          <w:sz w:val="16"/>
        </w:rPr>
        <w:t>ASTM Methods: ASTM, Volume 11.01, 1996: Method D 1067-92B and Method D 1293-84. ASTM Volume 11.01, 2001 (or any year containing the cited version): Method D 6581-00.</w:t>
      </w:r>
    </w:p>
    <w:p>
      <w:pPr>
        <w:spacing w:before="0" w:after="0"/>
        <w:ind w:left="120"/>
        <w:jc w:val="both"/>
      </w:pPr>
      <w:r>
        <w:rPr>
          <w:rFonts w:ascii="Times New Roman" w:hAnsi="Times New Roman"/>
          <w:b w:val="false"/>
          <w:i w:val="false"/>
          <w:color w:val="000000"/>
          <w:sz w:val="16"/>
        </w:rPr>
        <w:t xml:space="preserve">The following methods are available from the NTIS: </w:t>
      </w:r>
    </w:p>
    <w:p>
      <w:pPr>
        <w:spacing w:before="0" w:after="0"/>
        <w:ind w:left="120"/>
        <w:jc w:val="both"/>
      </w:pPr>
      <w:r>
        <w:rPr>
          <w:rFonts w:ascii="Times New Roman" w:hAnsi="Times New Roman"/>
          <w:b w:val="false"/>
          <w:i w:val="false"/>
          <w:color w:val="000000"/>
          <w:sz w:val="16"/>
        </w:rPr>
        <w:t>“Determination of Inorganic Anions in Drinking Water by Ion Chromatography, Revision 1.0,” EPA-600/R-98/118, 1997 (NTIS, PB98-169196): Method 300.1.</w:t>
      </w:r>
    </w:p>
    <w:p>
      <w:pPr>
        <w:spacing w:before="0" w:after="0"/>
        <w:ind w:left="120"/>
        <w:jc w:val="both"/>
      </w:pPr>
      <w:r>
        <w:rPr>
          <w:rFonts w:ascii="Times New Roman" w:hAnsi="Times New Roman"/>
          <w:b w:val="false"/>
          <w:i w:val="false"/>
          <w:color w:val="000000"/>
          <w:sz w:val="16"/>
        </w:rPr>
        <w:t>Methods for Chemical Analysis of Water and Wastes, EPA-600/4-79-020, March 1983, (NTIS PB84-128677): Methods 150.1 and 150.2.</w:t>
      </w:r>
    </w:p>
    <w:p>
      <w:pPr>
        <w:spacing w:before="0" w:after="0"/>
        <w:ind w:left="120"/>
        <w:jc w:val="both"/>
      </w:pPr>
      <w:r>
        <w:rPr>
          <w:rFonts w:ascii="Times New Roman" w:hAnsi="Times New Roman"/>
          <w:b w:val="false"/>
          <w:i w:val="false"/>
          <w:color w:val="000000"/>
          <w:sz w:val="16"/>
        </w:rPr>
        <w:t>Methods for the Determination of Inorganic Substances in Environmental Samples, EPA-600/R-93/100, August 1993, (NTIS PB94-121811): Method 300.0.</w:t>
      </w:r>
    </w:p>
    <w:p>
      <w:pPr>
        <w:spacing w:before="0" w:after="0"/>
        <w:ind w:left="120"/>
        <w:jc w:val="both"/>
      </w:pPr>
      <w:r>
        <w:rPr>
          <w:rFonts w:ascii="Times New Roman" w:hAnsi="Times New Roman"/>
          <w:b w:val="false"/>
          <w:i w:val="false"/>
          <w:color w:val="000000"/>
          <w:sz w:val="16"/>
        </w:rPr>
        <w:t>“Determination of Inorganic Oxyhalide Disinfection By-Products in Drinking Water Using Ion Chromatography with the Addition of a Postcolumn Reagent for Trace Bromate Analysis, Revision 2.0,” July 2001, EPA 815-B-01-001: Method 317.0.</w:t>
      </w:r>
    </w:p>
    <w:p>
      <w:pPr>
        <w:spacing w:before="0" w:after="0"/>
        <w:ind w:left="120"/>
        <w:jc w:val="both"/>
      </w:pPr>
      <w:r>
        <w:rPr>
          <w:rFonts w:ascii="Times New Roman" w:hAnsi="Times New Roman"/>
          <w:b w:val="false"/>
          <w:i w:val="false"/>
          <w:color w:val="000000"/>
          <w:sz w:val="16"/>
        </w:rPr>
        <w:t>“Determination of Inorganic Oxyhalide Disinfection By-Products in Drinking Water Using Ion Chromatography Incorporating the Addition of a Suppressor Acidified Postcolumn Reagent for Trace Bromate Analysis, Revision 1.0,”, June 2002, EPA 815-R-03-007: Method 326.0.</w:t>
      </w:r>
    </w:p>
    <w:p>
      <w:pPr>
        <w:spacing w:before="0" w:after="0"/>
        <w:ind w:left="120"/>
        <w:jc w:val="both"/>
      </w:pPr>
      <w:r>
        <w:rPr>
          <w:rFonts w:ascii="Times New Roman" w:hAnsi="Times New Roman"/>
          <w:b w:val="false"/>
          <w:i w:val="false"/>
          <w:color w:val="000000"/>
          <w:sz w:val="16"/>
        </w:rPr>
        <w:t>“Determination of Total Organic Carbon and Specific UV Absorbance at 254 nm in Source Water and Drinking Water, Revision 1.1,” February 2005, EPA/600/R-05/055: Method 415.3 Revision 1.1.</w:t>
      </w:r>
    </w:p>
    <w:p>
      <w:pPr>
        <w:spacing w:before="0" w:after="0"/>
        <w:ind w:left="120"/>
        <w:jc w:val="both"/>
      </w:pPr>
      <w:r>
        <w:rPr>
          <w:rFonts w:ascii="Times New Roman" w:hAnsi="Times New Roman"/>
          <w:b w:val="false"/>
          <w:i w:val="false"/>
          <w:color w:val="000000"/>
          <w:sz w:val="16"/>
        </w:rPr>
        <w:t>“Determination of Total Organic Carbon and Specific UV Absorbance at 254 nm in Source Water and Drinking Water, Revision 1.2,” September 2009, EPA/600/R-09/122: Method 415.3 Revision 1.2.</w:t>
      </w:r>
    </w:p>
    <w:p>
      <w:pPr>
        <w:spacing w:before="0" w:after="0"/>
        <w:ind w:left="120"/>
        <w:jc w:val="both"/>
      </w:pPr>
      <w:r>
        <w:rPr>
          <w:rFonts w:ascii="Times New Roman" w:hAnsi="Times New Roman"/>
          <w:b w:val="false"/>
          <w:i w:val="false"/>
          <w:color w:val="000000"/>
          <w:sz w:val="16"/>
        </w:rPr>
        <w:t>SM 19th (1995), 21st (2005), 22nd (2012), and 23rd (2017) editions, Methods: 2320B (20th edition, 1998, is also accepted for this method), 4500-H+-B, and 5910B (22nd edition, 2012, is also accepted for this method). Supplement to the 19th (1996), 21st (2005), and 22nd (2012) editions, Methods: 5310B, 5310C, and 5310D. 23rd edition, Methods 5310B and 5310C.</w:t>
      </w:r>
    </w:p>
    <w:p>
      <w:pPr>
        <w:spacing w:before="0" w:after="0"/>
        <w:ind w:left="120"/>
        <w:jc w:val="both"/>
      </w:pPr>
      <w:r>
        <w:rPr>
          <w:rFonts w:ascii="Times New Roman" w:hAnsi="Times New Roman"/>
          <w:b w:val="false"/>
          <w:i w:val="false"/>
          <w:color w:val="000000"/>
          <w:sz w:val="16"/>
        </w:rPr>
        <w:t>For method numbers ending “-00”, the year in which each method was approved by the Standard Methods Committee is designated by the last two digits in the method number. The methods listed are the only online versions that are IBR-approved.</w:t>
      </w:r>
    </w:p>
    <w:p>
      <w:pPr>
        <w:spacing w:before="0" w:after="0"/>
        <w:ind w:left="120"/>
        <w:jc w:val="both"/>
      </w:pPr>
      <w:r>
        <w:rPr>
          <w:rFonts w:ascii="Times New Roman" w:hAnsi="Times New Roman"/>
          <w:b w:val="false"/>
          <w:i w:val="false"/>
          <w:color w:val="000000"/>
          <w:sz w:val="16"/>
        </w:rPr>
        <w:t>Method I-1030-85,Books and Open-File Reports Section, USGS, Federal Center, Box 25425, Denver, CO 80225-0425.</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DOC and UV</w:t>
      </w:r>
      <w:r>
        <w:rPr>
          <w:rFonts w:ascii="Times New Roman" w:hAnsi="Times New Roman"/>
          <w:b w:val="false"/>
          <w:i w:val="false"/>
          <w:color w:val="000000"/>
          <w:sz w:val="18"/>
          <w:vertAlign w:val="subscript"/>
        </w:rPr>
        <w:t>254</w:t>
      </w:r>
      <w:r>
        <w:rPr>
          <w:rFonts w:ascii="Times New Roman" w:hAnsi="Times New Roman"/>
          <w:b w:val="false"/>
          <w:i w:val="false"/>
          <w:color w:val="000000"/>
          <w:sz w:val="16"/>
        </w:rPr>
        <w:t xml:space="preserve"> samples used to determine a SUVA value must be taken at the same time and at the same location, prior to the addition of any disinfectant or oxidant by the system. Prior to analysis, filter DOC samples through a 0.45 μ pore-diameter filter, as soon as practical after sampling, not to exceed 48 hours. After filtration, DOC samples must be acidified to achieve pH less than or equal to 2 with minimal addition of the acid specified in the method or by the instrument manufacturer. Acidified DOC samples must be analyzed within 28 days. Remove inorganic carbon from the samples prior to analysis. Water passed through the filter prior to filtration of the sample must serve as the filtered blank. This filtered blank must be analyzed using procedures identical to those used for analysis of the samples and must meet a DOC concentration of &lt;0.5 mg/L.</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pH must be measured by a laboratory certified in accordance with </w:t>
      </w:r>
      <w:hyperlink r:id="rId214">
        <w:r>
          <w:rPr>
            <w:rStyle w:val="Hyperlink"/>
            <w:rFonts w:ascii="Times New Roman" w:hAnsi="Times New Roman"/>
            <w:b w:val="false"/>
            <w:i w:val="false"/>
            <w:color w:val="000000"/>
            <w:sz w:val="16"/>
          </w:rPr>
          <w:t>567—Chapter 83</w:t>
        </w:r>
      </w:hyperlink>
      <w:r>
        <w:rPr>
          <w:rFonts w:ascii="Times New Roman" w:hAnsi="Times New Roman"/>
          <w:b w:val="false"/>
          <w:i w:val="false"/>
          <w:color w:val="000000"/>
          <w:sz w:val="16"/>
        </w:rPr>
        <w:t xml:space="preserve">; a Grade II, III or IV operator meeting the requirements of </w:t>
      </w:r>
      <w:hyperlink r:id="rId215">
        <w:r>
          <w:rPr>
            <w:rStyle w:val="Hyperlink"/>
            <w:rFonts w:ascii="Times New Roman" w:hAnsi="Times New Roman"/>
            <w:b w:val="false"/>
            <w:i w:val="false"/>
            <w:color w:val="000000"/>
            <w:sz w:val="16"/>
          </w:rPr>
          <w:t>567—Chapter 81</w:t>
        </w:r>
      </w:hyperlink>
      <w:r>
        <w:rPr>
          <w:rFonts w:ascii="Times New Roman" w:hAnsi="Times New Roman"/>
          <w:b w:val="false"/>
          <w:i w:val="false"/>
          <w:color w:val="000000"/>
          <w:sz w:val="16"/>
        </w:rPr>
        <w:t>; or any person under the supervision of any such operator.</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Remove inorganic carbon from the TOC samples prior to analysis. TOC samples may not be filtered prior to analysis. TOC samples must be acidified at the time of sample collection to achieve a pH less than or equal to 2 with minimal addition of the acid specified in the method or by the instrument manufacturer. Acidified TOC samples must be analyzed within 28 days.</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DOC and UV</w:t>
      </w:r>
      <w:r>
        <w:rPr>
          <w:rFonts w:ascii="Times New Roman" w:hAnsi="Times New Roman"/>
          <w:b w:val="false"/>
          <w:i w:val="false"/>
          <w:color w:val="000000"/>
          <w:sz w:val="18"/>
          <w:vertAlign w:val="subscript"/>
        </w:rPr>
        <w:t>254</w:t>
      </w:r>
      <w:r>
        <w:rPr>
          <w:rFonts w:ascii="Times New Roman" w:hAnsi="Times New Roman"/>
          <w:b w:val="false"/>
          <w:i w:val="false"/>
          <w:color w:val="000000"/>
          <w:sz w:val="16"/>
        </w:rPr>
        <w:t xml:space="preserve"> samples used to determine a SUVA value must be taken at the same time and at the same location, prior to the addition of any disinfectant or oxidant by the system. Measure UV absorption at 253.7 nm (may be rounded off to 254 nm). Prior to analysis, filter UV</w:t>
      </w:r>
      <w:r>
        <w:rPr>
          <w:rFonts w:ascii="Times New Roman" w:hAnsi="Times New Roman"/>
          <w:b w:val="false"/>
          <w:i w:val="false"/>
          <w:color w:val="000000"/>
          <w:sz w:val="18"/>
          <w:vertAlign w:val="subscript"/>
        </w:rPr>
        <w:t>254</w:t>
      </w:r>
      <w:r>
        <w:rPr>
          <w:rFonts w:ascii="Times New Roman" w:hAnsi="Times New Roman"/>
          <w:b w:val="false"/>
          <w:i w:val="false"/>
          <w:color w:val="000000"/>
          <w:sz w:val="16"/>
        </w:rPr>
        <w:t xml:space="preserve"> samples through a 0.45 µ pore-diameter filter. The pH of UV</w:t>
      </w:r>
      <w:r>
        <w:rPr>
          <w:rFonts w:ascii="Times New Roman" w:hAnsi="Times New Roman"/>
          <w:b w:val="false"/>
          <w:i w:val="false"/>
          <w:color w:val="000000"/>
          <w:sz w:val="18"/>
          <w:vertAlign w:val="subscript"/>
        </w:rPr>
        <w:t>254</w:t>
      </w:r>
      <w:r>
        <w:rPr>
          <w:rFonts w:ascii="Times New Roman" w:hAnsi="Times New Roman"/>
          <w:b w:val="false"/>
          <w:i w:val="false"/>
          <w:color w:val="000000"/>
          <w:sz w:val="16"/>
        </w:rPr>
        <w:t xml:space="preserve"> samples may not be adjusted. Samples must be analyzed as soon as practical after sampling, not to exceed 48 hours.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Alkalinity must be measured by a laboratory certified in accordance with </w:t>
      </w:r>
      <w:hyperlink r:id="rId216">
        <w:r>
          <w:rPr>
            <w:rStyle w:val="Hyperlink"/>
            <w:rFonts w:ascii="Times New Roman" w:hAnsi="Times New Roman"/>
            <w:b w:val="false"/>
            <w:i w:val="false"/>
            <w:color w:val="000000"/>
            <w:sz w:val="16"/>
          </w:rPr>
          <w:t>567—Chapter 83</w:t>
        </w:r>
      </w:hyperlink>
      <w:r>
        <w:rPr>
          <w:rFonts w:ascii="Times New Roman" w:hAnsi="Times New Roman"/>
          <w:b w:val="false"/>
          <w:i w:val="false"/>
          <w:color w:val="000000"/>
          <w:sz w:val="16"/>
        </w:rPr>
        <w:t xml:space="preserve">; a Grade II, III or IV operator meeting the requirements of </w:t>
      </w:r>
      <w:hyperlink r:id="rId217">
        <w:r>
          <w:rPr>
            <w:rStyle w:val="Hyperlink"/>
            <w:rFonts w:ascii="Times New Roman" w:hAnsi="Times New Roman"/>
            <w:b w:val="false"/>
            <w:i w:val="false"/>
            <w:color w:val="000000"/>
            <w:sz w:val="16"/>
          </w:rPr>
          <w:t>567—Chapter 81</w:t>
        </w:r>
      </w:hyperlink>
      <w:r>
        <w:rPr>
          <w:rFonts w:ascii="Times New Roman" w:hAnsi="Times New Roman"/>
          <w:b w:val="false"/>
          <w:i w:val="false"/>
          <w:color w:val="000000"/>
          <w:sz w:val="16"/>
        </w:rPr>
        <w:t>; or any person under the supervision of any such operator. Only the listed titrimetric methods are acceptable.</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Hach Company. “Hach Method 10267 – Spectrophotometric Measurement of TOC in Finished Drinking Water,” December 2015, Revision 1.2, </w:t>
      </w:r>
      <w:hyperlink r:id="rId218">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Hach Company. “Hach Method 10261 – Total Organic Carbon in Finished Drinking Water by Catalyzed Ozone Hydroxyl Radical Oxidation Infrared Analysis,” December 2015, Revision 1.2, </w:t>
      </w:r>
      <w:hyperlink r:id="rId219">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SUVA. SUVA is equal to the UV absorption at 254 nm (UV</w:t>
      </w:r>
      <w:r>
        <w:rPr>
          <w:rFonts w:ascii="Times New Roman" w:hAnsi="Times New Roman"/>
          <w:b w:val="false"/>
          <w:i w:val="false"/>
          <w:color w:val="000000"/>
          <w:sz w:val="18"/>
          <w:vertAlign w:val="subscript"/>
        </w:rPr>
        <w:t>254</w:t>
      </w:r>
      <w:r>
        <w:rPr>
          <w:rFonts w:ascii="Times New Roman" w:hAnsi="Times New Roman"/>
          <w:b w:val="false"/>
          <w:i w:val="false"/>
          <w:color w:val="000000"/>
          <w:sz w:val="22"/>
        </w:rPr>
        <w:t>) (measured in m</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divided by the DOC concentration (in mg/L). To determine SUVA, systems must separately measure UV</w:t>
      </w:r>
      <w:r>
        <w:rPr>
          <w:rFonts w:ascii="Times New Roman" w:hAnsi="Times New Roman"/>
          <w:b w:val="false"/>
          <w:i w:val="false"/>
          <w:color w:val="000000"/>
          <w:sz w:val="18"/>
          <w:vertAlign w:val="subscript"/>
        </w:rPr>
        <w:t>254</w:t>
      </w:r>
      <w:r>
        <w:rPr>
          <w:rFonts w:ascii="Times New Roman" w:hAnsi="Times New Roman"/>
          <w:b w:val="false"/>
          <w:i w:val="false"/>
          <w:color w:val="000000"/>
          <w:sz w:val="22"/>
        </w:rPr>
        <w:t xml:space="preserve"> and DOC using the methods above in </w:t>
      </w:r>
      <w:hyperlink r:id="rId220">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(1). SUVA must be determined prior to the addition of disinfectants/oxidants. DOC and UV</w:t>
      </w:r>
      <w:r>
        <w:rPr>
          <w:rFonts w:ascii="Times New Roman" w:hAnsi="Times New Roman"/>
          <w:b w:val="false"/>
          <w:i w:val="false"/>
          <w:color w:val="000000"/>
          <w:sz w:val="18"/>
          <w:vertAlign w:val="subscript"/>
        </w:rPr>
        <w:t>254</w:t>
      </w:r>
      <w:r>
        <w:rPr>
          <w:rFonts w:ascii="Times New Roman" w:hAnsi="Times New Roman"/>
          <w:b w:val="false"/>
          <w:i w:val="false"/>
          <w:color w:val="000000"/>
          <w:sz w:val="22"/>
        </w:rPr>
        <w:t xml:space="preserve"> samples used to determine a SUVA value must be taken at the same time and at the same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Magnesium. All methods approved for magnesium in </w:t>
      </w:r>
      <w:hyperlink r:id="rId221">
        <w:r>
          <w:rPr>
            <w:rStyle w:val="Hyperlink"/>
            <w:rFonts w:ascii="Times New Roman" w:hAnsi="Times New Roman"/>
            <w:b w:val="false"/>
            <w:i w:val="false"/>
            <w:color w:val="000000"/>
            <w:sz w:val="22"/>
          </w:rPr>
          <w:t>567—subparagraph 41.3(1)</w:t>
        </w:r>
      </w:hyperlink>
      <w:r>
        <w:rPr>
          <w:rFonts w:ascii="Times New Roman" w:hAnsi="Times New Roman"/>
          <w:b w:val="false"/>
          <w:i/>
          <w:color w:val="000000"/>
          <w:sz w:val="22"/>
        </w:rPr>
        <w:t>“d”</w:t>
      </w:r>
      <w:r>
        <w:rPr>
          <w:rFonts w:ascii="Times New Roman" w:hAnsi="Times New Roman"/>
          <w:b w:val="false"/>
          <w:i w:val="false"/>
          <w:color w:val="000000"/>
          <w:sz w:val="22"/>
        </w:rPr>
        <w:t>(1) are approved for use in measuring magnesium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DBP precursor compliance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All samples taken and analyzed under this rule must be included in determining compliance, even if that number is greater than the minimum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determination. Compliance must be determined as specified in </w:t>
      </w:r>
      <w:hyperlink r:id="rId222">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may assign monitoring in an operation permit, or systems may begin monitoring to determine whether Step 1 TOC removals can be met 12 months prior to the compliance date for the system. This monitoring is not required and failure to monitor during this period is not a violation. However, any system that does not monitor during this period and then determines in the first 12 months after the compliance date that it is not able to meet the Step 1 requirements in </w:t>
      </w:r>
      <w:hyperlink r:id="rId223">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must therefore apply for alternate minimum TOC removal (Step 2) requirements, is not eligible for retroactive approval of alternate minimum TOC removal (Step 2) requirements as allowed in </w:t>
      </w:r>
      <w:hyperlink r:id="rId224">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is in violation. Systems may apply for alternate minimum TOC removal (Step 2) requirements anytime after the compliance date. For systems required to meet Step 1 TOC removals, if the value calculated under </w:t>
      </w:r>
      <w:hyperlink r:id="rId225">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(1)“4” is less than 1.00, the system is in violation of the TT requirements and must provide PN pursuant to </w:t>
      </w:r>
      <w:hyperlink r:id="rId226">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 xml:space="preserve">(455B), in addition to reporting to the department pursuant to </w:t>
      </w:r>
      <w:hyperlink r:id="rId227">
        <w:r>
          <w:rPr>
            <w:rStyle w:val="Hyperlink"/>
            <w:rFonts w:ascii="Times New Roman" w:hAnsi="Times New Roman"/>
            <w:b w:val="false"/>
            <w:i w:val="false"/>
            <w:color w:val="000000"/>
            <w:sz w:val="22"/>
          </w:rPr>
          <w:t>567—paragraph 40.8</w:t>
        </w:r>
      </w:hyperlink>
      <w:r>
        <w:rPr>
          <w:rFonts w:ascii="Times New Roman" w:hAnsi="Times New Roman"/>
          <w:b w:val="false"/>
          <w:i w:val="false"/>
          <w:color w:val="000000"/>
          <w:sz w:val="22"/>
        </w:rPr>
        <w:t>(3)</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DBP precursors. </w:t>
      </w:r>
      <w:r>
        <w:rPr>
          <w:rFonts w:ascii="Times New Roman" w:hAnsi="Times New Roman"/>
          <w:b w:val="false"/>
          <w:i w:val="false"/>
          <w:color w:val="000000"/>
          <w:sz w:val="22"/>
        </w:rPr>
        <w:t xml:space="preserve">Systems required to sample quarterly or more frequently must report to the department within ten days after the end of each quarter in which samples were collected, notwithstanding the PN provisions of </w:t>
      </w:r>
      <w:hyperlink r:id="rId228">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 xml:space="preserve">(455B). Systems required to sample less frequently than quarterly must report to the department within ten days after the end of each monitoring period in which samples were collected. The specific reporting requirements for DBP precursors are in </w:t>
      </w:r>
      <w:hyperlink r:id="rId229">
        <w:r>
          <w:rPr>
            <w:rStyle w:val="Hyperlink"/>
            <w:rFonts w:ascii="Times New Roman" w:hAnsi="Times New Roman"/>
            <w:b w:val="false"/>
            <w:i w:val="false"/>
            <w:color w:val="000000"/>
            <w:sz w:val="22"/>
          </w:rPr>
          <w:t>567—subparagraph 40.8(3)</w:t>
        </w:r>
      </w:hyperlink>
      <w:r>
        <w:rPr>
          <w:rFonts w:ascii="Times New Roman" w:hAnsi="Times New Roman"/>
          <w:b w:val="false"/>
          <w:i/>
          <w:color w:val="000000"/>
          <w:sz w:val="22"/>
        </w:rPr>
        <w:t>“d”</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43.6(3)</w:t>
      </w:r>
      <w:r>
        <w:rPr>
          <w:rFonts w:ascii="Times New Roman" w:hAnsi="Times New Roman"/>
          <w:b w:val="false"/>
          <w:i w:val="false"/>
          <w:color w:val="000000"/>
          <w:sz w:val="22"/>
        </w:rPr>
        <w:t> </w:t>
      </w:r>
      <w:r>
        <w:rPr>
          <w:rFonts w:ascii="Times New Roman" w:hAnsi="Times New Roman"/>
          <w:b w:val="false"/>
          <w:i/>
          <w:color w:val="000000"/>
          <w:sz w:val="22"/>
        </w:rPr>
        <w:t xml:space="preserve"> TT for DBP precursor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using SW or IGW and conventional filtration treatment must operate with enhanced coagulation or enhanced softening to achieve the TOC percent removal levels in </w:t>
      </w:r>
      <w:hyperlink r:id="rId230">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 unless the system meets at least one of the alternative compliance criteria in </w:t>
      </w:r>
      <w:hyperlink r:id="rId231">
        <w:r>
          <w:rPr>
            <w:rStyle w:val="Hyperlink"/>
            <w:rFonts w:ascii="Times New Roman" w:hAnsi="Times New Roman"/>
            <w:b w:val="false"/>
            <w:i w:val="false"/>
            <w:color w:val="000000"/>
            <w:sz w:val="22"/>
          </w:rPr>
          <w:t>43.6(3)</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compliance criteria for enhanced coagulation and enhanced softening systems. Systems using SW or IGW and conventional filtration treatment may use the alternative compliance criteria in this subparagraph to comply with this subrule in lieu of complying with </w:t>
      </w:r>
      <w:hyperlink r:id="rId232">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 Systems must still comply with monitoring requirements in </w:t>
      </w:r>
      <w:hyperlink r:id="rId233">
        <w:r>
          <w:rPr>
            <w:rStyle w:val="Hyperlink"/>
            <w:rFonts w:ascii="Times New Roman" w:hAnsi="Times New Roman"/>
            <w:b w:val="false"/>
            <w:i w:val="false"/>
            <w:color w:val="000000"/>
            <w:sz w:val="22"/>
          </w:rPr>
          <w:t>43.6(2)</w:t>
        </w:r>
        <w:r>
          <w:rPr>
            <w:rFonts w:ascii="Times New Roman" w:hAnsi="Times New Roman"/>
            <w:b w:val="false"/>
            <w:i/>
            <w:color w:val="000000"/>
            <w:sz w:val="22"/>
          </w:rPr>
          <w:t>“b.”</w:t>
        </w:r>
      </w:hyperlink>
      <w:r>
        <w:rPr>
          <w:rFonts w:ascii="Times New Roman" w:hAnsi="Times New Roman"/>
          <w:b w:val="false"/>
          <w:i w:val="false"/>
          <w:color w:val="000000"/>
          <w:sz w:val="22"/>
        </w:rPr>
        <w:t xml:space="preserve"> TOC levels and source water alkalinity must be measured according to </w:t>
      </w:r>
      <w:hyperlink r:id="rId234">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the SUVA must be measured monthly according to </w:t>
      </w:r>
      <w:hyperlink r:id="rId235">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 water TOC level is less than 2.0 mg/L, calculated quarterly as a running annual average (RAA).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treated water TOC level is less than 2.0 mg/L, calculated quarterly as an RAA.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source water TOC level is less than 4.0 mg/L, calculated quarterly as an RAA; the source water alkalinity is greater than 60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xml:space="preserve">, calculated quarterly as an RAA; and either the TTHM and HAA5 RAAs are no greater than 0.040 mg/L and 0.030 mg/L, respectively; or prior to the effective date for compliance in 567—subparagraphs </w:t>
      </w:r>
      <w:hyperlink r:id="rId236">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237">
        <w:r>
          <w:rPr>
            <w:rStyle w:val="Hyperlink"/>
            <w:rFonts w:ascii="Times New Roman" w:hAnsi="Times New Roman"/>
            <w:b w:val="false"/>
            <w:i w:val="false"/>
            <w:color w:val="000000"/>
            <w:sz w:val="22"/>
          </w:rPr>
          <w:t>43.6(2)</w:t>
        </w:r>
      </w:hyperlink>
      <w:r>
        <w:rPr>
          <w:rFonts w:ascii="Times New Roman" w:hAnsi="Times New Roman"/>
          <w:b w:val="false"/>
          <w:i/>
          <w:color w:val="000000"/>
          <w:sz w:val="22"/>
        </w:rPr>
        <w:t>“a”</w:t>
      </w:r>
      <w:r>
        <w:rPr>
          <w:rFonts w:ascii="Times New Roman" w:hAnsi="Times New Roman"/>
          <w:b w:val="false"/>
          <w:i w:val="false"/>
          <w:color w:val="000000"/>
          <w:sz w:val="22"/>
        </w:rPr>
        <w:t xml:space="preserve">(3), the system has made a clear and irrevocable financial commitment  to use of technologies that will limit the levels of TTHMs and HAA5 to no more than 0.040 mg/L and 0.030 mg/L, respectively. Systems must submit evidence of a clear and irrevocable financial commitment, in addition to a schedule containing milestones and periodic progress reports for installation and operation of appropriate technologies, to the department for approval not later than the effective date for compliance in 567—subparagraphs </w:t>
      </w:r>
      <w:hyperlink r:id="rId238">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239">
        <w:r>
          <w:rPr>
            <w:rStyle w:val="Hyperlink"/>
            <w:rFonts w:ascii="Times New Roman" w:hAnsi="Times New Roman"/>
            <w:b w:val="false"/>
            <w:i w:val="false"/>
            <w:color w:val="000000"/>
            <w:sz w:val="22"/>
          </w:rPr>
          <w:t>43.6(2)</w:t>
        </w:r>
      </w:hyperlink>
      <w:r>
        <w:rPr>
          <w:rFonts w:ascii="Times New Roman" w:hAnsi="Times New Roman"/>
          <w:b w:val="false"/>
          <w:i/>
          <w:color w:val="000000"/>
          <w:sz w:val="22"/>
        </w:rPr>
        <w:t>“a”</w:t>
      </w:r>
      <w:r>
        <w:rPr>
          <w:rFonts w:ascii="Times New Roman" w:hAnsi="Times New Roman"/>
          <w:b w:val="false"/>
          <w:i w:val="false"/>
          <w:color w:val="000000"/>
          <w:sz w:val="22"/>
        </w:rPr>
        <w:t>(3). These technologies must be installed and operating not later than June 30, 2005. Failure to install and operate these technologies by the date in the approved schedule will constitute a TT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TTHM and HAA5 RAAs are less than or equal to 0.040 mg/L and 0.030 mg/L, respectively, and the system uses only chlorine for primary disinfection and maintenance of a residual in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source water SUVA, prior to any treatment, is less than or equal to 2.0 L/mg-m, calculated quarterly as an RAA.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finished water SUVA is less than or equal to 2.0 L/mg-m, calculated quarterly as an RAA.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alternative compliance criteria for softening systems. Systems practicing enhanced softening that cannot achieve the TOC removals required by </w:t>
      </w:r>
      <w:hyperlink r:id="rId240">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may use the alternative compliance criteria in this subparagraph in lieu of complying with </w:t>
      </w:r>
      <w:hyperlink r:id="rId241">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 Systems must still comply with monitoring requirements in </w:t>
      </w:r>
      <w:hyperlink r:id="rId242">
        <w:r>
          <w:rPr>
            <w:rStyle w:val="Hyperlink"/>
            <w:rFonts w:ascii="Times New Roman" w:hAnsi="Times New Roman"/>
            <w:b w:val="false"/>
            <w:i w:val="false"/>
            <w:color w:val="000000"/>
            <w:sz w:val="22"/>
          </w:rPr>
          <w:t>43.6(2)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Softening that lowers the treated water alkalinity to less than 60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xml:space="preserve">, measured monthly according to </w:t>
      </w:r>
      <w:hyperlink r:id="rId243">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calculated quarterly as an RAA.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Softening that removes at least 10 mg/L of magnesium hardness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measured monthly and calculated quarterly as an RAA.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Enhanced coagulation and enhanced softening performance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achieve the TOC percent reduction  in </w:t>
      </w:r>
      <w:hyperlink r:id="rId244">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between the source water and the CFE, unless the department approves a system’s request for alternate minimum TOC removal (Step 2 requirements under </w:t>
      </w:r>
      <w:hyperlink r:id="rId245">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Step 1 TOC reductions, indicated in the following table, are based upon specified source water parameters measured in accordance with </w:t>
      </w:r>
      <w:hyperlink r:id="rId246">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 Systems using softening must meet the Step 1 TOC reductions in the right-hand column (&gt; 120 mg/L) for the specified source water TOC:</w:t>
      </w:r>
    </w:p>
    <w:p>
      <w:pPr>
        <w:spacing w:before="60" w:after="0"/>
        <w:ind w:left="120"/>
        <w:jc w:val="center"/>
      </w:pPr>
      <w:r>
        <w:rPr>
          <w:rFonts w:ascii="Times New Roman" w:hAnsi="Times New Roman"/>
          <w:b/>
          <w:i w:val="false"/>
          <w:color w:val="000000"/>
          <w:sz w:val="22"/>
        </w:rPr>
        <w:t>Step 1 Required TOC Removal by Enhanced Coagulation and Enhanced Softening for SW or IGW Systems Using Conventional Treatment</w:t>
      </w:r>
      <w:r>
        <w:rPr>
          <w:rFonts w:ascii="Times New Roman" w:hAnsi="Times New Roman"/>
          <w:b/>
          <w:i w:val="false"/>
          <w:color w:val="000000"/>
          <w:sz w:val="18"/>
          <w:vertAlign w:val="superscript"/>
        </w:rPr>
        <w:t>1,2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608"/>
        <w:gridCol w:w="2304"/>
        <w:gridCol w:w="2304"/>
        <w:gridCol w:w="2304"/>
      </w:tblGrid>
      <w:tr>
        <w:trPr>
          <w:trHeight w:val="285" w:hRule="atLeast"/>
        </w:trPr>
        <w:tc>
          <w:tcPr>
            <w:tcW w:w="4608"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Source water TOC, mg/L</w:t>
            </w:r>
          </w:p>
        </w:tc>
        <w:tc>
          <w:tcPr>
            <w:tcW w:w="0" w:type="auto"/>
            <w:gridSpan w:val="3"/>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Source water Alkalinity, mg/L as CaCO</w:t>
            </w:r>
            <w:r>
              <w:rPr>
                <w:rFonts w:ascii="Times New Roman" w:hAnsi="Times New Roman"/>
                <w:b/>
                <w:i w:val="false"/>
                <w:color w:val="000000"/>
                <w:sz w:val="18"/>
                <w:vertAlign w:val="subscript"/>
              </w:rPr>
              <w:t>3</w:t>
            </w:r>
          </w:p>
        </w:tc>
      </w:tr>
      <w:tr>
        <w:trPr>
          <w:trHeight w:val="25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0-60</w:t>
            </w:r>
          </w:p>
        </w:tc>
        <w:tc>
          <w:tcPr>
            <w:tcW w:w="230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&gt;60-120</w:t>
            </w:r>
          </w:p>
        </w:tc>
        <w:tc>
          <w:tcPr>
            <w:tcW w:w="230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&gt;120</w:t>
            </w:r>
            <w:r>
              <w:rPr>
                <w:rFonts w:ascii="Times New Roman" w:hAnsi="Times New Roman"/>
                <w:b w:val="false"/>
                <w:i w:val="false"/>
                <w:color w:val="000000"/>
                <w:sz w:val="18"/>
                <w:vertAlign w:val="superscript"/>
              </w:rPr>
              <w:t>3</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center"/>
          </w:tcPr>
          <w:p>
            <w:pPr>
              <w:spacing w:before="0" w:after="0"/>
              <w:ind w:left="520"/>
              <w:jc w:val="both"/>
            </w:pPr>
            <w:r>
              <w:rPr>
                <w:rFonts w:ascii="Times New Roman" w:hAnsi="Times New Roman"/>
                <w:b w:val="false"/>
                <w:i w:val="false"/>
                <w:color w:val="000000"/>
                <w:sz w:val="16"/>
              </w:rPr>
              <w:t>&gt;2.0 - 4.0</w:t>
            </w:r>
          </w:p>
        </w:tc>
        <w:tc>
          <w:tcPr>
            <w:tcW w:w="230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35.0%</w:t>
            </w:r>
          </w:p>
        </w:tc>
        <w:tc>
          <w:tcPr>
            <w:tcW w:w="230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25.0%</w:t>
            </w:r>
          </w:p>
        </w:tc>
        <w:tc>
          <w:tcPr>
            <w:tcW w:w="230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center"/>
          </w:tcPr>
          <w:p>
            <w:pPr>
              <w:spacing w:before="0" w:after="0"/>
              <w:ind w:left="520"/>
              <w:jc w:val="both"/>
            </w:pPr>
            <w:r>
              <w:rPr>
                <w:rFonts w:ascii="Times New Roman" w:hAnsi="Times New Roman"/>
                <w:b w:val="false"/>
                <w:i w:val="false"/>
                <w:color w:val="000000"/>
                <w:sz w:val="16"/>
              </w:rPr>
              <w:t>&gt;4.0 - 8.0</w:t>
            </w:r>
          </w:p>
        </w:tc>
        <w:tc>
          <w:tcPr>
            <w:tcW w:w="230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45.0%</w:t>
            </w:r>
          </w:p>
        </w:tc>
        <w:tc>
          <w:tcPr>
            <w:tcW w:w="230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35.0%</w:t>
            </w:r>
          </w:p>
        </w:tc>
        <w:tc>
          <w:tcPr>
            <w:tcW w:w="230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25.0%</w:t>
            </w:r>
          </w:p>
        </w:tc>
      </w:tr>
      <w:tr>
        <w:trPr>
          <w:trHeight w:val="225" w:hRule="atLeast"/>
        </w:trPr>
        <w:tc>
          <w:tcPr>
            <w:tcW w:w="4608" w:type="dxa"/>
            <w:tcBorders>
              <w:right w:val="single" w:color="000000" w:sz="8"/>
            </w:tcBorders>
            <w:tcMar>
              <w:top w:w="30" w:type="dxa"/>
              <w:left w:w="30" w:type="dxa"/>
              <w:bottom w:w="15" w:type="dxa"/>
              <w:right w:w="30" w:type="dxa"/>
            </w:tcMar>
            <w:vAlign w:val="center"/>
          </w:tcPr>
          <w:p>
            <w:pPr>
              <w:spacing w:before="0" w:after="0"/>
              <w:ind w:left="520"/>
              <w:jc w:val="both"/>
            </w:pPr>
            <w:r>
              <w:rPr>
                <w:rFonts w:ascii="Times New Roman" w:hAnsi="Times New Roman"/>
                <w:b w:val="false"/>
                <w:i w:val="false"/>
                <w:color w:val="000000"/>
                <w:sz w:val="16"/>
              </w:rPr>
              <w:t>&gt;8.0</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230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Systems meeting at least one of the conditions in </w:t>
      </w:r>
      <w:r>
        <w:rPr>
          <w:rFonts w:ascii="Times New Roman" w:hAnsi="Times New Roman"/>
          <w:b w:val="false"/>
          <w:i w:val="false"/>
          <w:color w:val="000000"/>
          <w:sz w:val="16"/>
        </w:rPr>
        <w:t>43.6(3)</w:t>
      </w:r>
      <w:r>
        <w:rPr>
          <w:rFonts w:ascii="Times New Roman" w:hAnsi="Times New Roman"/>
          <w:b w:val="false"/>
          <w:i/>
          <w:color w:val="000000"/>
          <w:sz w:val="16"/>
        </w:rPr>
        <w:t>“a”</w:t>
      </w:r>
      <w:r>
        <w:rPr>
          <w:rFonts w:ascii="Times New Roman" w:hAnsi="Times New Roman"/>
          <w:b w:val="false"/>
          <w:i w:val="false"/>
          <w:color w:val="000000"/>
          <w:sz w:val="16"/>
        </w:rPr>
        <w:t xml:space="preserve">(2)“1” through “6” are not required to operate with enhanced coagulation.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Softening systems meeting one of the alternative compliance criteria in </w:t>
      </w:r>
      <w:r>
        <w:rPr>
          <w:rFonts w:ascii="Times New Roman" w:hAnsi="Times New Roman"/>
          <w:b w:val="false"/>
          <w:i w:val="false"/>
          <w:color w:val="000000"/>
          <w:sz w:val="16"/>
        </w:rPr>
        <w:t>43.6(3)</w:t>
      </w:r>
      <w:r>
        <w:rPr>
          <w:rFonts w:ascii="Times New Roman" w:hAnsi="Times New Roman"/>
          <w:b w:val="false"/>
          <w:i/>
          <w:color w:val="000000"/>
          <w:sz w:val="16"/>
        </w:rPr>
        <w:t>“a”</w:t>
      </w:r>
      <w:r>
        <w:rPr>
          <w:rFonts w:ascii="Times New Roman" w:hAnsi="Times New Roman"/>
          <w:b w:val="false"/>
          <w:i w:val="false"/>
          <w:color w:val="000000"/>
          <w:sz w:val="16"/>
        </w:rPr>
        <w:t xml:space="preserve">(3) are not required to operate with enhanced softening.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Systems practicing softening must meet the TOC removal requirements in this column.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SW and IGW systems using conventional treatment that cannot achieve the Step 1 TOC removals required by </w:t>
      </w:r>
      <w:hyperlink r:id="rId247">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due to water quality parameters (WQPs) or operational constraints must apply to the department for approval of alternative minimum Step 2 TOC removal requirements submitted by the system within three months of failure to achieve the TOC removals. If the department approves the alternative minimum Step 2 TOC removal requirements, it may make those requirements retroactive for the purposes of determining compliance. The system must meet the Step 1 TOC removals in </w:t>
      </w:r>
      <w:hyperlink r:id="rId248">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(2) until the department approves the alternate minimum Step 2 TOC removal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Alternate minimum Step 2 TOC removal requirements. Applications made to the department by enhanced coagulation systems for approval of alternate minimum Step 2 TOC removal requirements under </w:t>
      </w:r>
      <w:hyperlink r:id="rId249">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(3) must include, as a minimum, results of bench-scale or pilot-scale testing conducted under </w:t>
      </w:r>
      <w:hyperlink r:id="rId250">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(4)“1” below and used to determine the alternate enhanced coagulation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Alternate enhanced coagulation level is defined as coagulation at a coagulant dose and pH as determined by the method described in this subparagraph such that an incremental addition of 10 mg/L of alum (or equivalent amount of ferric salt) results in a TOC removal of less than or equal to 0.3 mg/L. The TOC percent removal at this point on the “TOC removal versus coagulant dose” curve is then defined as the minimum TOC removal required for the system. Once approved by the department, this minimum requirement supersedes the minimum TOC removal required by the table in </w:t>
      </w:r>
      <w:hyperlink r:id="rId251">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This requirement will be effective until such time as the department approves a new value based on the results of a new bench-scale or pilot-scale test. Failure to achieve department-set alternative minimum TOC removal levels is a TT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 bench-scale or pilot-scale testing of enhanced coagulation using representative water samples and adding 10 mg/L increments of alum (or equivalent amounts of ferric salt) until the pH is reduced to a level less than or equal to the enhanced coagulation Step 2 target pH shown in the following table:</w:t>
      </w:r>
    </w:p>
    <w:p>
      <w:pPr>
        <w:spacing w:before="60" w:after="0"/>
        <w:ind w:left="120"/>
        <w:jc w:val="center"/>
      </w:pPr>
      <w:r>
        <w:rPr>
          <w:rFonts w:ascii="Times New Roman" w:hAnsi="Times New Roman"/>
          <w:b/>
          <w:i w:val="false"/>
          <w:color w:val="000000"/>
          <w:sz w:val="22"/>
        </w:rPr>
        <w:t>Enhanced Coagulation Step 2 Target pH</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555"/>
        <w:gridCol w:w="4635"/>
      </w:tblGrid>
      <w:tr>
        <w:trPr>
          <w:trHeight w:val="300" w:hRule="atLeast"/>
        </w:trPr>
        <w:tc>
          <w:tcPr>
            <w:tcW w:w="655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Alkalinity (mg/L as CaCO</w:t>
            </w:r>
            <w:r>
              <w:rPr>
                <w:rFonts w:ascii="Times New Roman" w:hAnsi="Times New Roman"/>
                <w:b/>
                <w:i w:val="false"/>
                <w:color w:val="000000"/>
                <w:sz w:val="18"/>
                <w:vertAlign w:val="subscript"/>
              </w:rPr>
              <w:t>3</w:t>
            </w:r>
            <w:r>
              <w:rPr>
                <w:rFonts w:ascii="Times New Roman" w:hAnsi="Times New Roman"/>
                <w:b/>
                <w:i w:val="false"/>
                <w:color w:val="000000"/>
                <w:sz w:val="16"/>
              </w:rPr>
              <w:t>)</w:t>
            </w:r>
          </w:p>
        </w:tc>
        <w:tc>
          <w:tcPr>
            <w:tcW w:w="463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Target pH</w:t>
            </w:r>
          </w:p>
        </w:tc>
      </w:tr>
      <w:tr>
        <w:trPr>
          <w:trHeight w:val="240" w:hRule="atLeast"/>
        </w:trPr>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0 - 60</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&gt;60 - 120</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r>
      <w:tr>
        <w:trPr>
          <w:trHeight w:val="225" w:hRule="atLeast"/>
        </w:trPr>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&gt;120 - 240</w:t>
            </w:r>
          </w:p>
        </w:tc>
        <w:tc>
          <w:tcPr>
            <w:tcW w:w="46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r>
      <w:tr>
        <w:trPr>
          <w:trHeight w:val="225" w:hRule="atLeast"/>
        </w:trPr>
        <w:tc>
          <w:tcPr>
            <w:tcW w:w="65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&gt;240</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waters with alkalinities of less than 60 mg/L for which addition of small amounts of alum or equivalent addition of iron coagulant drives the pH below 5.5 before significant TOC removal occurs, a system must add necessary chemicals to maintain the pH between 5.3 and 5.7 in samples until the TOC removal of 0.3 mg/L per 10 mg/L alum added (or equivalent addition of iron coagulant) is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may operate at any coagulant dose or pH necessary (consistent with department rules) to achieve the minimum TOC percent removal approved under </w:t>
      </w:r>
      <w:hyperlink r:id="rId252">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TOC removal is consistently less than 0.3 mg/L of TOC per 10 mg/L of incremental alum dose at all dosages of alum (or equivalent addition of iron coagulant), the water is deemed to contain TOC not amenable to enhanced coagulation. The system may then apply to the department for a waiver of enhanced coagulation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calculations.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SW or IGW systems other than those identified in </w:t>
      </w:r>
      <w:hyperlink r:id="rId253">
        <w:r>
          <w:rPr>
            <w:rStyle w:val="Hyperlink"/>
            <w:rFonts w:ascii="Times New Roman" w:hAnsi="Times New Roman"/>
            <w:b w:val="false"/>
            <w:i w:val="false"/>
            <w:color w:val="000000"/>
            <w:sz w:val="22"/>
          </w:rPr>
          <w:t>43.6(3)</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w:t>
      </w:r>
      <w:r>
        <w:rPr>
          <w:rFonts w:ascii="Times New Roman" w:hAnsi="Times New Roman"/>
          <w:b w:val="false"/>
          <w:i/>
          <w:color w:val="000000"/>
          <w:sz w:val="22"/>
        </w:rPr>
        <w:t>“a”</w:t>
      </w:r>
      <w:r>
        <w:rPr>
          <w:rFonts w:ascii="Times New Roman" w:hAnsi="Times New Roman"/>
          <w:b w:val="false"/>
          <w:i w:val="false"/>
          <w:color w:val="000000"/>
          <w:sz w:val="22"/>
        </w:rPr>
        <w:t xml:space="preserve">(3) must comply with requirements in </w:t>
      </w:r>
      <w:hyperlink r:id="rId254">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r>
        <w:rPr>
          <w:rFonts w:ascii="Times New Roman" w:hAnsi="Times New Roman"/>
          <w:b w:val="false"/>
          <w:i/>
          <w:color w:val="000000"/>
          <w:sz w:val="22"/>
        </w:rPr>
        <w:t>“b”</w:t>
      </w:r>
      <w:r>
        <w:rPr>
          <w:rFonts w:ascii="Times New Roman" w:hAnsi="Times New Roman"/>
          <w:b w:val="false"/>
          <w:i w:val="false"/>
          <w:color w:val="000000"/>
          <w:sz w:val="22"/>
        </w:rPr>
        <w:t>(3). Systems must calculate compliance quarterly, beginning after the collection of 12 months of data, by determining an annual average using the following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Step 1: Determine actual monthly TOC percent removal using the following equation, to two decimal places:</w:t>
      </w:r>
    </w:p>
    <w:tbl>
      <w:tblPr>
        <w:tblW w:w="5000" w:type="pct"/>
        <w:tblCellSpacing w:w="0" w:type="auto"/>
        <w:tblBorders>
          <w:top w:val="none"/>
          <w:left w:val="none"/>
          <w:bottom w:val="none"/>
          <w:right w:val="none"/>
          <w:insideH w:val="none"/>
          <w:insideV w:val="none"/>
        </w:tblBorders>
        <w:tblLayout w:type="fixed"/>
      </w:tblPr>
      <w:tblGrid>
        <w:gridCol w:w="4865"/>
        <w:gridCol w:w="487"/>
        <w:gridCol w:w="487"/>
        <w:gridCol w:w="486"/>
        <w:gridCol w:w="486"/>
        <w:gridCol w:w="2790"/>
        <w:gridCol w:w="486"/>
        <w:gridCol w:w="486"/>
        <w:gridCol w:w="947"/>
      </w:tblGrid>
      <w:tr>
        <w:trPr>
          <w:trHeight w:val="225" w:hRule="atLeast"/>
        </w:trPr>
        <w:tc>
          <w:tcPr>
            <w:tcW w:w="486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Actual monthly TOC percent removal</w:t>
            </w:r>
          </w:p>
        </w:tc>
        <w:tc>
          <w:tcPr>
            <w:tcW w:w="48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48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48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48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48"/>
              </w:rPr>
              <w:t>(</w:t>
            </w:r>
          </w:p>
        </w:tc>
        <w:tc>
          <w:tcPr>
            <w:tcW w:w="279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treated water TOC</w:t>
            </w:r>
          </w:p>
        </w:tc>
        <w:tc>
          <w:tcPr>
            <w:tcW w:w="48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48"/>
              </w:rPr>
              <w:t>)</w:t>
            </w:r>
          </w:p>
        </w:tc>
        <w:tc>
          <w:tcPr>
            <w:tcW w:w="48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94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345" w:hRule="atLeast"/>
        </w:trPr>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27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source water TOC</w:t>
            </w: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 2: Determine the required monthly TOC percent removal from either </w:t>
      </w:r>
      <w:hyperlink r:id="rId255">
        <w:r>
          <w:rPr>
            <w:rStyle w:val="Hyperlink"/>
            <w:rFonts w:ascii="Times New Roman" w:hAnsi="Times New Roman"/>
            <w:b w:val="false"/>
            <w:i w:val="false"/>
            <w:color w:val="000000"/>
            <w:sz w:val="22"/>
          </w:rPr>
          <w:t>43.6(3)</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Step 3: Divide the “actual monthly TOC percent removal” value (from Step 1) by the “required monthly TOC percent removal” value (from Step 2). Determine this value for each of the last 12 months.</w:t>
      </w:r>
    </w:p>
    <w:tbl>
      <w:tblPr>
        <w:tblW w:w="5000" w:type="pct"/>
        <w:tblCellSpacing w:w="0" w:type="auto"/>
        <w:tblBorders>
          <w:top w:val="none"/>
          <w:left w:val="none"/>
          <w:bottom w:val="none"/>
          <w:right w:val="none"/>
          <w:insideH w:val="none"/>
          <w:insideV w:val="none"/>
        </w:tblBorders>
        <w:tblLayout w:type="fixed"/>
      </w:tblPr>
      <w:tblGrid>
        <w:gridCol w:w="4151"/>
        <w:gridCol w:w="695"/>
        <w:gridCol w:w="694"/>
        <w:gridCol w:w="694"/>
        <w:gridCol w:w="4956"/>
      </w:tblGrid>
      <w:tr>
        <w:trPr>
          <w:trHeight w:val="225" w:hRule="atLeast"/>
        </w:trPr>
        <w:tc>
          <w:tcPr>
            <w:tcW w:w="415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Monthly percent removal ratio</w:t>
            </w:r>
          </w:p>
        </w:tc>
        <w:tc>
          <w:tcPr>
            <w:tcW w:w="6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9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5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actual monthly TOC percent removal</w:t>
            </w:r>
          </w:p>
        </w:tc>
      </w:tr>
      <w:tr>
        <w:trPr>
          <w:trHeight w:val="225" w:hRule="atLeast"/>
        </w:trPr>
        <w:tc>
          <w:tcPr>
            <w:tcW w:w="0" w:type="auto"/>
            <w:vMerge/>
            <w:tcBorders>
              <w:top w:val="nil"/>
            </w:tcBorders>
          </w:tcPr>
          <w:p/>
        </w:tc>
        <w:tc>
          <w:tcPr>
            <w:tcW w:w="6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required monthly TOC percent removal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Step 4: Add together the “monthly percent removal ratio” values from Step 3 for each of the last 12 months and divide by 12 to determine the annual average value.</w:t>
      </w:r>
    </w:p>
    <w:tbl>
      <w:tblPr>
        <w:tblW w:w="5000" w:type="pct"/>
        <w:tblCellSpacing w:w="0" w:type="auto"/>
        <w:tblBorders>
          <w:top w:val="none"/>
          <w:left w:val="none"/>
          <w:bottom w:val="none"/>
          <w:right w:val="none"/>
          <w:insideH w:val="none"/>
          <w:insideV w:val="none"/>
        </w:tblBorders>
        <w:tblLayout w:type="fixed"/>
      </w:tblPr>
      <w:tblGrid>
        <w:gridCol w:w="2776"/>
        <w:gridCol w:w="1240"/>
        <w:gridCol w:w="1240"/>
        <w:gridCol w:w="1239"/>
        <w:gridCol w:w="4695"/>
      </w:tblGrid>
      <w:tr>
        <w:trPr>
          <w:trHeight w:val="225" w:hRule="atLeast"/>
        </w:trPr>
        <w:tc>
          <w:tcPr>
            <w:tcW w:w="2776"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Annual average</w:t>
            </w:r>
          </w:p>
        </w:tc>
        <w:tc>
          <w:tcPr>
            <w:tcW w:w="12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4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2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9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Σ monthly percent removal ratio</w:t>
            </w:r>
          </w:p>
        </w:tc>
      </w:tr>
      <w:tr>
        <w:trPr>
          <w:trHeight w:val="225" w:hRule="atLeast"/>
        </w:trPr>
        <w:tc>
          <w:tcPr>
            <w:tcW w:w="0" w:type="auto"/>
            <w:vMerge/>
            <w:tcBorders>
              <w:top w:val="nil"/>
            </w:tcBorders>
          </w:tcPr>
          <w:p/>
        </w:tc>
        <w:tc>
          <w:tcPr>
            <w:tcW w:w="12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Step 5: If the “annual average” value calculated in Step 4 is less than 1.00, the system is not in compliance with the TOC percent removal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may use the provisions in this subparagraph in lieu of the calculations in the previous subparagraph (</w:t>
      </w:r>
      <w:hyperlink r:id="rId256">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 to determine compliance with TOC percent removal requirements. Systems may assign a monthly value of 1.0 (in lieu of the value calculated in </w:t>
      </w:r>
      <w:hyperlink r:id="rId257">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 xml:space="preserve">(1)“3”) when calculating compliance under </w:t>
      </w:r>
      <w:hyperlink r:id="rId258">
        <w:r>
          <w:rPr>
            <w:rStyle w:val="Hyperlink"/>
            <w:rFonts w:ascii="Times New Roman" w:hAnsi="Times New Roman"/>
            <w:b w:val="false"/>
            <w:i w:val="false"/>
            <w:color w:val="000000"/>
            <w:sz w:val="22"/>
          </w:rPr>
          <w:t>43.6(3)</w:t>
        </w:r>
      </w:hyperlink>
      <w:r>
        <w:rPr>
          <w:rFonts w:ascii="Times New Roman" w:hAnsi="Times New Roman"/>
          <w:b w:val="false"/>
          <w:i/>
          <w:color w:val="000000"/>
          <w:sz w:val="22"/>
        </w:rPr>
        <w:t>“c”</w:t>
      </w:r>
      <w:r>
        <w:rPr>
          <w:rFonts w:ascii="Times New Roman" w:hAnsi="Times New Roman"/>
          <w:b w:val="false"/>
          <w:i w:val="false"/>
          <w:color w:val="000000"/>
          <w:sz w:val="22"/>
        </w:rPr>
        <w:t>(1), in any month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system’s treated or source water TOC level, measured according to </w:t>
      </w:r>
      <w:hyperlink r:id="rId259">
        <w:r>
          <w:rPr>
            <w:rStyle w:val="Hyperlink"/>
            <w:rFonts w:ascii="Times New Roman" w:hAnsi="Times New Roman"/>
            <w:b w:val="false"/>
            <w:i w:val="false"/>
            <w:color w:val="000000"/>
            <w:sz w:val="22"/>
          </w:rPr>
          <w:t>43.6(2)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is less than 2.0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practicing softening removes at least 10 mg/L of magnesium hardness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system’s source water SUVA, prior to any treatment and measured according to </w:t>
      </w:r>
      <w:hyperlink r:id="rId260">
        <w:r>
          <w:rPr>
            <w:rStyle w:val="Hyperlink"/>
            <w:rFonts w:ascii="Times New Roman" w:hAnsi="Times New Roman"/>
            <w:b w:val="false"/>
            <w:i w:val="false"/>
            <w:color w:val="000000"/>
            <w:sz w:val="22"/>
          </w:rPr>
          <w:t>43.6(2)</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is less than or equal to 2.0 L/mg-m;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system’s finished water SUVA, measured according to </w:t>
      </w:r>
      <w:hyperlink r:id="rId261">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 xml:space="preserve">(2), is less than or equal to 2.0 L/mg-m;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system using enhanced softening lowers alkalinity below 60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SW or IGW systems using conventional treatment may also comply with this subrule by meeting the criteria in </w:t>
      </w:r>
      <w:hyperlink r:id="rId262">
        <w:r>
          <w:rPr>
            <w:rStyle w:val="Hyperlink"/>
            <w:rFonts w:ascii="Times New Roman" w:hAnsi="Times New Roman"/>
            <w:b w:val="false"/>
            <w:i w:val="false"/>
            <w:color w:val="000000"/>
            <w:sz w:val="22"/>
          </w:rPr>
          <w:t>43.6(3)</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TT requirements for DBP precursors. </w:t>
      </w:r>
      <w:r>
        <w:rPr>
          <w:rFonts w:ascii="Times New Roman" w:hAnsi="Times New Roman"/>
          <w:b w:val="false"/>
          <w:i w:val="false"/>
          <w:color w:val="000000"/>
          <w:sz w:val="22"/>
        </w:rPr>
        <w:t>The TTs to control the level of DBP precursors in drinking water treatment and distribution systems for SW or IGW systems using conventional filtration treatment are enhanced coagulation or enhanced softening.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567—43.7</w:t>
      </w:r>
      <w:r>
        <w:rPr>
          <w:rFonts w:ascii="Times New Roman" w:hAnsi="Times New Roman"/>
          <w:b/>
          <w:i w:val="false"/>
          <w:color w:val="000000"/>
          <w:sz w:val="22"/>
        </w:rPr>
        <w:t xml:space="preserve">(455B) </w:t>
      </w:r>
      <w:r>
        <w:rPr>
          <w:rFonts w:ascii="Times New Roman" w:hAnsi="Times New Roman"/>
          <w:b/>
          <w:i w:val="false"/>
          <w:color w:val="000000"/>
          <w:sz w:val="22"/>
        </w:rPr>
        <w:t xml:space="preserve">Lead and copper treatment techniques (TTs).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color w:val="000000"/>
          <w:sz w:val="22"/>
        </w:rPr>
        <w:t xml:space="preserve">Corrosion control treatment (CCT) for lead and copper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Systems shall complete the applicable CCT requirements by the deadlines specified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Large systems serving more than 50,000 persons. A large system (serving greater than 50,000 persons) shall complete the CCT steps in </w:t>
      </w:r>
      <w:r>
        <w:rPr>
          <w:rFonts w:ascii="Times New Roman" w:hAnsi="Times New Roman"/>
          <w:b w:val="false"/>
          <w:i w:val="false"/>
          <w:color w:val="000000"/>
          <w:sz w:val="22"/>
        </w:rPr>
        <w:t>43.7(1)</w:t>
      </w:r>
      <w:r>
        <w:rPr>
          <w:rFonts w:ascii="Times New Roman" w:hAnsi="Times New Roman"/>
          <w:b w:val="false"/>
          <w:i/>
          <w:color w:val="000000"/>
          <w:sz w:val="22"/>
        </w:rPr>
        <w:t>“d,”</w:t>
      </w:r>
      <w:r>
        <w:rPr>
          <w:rFonts w:ascii="Times New Roman" w:hAnsi="Times New Roman"/>
          <w:b w:val="false"/>
          <w:i w:val="false"/>
          <w:color w:val="000000"/>
          <w:sz w:val="22"/>
        </w:rPr>
        <w:t xml:space="preserve"> unless the system is deemed to have OCC under </w:t>
      </w:r>
      <w:r>
        <w:rPr>
          <w:rFonts w:ascii="Times New Roman" w:hAnsi="Times New Roman"/>
          <w:b w:val="false"/>
          <w:i w:val="false"/>
          <w:color w:val="000000"/>
          <w:sz w:val="22"/>
        </w:rPr>
        <w:t>43.7(1)</w:t>
      </w:r>
      <w:r>
        <w:rPr>
          <w:rFonts w:ascii="Times New Roman" w:hAnsi="Times New Roman"/>
          <w:b w:val="false"/>
          <w:i/>
          <w:color w:val="000000"/>
          <w:sz w:val="22"/>
        </w:rPr>
        <w:t>“b”</w:t>
      </w:r>
      <w:r>
        <w:rPr>
          <w:rFonts w:ascii="Times New Roman" w:hAnsi="Times New Roman"/>
          <w:b w:val="false"/>
          <w:i w:val="false"/>
          <w:color w:val="000000"/>
          <w:sz w:val="22"/>
        </w:rPr>
        <w:t xml:space="preserve">(2) or </w:t>
      </w:r>
      <w:r>
        <w:rPr>
          <w:rFonts w:ascii="Times New Roman" w:hAnsi="Times New Roman"/>
          <w:b w:val="false"/>
          <w:i w:val="false"/>
          <w:color w:val="000000"/>
          <w:sz w:val="22"/>
        </w:rPr>
        <w:t>43.7(1)</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and medium-size systems serving 50,000 or fewer persons. A small system (serving less than or equal to 3,300 persons) or a medium-size system (serving greater than 3,300 and less than or equal to 50,000 persons) shall complete the CCT steps in </w:t>
      </w:r>
      <w:r>
        <w:rPr>
          <w:rFonts w:ascii="Times New Roman" w:hAnsi="Times New Roman"/>
          <w:b w:val="false"/>
          <w:i w:val="false"/>
          <w:color w:val="000000"/>
          <w:sz w:val="22"/>
        </w:rPr>
        <w:t>43.7(1)</w:t>
      </w:r>
      <w:r>
        <w:rPr>
          <w:rFonts w:ascii="Times New Roman" w:hAnsi="Times New Roman"/>
          <w:b w:val="false"/>
          <w:i/>
          <w:color w:val="000000"/>
          <w:sz w:val="22"/>
        </w:rPr>
        <w:t>“e,”</w:t>
      </w:r>
      <w:r>
        <w:rPr>
          <w:rFonts w:ascii="Times New Roman" w:hAnsi="Times New Roman"/>
          <w:b w:val="false"/>
          <w:i w:val="false"/>
          <w:color w:val="000000"/>
          <w:sz w:val="22"/>
        </w:rPr>
        <w:t xml:space="preserve"> unless the system has OCC under </w:t>
      </w:r>
      <w:r>
        <w:rPr>
          <w:rFonts w:ascii="Times New Roman" w:hAnsi="Times New Roman"/>
          <w:b w:val="false"/>
          <w:i w:val="false"/>
          <w:color w:val="000000"/>
          <w:sz w:val="22"/>
        </w:rPr>
        <w:t>43.7(1)</w:t>
      </w:r>
      <w:r>
        <w:rPr>
          <w:rFonts w:ascii="Times New Roman" w:hAnsi="Times New Roman"/>
          <w:b w:val="false"/>
          <w:i/>
          <w:color w:val="000000"/>
          <w:sz w:val="22"/>
        </w:rPr>
        <w:t>“b”</w:t>
      </w:r>
      <w:r>
        <w:rPr>
          <w:rFonts w:ascii="Times New Roman" w:hAnsi="Times New Roman"/>
          <w:b w:val="false"/>
          <w:i w:val="false"/>
          <w:color w:val="000000"/>
          <w:sz w:val="22"/>
        </w:rPr>
        <w:t xml:space="preserve">(1), </w:t>
      </w:r>
      <w:r>
        <w:rPr>
          <w:rFonts w:ascii="Times New Roman" w:hAnsi="Times New Roman"/>
          <w:b w:val="false"/>
          <w:i w:val="false"/>
          <w:color w:val="000000"/>
          <w:sz w:val="22"/>
        </w:rPr>
        <w:t>43.7(1)</w:t>
      </w:r>
      <w:r>
        <w:rPr>
          <w:rFonts w:ascii="Times New Roman" w:hAnsi="Times New Roman"/>
          <w:b w:val="false"/>
          <w:i/>
          <w:color w:val="000000"/>
          <w:sz w:val="22"/>
        </w:rPr>
        <w:t>“b”</w:t>
      </w:r>
      <w:r>
        <w:rPr>
          <w:rFonts w:ascii="Times New Roman" w:hAnsi="Times New Roman"/>
          <w:b w:val="false"/>
          <w:i w:val="false"/>
          <w:color w:val="000000"/>
          <w:sz w:val="22"/>
        </w:rPr>
        <w:t xml:space="preserve">(2), or </w:t>
      </w:r>
      <w:r>
        <w:rPr>
          <w:rFonts w:ascii="Times New Roman" w:hAnsi="Times New Roman"/>
          <w:b w:val="false"/>
          <w:i w:val="false"/>
          <w:color w:val="000000"/>
          <w:sz w:val="22"/>
        </w:rPr>
        <w:t>43.7(1)</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that a system has optimized corrosion control (OCC). </w:t>
      </w:r>
      <w:r>
        <w:rPr>
          <w:rFonts w:ascii="Times New Roman" w:hAnsi="Times New Roman"/>
          <w:b w:val="false"/>
          <w:i w:val="false"/>
          <w:color w:val="000000"/>
          <w:sz w:val="22"/>
        </w:rPr>
        <w:t>A PWS has OCC and is not required to complete the applicable CCT steps in this subrule if the system satisfies one of the criteria in </w:t>
      </w:r>
      <w:r>
        <w:rPr>
          <w:rFonts w:ascii="Times New Roman" w:hAnsi="Times New Roman"/>
          <w:b w:val="false"/>
          <w:i w:val="false"/>
          <w:color w:val="000000"/>
          <w:sz w:val="22"/>
        </w:rPr>
        <w:t>43.7(1)</w:t>
      </w:r>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val="false"/>
          <w:color w:val="000000"/>
          <w:sz w:val="22"/>
        </w:rPr>
        <w:t>43.7(1)</w:t>
      </w:r>
      <w:r>
        <w:rPr>
          <w:rFonts w:ascii="Times New Roman" w:hAnsi="Times New Roman"/>
          <w:b w:val="false"/>
          <w:i/>
          <w:color w:val="000000"/>
          <w:sz w:val="22"/>
        </w:rPr>
        <w:t>“b”</w:t>
      </w:r>
      <w:r>
        <w:rPr>
          <w:rFonts w:ascii="Times New Roman" w:hAnsi="Times New Roman"/>
          <w:b w:val="false"/>
          <w:i w:val="false"/>
          <w:color w:val="000000"/>
          <w:sz w:val="22"/>
        </w:rPr>
        <w:t>(3). Any system deemed to have OCC under this paragraph and that has treatment in place shall continue to operate and maintain optimal corrosion control treatment (OCCT) and meet any requirements that the department determines appropriate to ensure OCCT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or medium-size PWS has optimized CCT if the system meets the lead and copper ALs during each of two consecutive six-month monitoring periods, conducted in accordance with </w:t>
      </w:r>
      <w:hyperlink r:id="rId263">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PWS may be deemed to have optimized CCT if it demonstrates to the department’s satisfaction that it has conducted activities equivalent to the corrosion control steps applicable to such system under this subrule. If the department makes this determination, it shall provide the PWS with written notice explaining the basis for its decision and shall specify the WQPs representing OCC in accordance with </w:t>
      </w:r>
      <w:r>
        <w:rPr>
          <w:rFonts w:ascii="Times New Roman" w:hAnsi="Times New Roman"/>
          <w:b w:val="false"/>
          <w:i w:val="false"/>
          <w:color w:val="000000"/>
          <w:sz w:val="22"/>
        </w:rPr>
        <w:t>43.7(2)</w:t>
      </w:r>
      <w:r>
        <w:rPr>
          <w:rFonts w:ascii="Times New Roman" w:hAnsi="Times New Roman"/>
          <w:b w:val="false"/>
          <w:i/>
          <w:color w:val="000000"/>
          <w:sz w:val="22"/>
        </w:rPr>
        <w:t>“f.”</w:t>
      </w:r>
      <w:r>
        <w:rPr>
          <w:rFonts w:ascii="Times New Roman" w:hAnsi="Times New Roman"/>
          <w:b w:val="false"/>
          <w:i w:val="false"/>
          <w:color w:val="000000"/>
          <w:sz w:val="22"/>
        </w:rPr>
        <w:t xml:space="preserve"> Systems deemed to have OCCT under this paragraph shall operate in compliance with the department-designated OWQPs in accordance with </w:t>
      </w:r>
      <w:r>
        <w:rPr>
          <w:rFonts w:ascii="Times New Roman" w:hAnsi="Times New Roman"/>
          <w:b w:val="false"/>
          <w:i w:val="false"/>
          <w:color w:val="000000"/>
          <w:sz w:val="22"/>
        </w:rPr>
        <w:t>43.7(1)</w:t>
      </w:r>
      <w:r>
        <w:rPr>
          <w:rFonts w:ascii="Times New Roman" w:hAnsi="Times New Roman"/>
          <w:b w:val="false"/>
          <w:i/>
          <w:color w:val="000000"/>
          <w:sz w:val="22"/>
        </w:rPr>
        <w:t>“g”</w:t>
      </w:r>
      <w:r>
        <w:rPr>
          <w:rFonts w:ascii="Times New Roman" w:hAnsi="Times New Roman"/>
          <w:b w:val="false"/>
          <w:i w:val="false"/>
          <w:color w:val="000000"/>
          <w:sz w:val="22"/>
        </w:rPr>
        <w:t xml:space="preserve"> and continue to conduct lead and copper tap and WQP sampling in accordance with </w:t>
      </w:r>
      <w:hyperlink r:id="rId264">
        <w:r>
          <w:rPr>
            <w:rStyle w:val="Hyperlink"/>
            <w:rFonts w:ascii="Times New Roman" w:hAnsi="Times New Roman"/>
            <w:b w:val="false"/>
            <w:i w:val="false"/>
            <w:color w:val="000000"/>
            <w:sz w:val="22"/>
          </w:rPr>
          <w:t>567—paragraph 41.4(1)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“3” and “4,” respectively. A system shall provide the department with the following information to support a determination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all samples collected for each of the WQPs in </w:t>
      </w:r>
      <w:r>
        <w:rPr>
          <w:rFonts w:ascii="Times New Roman" w:hAnsi="Times New Roman"/>
          <w:b w:val="false"/>
          <w:i w:val="false"/>
          <w:color w:val="000000"/>
          <w:sz w:val="22"/>
        </w:rPr>
        <w:t>43.7(2)</w:t>
      </w:r>
      <w:r>
        <w:rPr>
          <w:rFonts w:ascii="Times New Roman" w:hAnsi="Times New Roman"/>
          <w:b w:val="false"/>
          <w:i/>
          <w:color w:val="000000"/>
          <w:sz w:val="22"/>
        </w:rPr>
        <w:t>“c”</w:t>
      </w:r>
      <w:r>
        <w:rPr>
          <w:rFonts w:ascii="Times New Roman" w:hAnsi="Times New Roman"/>
          <w:b w:val="false"/>
          <w:i w:val="false"/>
          <w:color w:val="000000"/>
          <w:sz w:val="22"/>
        </w:rPr>
        <w:t>(3)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explaining the test methods used by the system to evaluate the CCTs in </w:t>
      </w:r>
      <w:r>
        <w:rPr>
          <w:rFonts w:ascii="Times New Roman" w:hAnsi="Times New Roman"/>
          <w:b w:val="false"/>
          <w:i w:val="false"/>
          <w:color w:val="000000"/>
          <w:sz w:val="22"/>
        </w:rPr>
        <w:t>43.7(2)</w:t>
      </w:r>
      <w:r>
        <w:rPr>
          <w:rFonts w:ascii="Times New Roman" w:hAnsi="Times New Roman"/>
          <w:b w:val="false"/>
          <w:i/>
          <w:color w:val="000000"/>
          <w:sz w:val="22"/>
        </w:rPr>
        <w:t>“c”</w:t>
      </w:r>
      <w:r>
        <w:rPr>
          <w:rFonts w:ascii="Times New Roman" w:hAnsi="Times New Roman"/>
          <w:b w:val="false"/>
          <w:i w:val="false"/>
          <w:color w:val="000000"/>
          <w:sz w:val="22"/>
        </w:rPr>
        <w:t>(1), the results of all testing, and the basis for the system’s selection of OCCT;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report explaining how CCT was installed and how it is being maintained to ensure minimal lead and copper concentrations at consumers’ taps;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tap water samples collected in accordance with </w:t>
      </w:r>
      <w:hyperlink r:id="rId265">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at least once every six months for one year after CCT has been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has OCCT if it submits results of tap water monitoring conducted in accordance with </w:t>
      </w:r>
      <w:hyperlink r:id="rId266">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source water monitoring conducted in accordance with </w:t>
      </w:r>
      <w:hyperlink r:id="rId267">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“e”</w:t>
      </w:r>
      <w:r>
        <w:rPr>
          <w:rFonts w:ascii="Times New Roman" w:hAnsi="Times New Roman"/>
          <w:b w:val="false"/>
          <w:i w:val="false"/>
          <w:color w:val="000000"/>
          <w:sz w:val="22"/>
        </w:rPr>
        <w:t xml:space="preserve"> that demonstrate, for two consecutive six-month monitoring periods, that the difference between the 90th percentile tap water lead level computed under </w:t>
      </w:r>
      <w:hyperlink r:id="rId268">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the highest source water lead concentration is less than the practical quantitation level for lead in </w:t>
      </w:r>
      <w:hyperlink r:id="rId269">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“g.”</w:t>
      </w:r>
      <w:r>
        <w:rPr>
          <w:rFonts w:ascii="Times New Roman" w:hAnsi="Times New Roman"/>
          <w:b w:val="false"/>
          <w:i w:val="false"/>
          <w:color w:val="000000"/>
          <w:sz w:val="22"/>
        </w:rPr>
        <w:t xml:space="preserve">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Those systems whose highest source water lead level is below the method detection limit may also be deemed to have OCCT if the 90th percentile tap water lead level is less than or equal to the lead PQL for two consecutive six-month monitoring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deemed to have OCC  shall continue lead and copper monitoring at the tap no less frequently than once every three calendar years using the reduced number of sites specified in </w:t>
      </w:r>
      <w:hyperlink r:id="rId270">
        <w:r>
          <w:rPr>
            <w:rStyle w:val="Hyperlink"/>
            <w:rFonts w:ascii="Times New Roman" w:hAnsi="Times New Roman"/>
            <w:b w:val="false"/>
            <w:i w:val="false"/>
            <w:color w:val="000000"/>
            <w:sz w:val="22"/>
          </w:rPr>
          <w:t>567—subparagraph 41.4(1)</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collecting the samples at times and locations specified in </w:t>
      </w:r>
      <w:hyperlink r:id="rId271">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(4)“4,” fourth bulleted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deemed to have OCC shall notify the department in writing of any upcoming long-term change in treatment or the addition of a new source, pursuant to </w:t>
      </w:r>
      <w:hyperlink r:id="rId272">
        <w:r>
          <w:rPr>
            <w:rStyle w:val="Hyperlink"/>
            <w:rFonts w:ascii="Times New Roman" w:hAnsi="Times New Roman"/>
            <w:b w:val="false"/>
            <w:i w:val="false"/>
            <w:color w:val="000000"/>
            <w:sz w:val="22"/>
          </w:rPr>
          <w:t>567—subparagraph 40.8(2)</w:t>
        </w:r>
      </w:hyperlink>
      <w:r>
        <w:rPr>
          <w:rFonts w:ascii="Times New Roman" w:hAnsi="Times New Roman"/>
          <w:b w:val="false"/>
          <w:i/>
          <w:color w:val="000000"/>
          <w:sz w:val="22"/>
        </w:rPr>
        <w:t>“a”</w:t>
      </w:r>
      <w:r>
        <w:rPr>
          <w:rFonts w:ascii="Times New Roman" w:hAnsi="Times New Roman"/>
          <w:b w:val="false"/>
          <w:i w:val="false"/>
          <w:color w:val="000000"/>
          <w:sz w:val="22"/>
        </w:rPr>
        <w:t>(3). The department must review and approve the addition of a new source or long-term change in water treatment before it is implemented by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system meets the copper AL, it is not deemed to have OCCT and shall implement CCT pursuant to </w:t>
      </w:r>
      <w:hyperlink r:id="rId273">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triggered into corrosion control because it is no longer deemed to have OCCT shall implement CCT in accordance with </w:t>
      </w:r>
      <w:hyperlink r:id="rId274">
        <w:r>
          <w:rPr>
            <w:rStyle w:val="Hyperlink"/>
            <w:rFonts w:ascii="Times New Roman" w:hAnsi="Times New Roman"/>
            <w:b w:val="false"/>
            <w:i w:val="false"/>
            <w:color w:val="000000"/>
            <w:sz w:val="22"/>
          </w:rPr>
          <w:t>43.7(1)</w:t>
        </w:r>
      </w:hyperlink>
      <w:r>
        <w:rPr>
          <w:rFonts w:ascii="Times New Roman" w:hAnsi="Times New Roman"/>
          <w:b w:val="false"/>
          <w:i/>
          <w:color w:val="000000"/>
          <w:sz w:val="22"/>
        </w:rPr>
        <w:t>“e.”</w:t>
      </w:r>
      <w:r>
        <w:rPr>
          <w:rFonts w:ascii="Times New Roman" w:hAnsi="Times New Roman"/>
          <w:b w:val="false"/>
          <w:i w:val="false"/>
          <w:color w:val="000000"/>
          <w:sz w:val="22"/>
        </w:rPr>
        <w:t xml:space="preserve"> Any such large system shall adhere to the schedule specified in that paragraph for medium-size systems, with the time periods for completing each step being triggered by the date the system is no longer deemed to have OCC.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Requirements to recommence corrosion control steps. </w:t>
      </w:r>
      <w:r>
        <w:rPr>
          <w:rFonts w:ascii="Times New Roman" w:hAnsi="Times New Roman"/>
          <w:b w:val="false"/>
          <w:i w:val="false"/>
          <w:color w:val="000000"/>
          <w:sz w:val="22"/>
        </w:rPr>
        <w:t xml:space="preserve">Any small or medium-size system required to complete the corrosion control steps due to its exceedance of the lead or copper AL may cease completing the treatment steps when it meets both ALs during each of two consecutive monitoring periods conducted pursuant to </w:t>
      </w:r>
      <w:hyperlink r:id="rId275">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submits the results to the department. If any such system thereafter exceeds the lead or copper AL during any monitoring period, it shall recommence completion of the applicable treatment steps, beginning with the first treatment step that was not previously completed in its entirety. The department may require a system to repeat previously completed steps when it determines  the steps are necessary to properly implement the treatment requirements of this rule. The department will notify the system of such a determination in writing and explain the basis for its decision. The requirement for any small or medium-size system to implement CCT steps in accordance with </w:t>
      </w:r>
      <w:hyperlink r:id="rId276">
        <w:r>
          <w:rPr>
            <w:rStyle w:val="Hyperlink"/>
            <w:rFonts w:ascii="Times New Roman" w:hAnsi="Times New Roman"/>
            <w:b w:val="false"/>
            <w:i w:val="false"/>
            <w:color w:val="000000"/>
            <w:sz w:val="22"/>
          </w:rPr>
          <w:t>43.7(1)</w:t>
        </w:r>
      </w:hyperlink>
      <w:r>
        <w:rPr>
          <w:rFonts w:ascii="Times New Roman" w:hAnsi="Times New Roman"/>
          <w:b w:val="false"/>
          <w:i/>
          <w:color w:val="000000"/>
          <w:sz w:val="22"/>
        </w:rPr>
        <w:t>“e”</w:t>
      </w:r>
      <w:r>
        <w:rPr>
          <w:rFonts w:ascii="Times New Roman" w:hAnsi="Times New Roman"/>
          <w:b w:val="false"/>
          <w:i w:val="false"/>
          <w:color w:val="000000"/>
          <w:sz w:val="22"/>
        </w:rPr>
        <w:t xml:space="preserve"> (including systems deemed to have OCC under </w:t>
      </w:r>
      <w:hyperlink r:id="rId277">
        <w:r>
          <w:rPr>
            <w:rStyle w:val="Hyperlink"/>
            <w:rFonts w:ascii="Times New Roman" w:hAnsi="Times New Roman"/>
            <w:b w:val="false"/>
            <w:i w:val="false"/>
            <w:color w:val="000000"/>
            <w:sz w:val="22"/>
          </w:rPr>
          <w:t>43.7(1)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is triggered when any such system exceeds the lead or copper 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steps and deadlines for large systems. </w:t>
      </w:r>
      <w:r>
        <w:rPr>
          <w:rFonts w:ascii="Times New Roman" w:hAnsi="Times New Roman"/>
          <w:b w:val="false"/>
          <w:i w:val="false"/>
          <w:color w:val="000000"/>
          <w:sz w:val="22"/>
        </w:rPr>
        <w:t xml:space="preserve">Except as provided in </w:t>
      </w:r>
      <w:hyperlink r:id="rId278">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r>
        <w:rPr>
          <w:rFonts w:ascii="Times New Roman" w:hAnsi="Times New Roman"/>
          <w:b w:val="false"/>
          <w:i/>
          <w:color w:val="000000"/>
          <w:sz w:val="22"/>
        </w:rPr>
        <w:t>“b”</w:t>
      </w:r>
      <w:r>
        <w:rPr>
          <w:rFonts w:ascii="Times New Roman" w:hAnsi="Times New Roman"/>
          <w:b w:val="false"/>
          <w:i w:val="false"/>
          <w:color w:val="000000"/>
          <w:sz w:val="22"/>
        </w:rPr>
        <w:t>(3), large systems shall complete the following CCT steps (described in the rules referenced below) by the indicated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Step 1. The system shall conduct initial monitoring pursuant to </w:t>
      </w:r>
      <w:hyperlink r:id="rId279">
        <w:r>
          <w:rPr>
            <w:rStyle w:val="Hyperlink"/>
            <w:rFonts w:ascii="Times New Roman" w:hAnsi="Times New Roman"/>
            <w:b w:val="false"/>
            <w:i w:val="false"/>
            <w:color w:val="000000"/>
            <w:sz w:val="22"/>
          </w:rPr>
          <w:t>567—paragraph 41.4(1)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“1” and </w:t>
      </w:r>
      <w:hyperlink r:id="rId280">
        <w:r>
          <w:rPr>
            <w:rStyle w:val="Hyperlink"/>
            <w:rFonts w:ascii="Times New Roman" w:hAnsi="Times New Roman"/>
            <w:b w:val="false"/>
            <w:i w:val="false"/>
            <w:color w:val="000000"/>
            <w:sz w:val="22"/>
          </w:rPr>
          <w:t>567—subparagraph 41.4(1)</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during two consecutive six-month monitoring periods by January 1, 1993.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 2. The system shall complete corrosion control studies pursuant to </w:t>
      </w:r>
      <w:hyperlink r:id="rId281">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by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Step 3. The department will designate OCCT within six months of receiving the corrosion control study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Step 4. The system shall install OCCT by January 1,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Step 5. The system shall complete follow-up sampling pursuant to </w:t>
      </w:r>
      <w:hyperlink r:id="rId282">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and </w:t>
      </w:r>
      <w:hyperlink r:id="rId283">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“d”</w:t>
      </w:r>
      <w:r>
        <w:rPr>
          <w:rFonts w:ascii="Times New Roman" w:hAnsi="Times New Roman"/>
          <w:b w:val="false"/>
          <w:i w:val="false"/>
          <w:color w:val="000000"/>
          <w:sz w:val="22"/>
        </w:rPr>
        <w:t>(3) by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Step 6. The department will review installation of treatment and designate OWQPs pursuant to </w:t>
      </w:r>
      <w:hyperlink r:id="rId284">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by July 1,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Step 7. The system shall operate in compliance with OWQPs delineated by the department and continue to conduct tap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Treatment steps and deadlines for small and medium-size systems. </w:t>
      </w:r>
      <w:r>
        <w:rPr>
          <w:rFonts w:ascii="Times New Roman" w:hAnsi="Times New Roman"/>
          <w:b w:val="false"/>
          <w:i w:val="false"/>
          <w:color w:val="000000"/>
          <w:sz w:val="22"/>
        </w:rPr>
        <w:t xml:space="preserve">Except as provided in </w:t>
      </w:r>
      <w:hyperlink r:id="rId285">
        <w:r>
          <w:rPr>
            <w:rStyle w:val="Hyperlink"/>
            <w:rFonts w:ascii="Times New Roman" w:hAnsi="Times New Roman"/>
            <w:b w:val="false"/>
            <w:i w:val="false"/>
            <w:color w:val="000000"/>
            <w:sz w:val="22"/>
          </w:rPr>
          <w:t>43.7(2)</w:t>
        </w:r>
      </w:hyperlink>
      <w:r>
        <w:rPr>
          <w:rFonts w:ascii="Times New Roman" w:hAnsi="Times New Roman"/>
          <w:b w:val="false"/>
          <w:i w:val="false"/>
          <w:color w:val="000000"/>
          <w:sz w:val="22"/>
        </w:rPr>
        <w:t>, small and medium-size systems shall complete the following CCT steps (described in the rules referenced below) by the indicated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Step 1. A system shall conduct initial tap sampling pursuant to </w:t>
      </w:r>
      <w:hyperlink r:id="rId286">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(4)“1” and </w:t>
      </w:r>
      <w:hyperlink r:id="rId287">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until it either exceeds the lead or copper AL or becomes eligible for reduced monitoring under </w:t>
      </w:r>
      <w:hyperlink r:id="rId288">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A system exceeding the lead or copper AL shall recommend OCCT under </w:t>
      </w:r>
      <w:hyperlink r:id="rId289">
        <w:r>
          <w:rPr>
            <w:rStyle w:val="Hyperlink"/>
            <w:rFonts w:ascii="Times New Roman" w:hAnsi="Times New Roman"/>
            <w:b w:val="false"/>
            <w:i w:val="false"/>
            <w:color w:val="000000"/>
            <w:sz w:val="22"/>
          </w:rPr>
          <w:t>43.7(2)</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six months after the end of the monitoring period during which it exceeds one of the 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 2. Within 12 months after the end of the monitoring period during which a system exceeds the lead or copper AL, the department may require the system to perform corrosion control studies under </w:t>
      </w:r>
      <w:hyperlink r:id="rId290">
        <w:r>
          <w:rPr>
            <w:rStyle w:val="Hyperlink"/>
            <w:rFonts w:ascii="Times New Roman" w:hAnsi="Times New Roman"/>
            <w:b w:val="false"/>
            <w:i w:val="false"/>
            <w:color w:val="000000"/>
            <w:sz w:val="22"/>
          </w:rPr>
          <w:t>43.7(2)</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system is not required to perform such studies, the department will specify OCCT under </w:t>
      </w:r>
      <w:hyperlink r:id="rId291">
        <w:r>
          <w:rPr>
            <w:rStyle w:val="Hyperlink"/>
            <w:rFonts w:ascii="Times New Roman" w:hAnsi="Times New Roman"/>
            <w:b w:val="false"/>
            <w:i w:val="false"/>
            <w:color w:val="000000"/>
            <w:sz w:val="22"/>
          </w:rPr>
          <w:t>43.7(2)</w:t>
        </w:r>
        <w:r>
          <w:rPr>
            <w:rFonts w:ascii="Times New Roman" w:hAnsi="Times New Roman"/>
            <w:b w:val="false"/>
            <w:i/>
            <w:color w:val="000000"/>
            <w:sz w:val="22"/>
          </w:rPr>
          <w:t>“d”</w:t>
        </w:r>
      </w:hyperlink>
      <w:r>
        <w:rPr>
          <w:rFonts w:ascii="Times New Roman" w:hAnsi="Times New Roman"/>
          <w:b w:val="false"/>
          <w:i w:val="false"/>
          <w:color w:val="000000"/>
          <w:sz w:val="22"/>
        </w:rPr>
        <w:t xml:space="preserve"> as follows: for medium-size systems, within 18 months after the end of the monitoring period during which such system exceeds the lead or copper AL, and, for small systems, within 24 months after the end of the monitoring period during which such system exceeds the lead or copper 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Step 3. If a system is required to perform corrosion control studies under Step 2, it shall complete the studies (under </w:t>
      </w:r>
      <w:hyperlink r:id="rId292">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within 18 months after such studies are required to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Step 4. If the system has performed corrosion control studies under Step 2, the department will designate OCCT under </w:t>
      </w:r>
      <w:hyperlink r:id="rId293">
        <w:r>
          <w:rPr>
            <w:rStyle w:val="Hyperlink"/>
            <w:rFonts w:ascii="Times New Roman" w:hAnsi="Times New Roman"/>
            <w:b w:val="false"/>
            <w:i w:val="false"/>
            <w:color w:val="000000"/>
            <w:sz w:val="22"/>
          </w:rPr>
          <w:t>43.7(2)</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six months after completion of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Step 5. Systems shall install OCCT under </w:t>
      </w:r>
      <w:r>
        <w:rPr>
          <w:rFonts w:ascii="Times New Roman" w:hAnsi="Times New Roman"/>
          <w:b w:val="false"/>
          <w:i w:val="false"/>
          <w:color w:val="000000"/>
          <w:sz w:val="22"/>
        </w:rPr>
        <w:t>43.7(2)</w:t>
      </w:r>
      <w:r>
        <w:rPr>
          <w:rFonts w:ascii="Times New Roman" w:hAnsi="Times New Roman"/>
          <w:b w:val="false"/>
          <w:i/>
          <w:color w:val="000000"/>
          <w:sz w:val="22"/>
        </w:rPr>
        <w:t>“e”</w:t>
      </w:r>
      <w:r>
        <w:rPr>
          <w:rFonts w:ascii="Times New Roman" w:hAnsi="Times New Roman"/>
          <w:b w:val="false"/>
          <w:i w:val="false"/>
          <w:color w:val="000000"/>
          <w:sz w:val="22"/>
        </w:rPr>
        <w:t xml:space="preserve"> within 24 months after such treatment is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Step 6. Systems shall complete follow-up sampling pursuant to </w:t>
      </w:r>
      <w:hyperlink r:id="rId294">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and </w:t>
      </w:r>
      <w:hyperlink r:id="rId295">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“d”</w:t>
      </w:r>
      <w:r>
        <w:rPr>
          <w:rFonts w:ascii="Times New Roman" w:hAnsi="Times New Roman"/>
          <w:b w:val="false"/>
          <w:i w:val="false"/>
          <w:color w:val="000000"/>
          <w:sz w:val="22"/>
        </w:rPr>
        <w:t>(3) within 36 months after OCCT is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Step 7. The department will review a system’s installation of treatment and designate OWQPs pursuant to </w:t>
      </w:r>
      <w:hyperlink r:id="rId296">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within six months after completion of Step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Step 8. Systems shall operate in compliance with the department-designated OWQPs under </w:t>
      </w:r>
      <w:hyperlink r:id="rId297">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continue to conduct tap sampling per 567—paragraphs </w:t>
      </w:r>
      <w:hyperlink r:id="rId29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and </w:t>
      </w:r>
      <w:hyperlink r:id="rId299">
        <w:r>
          <w:rPr>
            <w:rStyle w:val="Hyperlink"/>
            <w:rFonts w:ascii="Times New Roman" w:hAnsi="Times New Roman"/>
            <w:b w:val="false"/>
            <w:i w:val="false"/>
            <w:color w:val="000000"/>
            <w:sz w:val="22"/>
          </w:rPr>
          <w:t>41.4(1)</w:t>
        </w:r>
        <w:r>
          <w:rPr>
            <w:rFonts w:ascii="Times New Roman" w:hAnsi="Times New Roman"/>
            <w:b w:val="false"/>
            <w:i/>
            <w:color w:val="000000"/>
            <w:sz w:val="22"/>
          </w:rPr>
          <w:t>“d”</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color w:val="000000"/>
          <w:sz w:val="22"/>
        </w:rPr>
        <w:t xml:space="preserve">CCT requirements. </w:t>
      </w:r>
      <w:r>
        <w:rPr>
          <w:rFonts w:ascii="Times New Roman" w:hAnsi="Times New Roman"/>
          <w:b w:val="false"/>
          <w:i w:val="false"/>
          <w:color w:val="000000"/>
          <w:sz w:val="22"/>
        </w:rPr>
        <w:t xml:space="preserve">Each PWS shall complete the CCT requirements described below that are applicable to such systems under </w:t>
      </w:r>
      <w:hyperlink r:id="rId300">
        <w:r>
          <w:rPr>
            <w:rStyle w:val="Hyperlink"/>
            <w:rFonts w:ascii="Times New Roman" w:hAnsi="Times New Roman"/>
            <w:b w:val="false"/>
            <w:i w:val="false"/>
            <w:color w:val="000000"/>
            <w:sz w:val="22"/>
          </w:rPr>
          <w:t>43.7(1)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PWS recommendation. </w:t>
      </w:r>
      <w:r>
        <w:rPr>
          <w:rFonts w:ascii="Times New Roman" w:hAnsi="Times New Roman"/>
          <w:b w:val="false"/>
          <w:i w:val="false"/>
          <w:color w:val="000000"/>
          <w:sz w:val="22"/>
        </w:rPr>
        <w:t xml:space="preserve">Based on the results of lead and copper tap monitoring and WQP monitoring, small and medium-size systems exceeding the lead or copper AL shall recommend installation of one or more of the CCTs in </w:t>
      </w:r>
      <w:hyperlink r:id="rId301">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that the system believes constitute OCC. The department may require a system to conduct additional WQP monitoring in accordance with </w:t>
      </w:r>
      <w:hyperlink r:id="rId302">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“d”</w:t>
      </w:r>
      <w:r>
        <w:rPr>
          <w:rFonts w:ascii="Times New Roman" w:hAnsi="Times New Roman"/>
          <w:b w:val="false"/>
          <w:i w:val="false"/>
          <w:color w:val="000000"/>
          <w:sz w:val="22"/>
        </w:rPr>
        <w:t>(2) to assist in reviewing the system’s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decision to require CCT studies (small and medium-size systems). </w:t>
      </w:r>
      <w:r>
        <w:rPr>
          <w:rFonts w:ascii="Times New Roman" w:hAnsi="Times New Roman"/>
          <w:b w:val="false"/>
          <w:i w:val="false"/>
          <w:color w:val="000000"/>
          <w:sz w:val="22"/>
        </w:rPr>
        <w:t xml:space="preserve">The department may require any small or medium-size system that exceeds the lead or copper AL to perform corrosion control studies under </w:t>
      </w:r>
      <w:hyperlink r:id="rId303">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to identify OCCT.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of corrosion control studies.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PWS performing corrosion control studies shall evaluate the effectiveness of each of the following treatments and, if appropriate, combinations of the following treatments to identify the OCCT: alkalinity and pH adjustment; calcium hardness adjustment; and phosphate or silicate-based corrosion inhibitor addition at a concentration sufficient to maintain an effective residual concentration in all test tap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PWSs shall evaluate each of the CCTs using either pipe rig/loop tests, metal coupon tests, partial-system tests, or analyses based on documented analogous treatments with other systems of similar size, water chemistry, and distribution system configuration.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PWSs shall measure the following WQPs in any tests conducted under this paragraph before and after evaluating the CCTs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Alkalinity;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Calcium;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Conductivity;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Orthophosphate (when an inhibitor containing a phosphate compound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Silicate (when an inhibitor containing a silicate compound is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PWSs shall identify all chemical or physical constraints that limit or prohibit the use of a particular CCT and outline such constraints with data and documentation either showing that a particular CCT has adversely affected other water treatment processes when used by another system with comparable water quality characteristics; or demonstrating that the system has previously attempted to evaluate a particular CCT and has found that the treatment is ineffective or adversely affects other water quality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Systems shall evaluate the effect of the chemicals used for CCT on other water quality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Based on analysis of the data generated during each evaluation, a system shall recommend in writing to the department the treatment option that the corrosion control studies indicate constitutes OCCT for that system. The system shall provide a rationale for its recommendation along with all supporting documentation required by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designation of OCCT.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consideration of available information including, where applicable, studies performed under </w:t>
      </w:r>
      <w:hyperlink r:id="rId304">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a system’s recommended treatment alternative, the department will either approve the CCT option recommended by the PWS, or designate alternative treatment(s) from among those listed in </w:t>
      </w:r>
      <w:hyperlink r:id="rId305">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will consider the effects that additional treatment will have on WQPs and on other water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a PWS of its decision on OCCT in writing and explain the basis for this determination. If the department requests additional information to aid its review, a PWS shall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Installation of OCC. </w:t>
      </w:r>
      <w:r>
        <w:rPr>
          <w:rFonts w:ascii="Times New Roman" w:hAnsi="Times New Roman"/>
          <w:b w:val="false"/>
          <w:i w:val="false"/>
          <w:color w:val="000000"/>
          <w:sz w:val="22"/>
        </w:rPr>
        <w:t xml:space="preserve">Each PWS shall properly install and operate throughout its distribution system the OCCT designated under </w:t>
      </w:r>
      <w:hyperlink r:id="rId306">
        <w:r>
          <w:rPr>
            <w:rStyle w:val="Hyperlink"/>
            <w:rFonts w:ascii="Times New Roman" w:hAnsi="Times New Roman"/>
            <w:b w:val="false"/>
            <w:i w:val="false"/>
            <w:color w:val="000000"/>
            <w:sz w:val="22"/>
          </w:rPr>
          <w:t>43.7(2)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treatment and specification of optimal water quality control parameters (OWQPs).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evaluate the results of all lead and copper tap samples and WQP samples submitted by a PWS and determine whether the system has properly installed and operated the OCCT designated in </w:t>
      </w:r>
      <w:hyperlink r:id="rId307">
        <w:r>
          <w:rPr>
            <w:rStyle w:val="Hyperlink"/>
            <w:rFonts w:ascii="Times New Roman" w:hAnsi="Times New Roman"/>
            <w:b w:val="false"/>
            <w:i w:val="false"/>
            <w:color w:val="000000"/>
            <w:sz w:val="22"/>
          </w:rPr>
          <w:t>43.7(2)</w:t>
        </w:r>
        <w:r>
          <w:rPr>
            <w:rFonts w:ascii="Times New Roman" w:hAnsi="Times New Roman"/>
            <w:b w:val="false"/>
            <w:i/>
            <w:color w:val="000000"/>
            <w:sz w:val="22"/>
          </w:rPr>
          <w:t>“d.”</w:t>
        </w:r>
      </w:hyperlink>
      <w:r>
        <w:rPr>
          <w:rFonts w:ascii="Times New Roman" w:hAnsi="Times New Roman"/>
          <w:b w:val="false"/>
          <w:i w:val="false"/>
          <w:color w:val="000000"/>
          <w:sz w:val="22"/>
        </w:rPr>
        <w:t xml:space="preserve"> After reviewing the sampling results, both before and after a system installs optimal treatment, the department will designate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value or a range of values for pH measured at each SEP;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pH value, measured in all tap samples. Such value shall be equal to or greater than 7.0 unless meeting a pH level of 7.0 is not technologically feasible or is not necessary for the PWS to optimize corrosion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corrosion inhibitor is used, a minimum concentration or a range of concentrations for the inhibitor, measured at each SEP and in all tap samples, necessary to form a passivating film on the interior walls of the pipes of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alkalinity is adjusted as part of OCCT, a minimum concentration or a range of concentrations for alkalinity, measured at each SEP and in all tap samples;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calcium carbonate stabilization is used as part of corrosion control, a minimum concentration or a range of concentrations for calcium, measured in all tap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values for the applicable WQPs listed above shall be those reflecting OCCT for a PWS. The department may designate values for additional WQPs determined to reflect OCC for the system. The department will notify the system in writing of these determinations and explain the basis for its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Continued operation with OCC and WQP monitoring compliance determination. </w:t>
      </w:r>
      <w:r>
        <w:rPr>
          <w:rFonts w:ascii="Times New Roman" w:hAnsi="Times New Roman"/>
          <w:b w:val="false"/>
          <w:i w:val="false"/>
          <w:color w:val="000000"/>
          <w:sz w:val="22"/>
        </w:rPr>
        <w:t xml:space="preserve">In accordance with this paragraph, all systems optimizing corrosion control shall continue to operate and maintain OCCT, including maintaining WQPs at or above minimum values or within ranges designated by the department under </w:t>
      </w:r>
      <w:hyperlink r:id="rId308">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all samples collected under 567—subparagraphs </w:t>
      </w:r>
      <w:hyperlink r:id="rId309">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(4) through </w:t>
      </w:r>
      <w:r>
        <w:rPr>
          <w:rFonts w:ascii="Times New Roman" w:hAnsi="Times New Roman"/>
          <w:b w:val="false"/>
          <w:i/>
          <w:color w:val="000000"/>
          <w:sz w:val="22"/>
        </w:rPr>
        <w:t>“d”</w:t>
      </w:r>
      <w:r>
        <w:rPr>
          <w:rFonts w:ascii="Times New Roman" w:hAnsi="Times New Roman"/>
          <w:b w:val="false"/>
          <w:i w:val="false"/>
          <w:color w:val="000000"/>
          <w:sz w:val="22"/>
        </w:rPr>
        <w:t xml:space="preserve">(6). Compliance with this paragraph shall be determined every six months, as specified in </w:t>
      </w:r>
      <w:hyperlink r:id="rId310">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“d”</w:t>
      </w:r>
      <w:r>
        <w:rPr>
          <w:rFonts w:ascii="Times New Roman" w:hAnsi="Times New Roman"/>
          <w:b w:val="false"/>
          <w:i w:val="false"/>
          <w:color w:val="000000"/>
          <w:sz w:val="22"/>
        </w:rPr>
        <w:t>(4). A system is out of compliance with this paragraph for a six-month period if it has excursions for any department-specified parameter on more than nine days during the period. An excursion occurs when the daily value for one or more of the WQPs measured at a sampling location is below the minimum value or outside the department-designated range. The department has the discretion to invalidate results of obvious sampling errors from this calculation. Daily values for WQPs collected at a single sampling location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days when more than one measurement for the WQP is collected, the daily value shall be the average of all results collected during the day regardless of whether they are collected through continuous monitoring, grab sampling,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days when only one measurement for the WQP is collected, the daily value shall be the result of that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days when no measurement is collected for the WQP, the daily value shall be the daily value calculated on the most recent day that the WQP was measured at the sample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department treatment decisions. </w:t>
      </w:r>
      <w:r>
        <w:rPr>
          <w:rFonts w:ascii="Times New Roman" w:hAnsi="Times New Roman"/>
          <w:b w:val="false"/>
          <w:i w:val="false"/>
          <w:color w:val="000000"/>
          <w:sz w:val="22"/>
        </w:rPr>
        <w:t xml:space="preserve">A determination of the OCCT under </w:t>
      </w:r>
      <w:hyperlink r:id="rId311">
        <w:r>
          <w:rPr>
            <w:rStyle w:val="Hyperlink"/>
            <w:rFonts w:ascii="Times New Roman" w:hAnsi="Times New Roman"/>
            <w:b w:val="false"/>
            <w:i w:val="false"/>
            <w:color w:val="000000"/>
            <w:sz w:val="22"/>
          </w:rPr>
          <w:t>43.7(2)</w:t>
        </w:r>
        <w:r>
          <w:rPr>
            <w:rFonts w:ascii="Times New Roman" w:hAnsi="Times New Roman"/>
            <w:b w:val="false"/>
            <w:i/>
            <w:color w:val="000000"/>
            <w:sz w:val="22"/>
          </w:rPr>
          <w:t>“d”</w:t>
        </w:r>
      </w:hyperlink>
      <w:r>
        <w:rPr>
          <w:rFonts w:ascii="Times New Roman" w:hAnsi="Times New Roman"/>
          <w:b w:val="false"/>
          <w:i w:val="false"/>
          <w:color w:val="000000"/>
          <w:sz w:val="22"/>
        </w:rPr>
        <w:t xml:space="preserve"> or OWQPs under </w:t>
      </w:r>
      <w:hyperlink r:id="rId312">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may be modified. A modification request from a PWS or other interested party shall be in writing, explain why the modification is appropriate, and provide supporting documentation. The department may modify its determination when it concludes that such change is necessary to ensure that a PWS continues to optimize CCT. A revised determination will be made in writing, set forth the new treatment requirements, explain the basis for the decision, and provide an implementation schedule for completing treatment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color w:val="000000"/>
          <w:sz w:val="22"/>
        </w:rPr>
        <w:t xml:space="preserve">Source water treatment requirements. </w:t>
      </w:r>
      <w:r>
        <w:rPr>
          <w:rFonts w:ascii="Times New Roman" w:hAnsi="Times New Roman"/>
          <w:b w:val="false"/>
          <w:i w:val="false"/>
          <w:color w:val="000000"/>
          <w:sz w:val="22"/>
        </w:rPr>
        <w:t xml:space="preserve">PWSs shall complete the applicable source water monitoring and treatment requirements, as described in the referenced portions of </w:t>
      </w:r>
      <w:hyperlink r:id="rId313">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in 567—paragraphs </w:t>
      </w:r>
      <w:hyperlink r:id="rId31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by the following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Deadlines for completing source water treatment steps.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Step 1. A PWS exceeding the lead or copper AL shall complete lead and copper source water monitoring under </w:t>
      </w:r>
      <w:hyperlink r:id="rId315">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“e”</w:t>
      </w:r>
      <w:r>
        <w:rPr>
          <w:rFonts w:ascii="Times New Roman" w:hAnsi="Times New Roman"/>
          <w:b w:val="false"/>
          <w:i w:val="false"/>
          <w:color w:val="000000"/>
          <w:sz w:val="22"/>
        </w:rPr>
        <w:t>(2) and make a written treatment recommendation to the department no later than 180 days after the end of the monitoring period during which the lead or copper AL was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 2. The department will make a determination regarding source water treatment pursuant to </w:t>
      </w:r>
      <w:hyperlink r:id="rId316">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(2) within six months after submission of monitoring results under Step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Step 3. If installation of source water treatment is required, the system shall install treatment pursuant to </w:t>
      </w:r>
      <w:hyperlink r:id="rId317">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(3) within 24 months after completion of Step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Step 4. A PWS shall complete follow-up tap water monitoring under </w:t>
      </w:r>
      <w:hyperlink r:id="rId318">
        <w:r>
          <w:rPr>
            <w:rStyle w:val="Hyperlink"/>
            <w:rFonts w:ascii="Times New Roman" w:hAnsi="Times New Roman"/>
            <w:b w:val="false"/>
            <w:i w:val="false"/>
            <w:color w:val="000000"/>
            <w:sz w:val="22"/>
          </w:rPr>
          <w:t>567—paragraph 41.4(1)</w:t>
        </w:r>
        <w:r>
          <w:rPr>
            <w:rFonts w:ascii="Times New Roman" w:hAnsi="Times New Roman"/>
            <w:b w:val="false"/>
            <w:i/>
            <w:color w:val="000000"/>
            <w:sz w:val="22"/>
          </w:rPr>
          <w:t>“c”</w:t>
        </w:r>
        <w:r>
          <w:rPr>
            <w:rFonts w:ascii="Times New Roman" w:hAnsi="Times New Roman"/>
            <w:b w:val="false"/>
            <w:i w:val="false"/>
            <w:color w:val="000000"/>
            <w:sz w:val="22"/>
          </w:rPr>
          <w:t>(4)“2”</w:t>
        </w:r>
      </w:hyperlink>
      <w:r>
        <w:rPr>
          <w:rFonts w:ascii="Times New Roman" w:hAnsi="Times New Roman"/>
          <w:b w:val="false"/>
          <w:i w:val="false"/>
          <w:color w:val="000000"/>
          <w:sz w:val="22"/>
        </w:rPr>
        <w:t xml:space="preserve"> and source water monitoring under </w:t>
      </w:r>
      <w:hyperlink r:id="rId319">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“e”</w:t>
      </w:r>
      <w:r>
        <w:rPr>
          <w:rFonts w:ascii="Times New Roman" w:hAnsi="Times New Roman"/>
          <w:b w:val="false"/>
          <w:i w:val="false"/>
          <w:color w:val="000000"/>
          <w:sz w:val="22"/>
        </w:rPr>
        <w:t>(3) within 36 months after completion of Step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Step 5. The department will review the system’s installation and operation of source water treatment and specify maximum permissible source water levels under </w:t>
      </w:r>
      <w:hyperlink r:id="rId320">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(4) within six months after completion of Step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Step 6. A PWS shall operate in compliance with the maximum permissible lead and copper source water levels in </w:t>
      </w:r>
      <w:hyperlink r:id="rId321">
        <w:r>
          <w:rPr>
            <w:rStyle w:val="Hyperlink"/>
            <w:rFonts w:ascii="Times New Roman" w:hAnsi="Times New Roman"/>
            <w:b w:val="false"/>
            <w:i w:val="false"/>
            <w:color w:val="000000"/>
            <w:sz w:val="22"/>
          </w:rPr>
          <w:t>43.7(3)</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and continue source water monitoring pursuant to </w:t>
      </w:r>
      <w:hyperlink r:id="rId322">
        <w:r>
          <w:rPr>
            <w:rStyle w:val="Hyperlink"/>
            <w:rFonts w:ascii="Times New Roman" w:hAnsi="Times New Roman"/>
            <w:b w:val="false"/>
            <w:i w:val="false"/>
            <w:color w:val="000000"/>
            <w:sz w:val="22"/>
          </w:rPr>
          <w:t>567—subparagraph 41.4(1)</w:t>
        </w:r>
      </w:hyperlink>
      <w:r>
        <w:rPr>
          <w:rFonts w:ascii="Times New Roman" w:hAnsi="Times New Roman"/>
          <w:b w:val="false"/>
          <w:i/>
          <w:color w:val="000000"/>
          <w:sz w:val="22"/>
        </w:rPr>
        <w:t>“e”</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Description of treatment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treatment recommendation. Any system that exceeds the lead or copper AL shall recommend in writing to the department the installation and operation of one of the source water treatments in </w:t>
      </w:r>
      <w:hyperlink r:id="rId323">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(2). A system may recommend that no treatment be installed based upon a demonstration that source water treatment is not necessary to minimize lead and copper levels at users’ taps.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water treatment determinations. The department will evaluate the results of all source water samples submitted by a PWS to determine whether source water treatment is necessary to minimize lead or copper levels in water delivered to users’ taps. If the department determines that treatment is needed, it will require installation and operation of the source water treatment recommended by the PWS or require the installation and operation of another source water treatment from among the following: ion exchange, reverse osmosis, lime softening, or coagulation/filtration. If the department requests additional information to aid in its review, the PWS shall provide the information by the specified date. The department will notify the system in writing of its determination and set forth the basis for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 water treatment installation. PWSs shall properly install and operate the source water treatment designated by the department under </w:t>
      </w:r>
      <w:hyperlink r:id="rId324">
        <w:r>
          <w:rPr>
            <w:rStyle w:val="Hyperlink"/>
            <w:rFonts w:ascii="Times New Roman" w:hAnsi="Times New Roman"/>
            <w:b w:val="false"/>
            <w:i w:val="false"/>
            <w:color w:val="000000"/>
            <w:sz w:val="22"/>
          </w:rPr>
          <w:t>43.7(3)</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Department review and specification. The department will review a system’s source water samples both before and after the installation of source water treatment and determine whether the system has properly installed and operated the designated treatment. After the review, the department will designate maximum permissible lead and copper concentrations for finished water entering the distribution system. Such levels shall reflect the contaminant removal capability of the treatment (properly operated and maintained). The department will notify the PWS in writing and explain the basis for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operation and maintenance. Each PWS shall maintain lead and copper levels below the maximum permissible concentrations designated by the department at each sampling point monitored in accordance with </w:t>
      </w:r>
      <w:hyperlink r:id="rId325">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“e.”</w:t>
      </w:r>
      <w:r>
        <w:rPr>
          <w:rFonts w:ascii="Times New Roman" w:hAnsi="Times New Roman"/>
          <w:b w:val="false"/>
          <w:i w:val="false"/>
          <w:color w:val="000000"/>
          <w:sz w:val="22"/>
        </w:rPr>
        <w:t xml:space="preserve"> A system is out of compliance with this paragraph if the lead or copper level at any sampling point is greater than the maximum permissible designated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Modification of decisions. The department may modify its determinations of the source water treatment  or maximum permissible lead and copper concentrations made under subparagraphs (2) and (4) of this paragraph. A modification request from a PWS or other interested party shall be in writing, explain why the modification is appropriate, and provide supporting documentation. The department may modify its determination where it concludes that such change is necessary to ensure that a system continues to minimize lead and copper concentrations in source water. A revised determination will be made in writing, set forth the new treatment requirements, explain the basis for the decision, and provide an implementation schedule for completing treatment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43.7(4)</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replacement (LSLR)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PWSs that fail to meet the lead AL in tap samples taken pursuant to </w:t>
      </w:r>
      <w:hyperlink r:id="rId326">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after installing corrosion control or source water treatment (whichever sampling occurs later), shall replace lead service lines (LSLs) in accordance with this subrule. If a system is in violation of </w:t>
      </w:r>
      <w:hyperlink r:id="rId327">
        <w:r>
          <w:rPr>
            <w:rStyle w:val="Hyperlink"/>
            <w:rFonts w:ascii="Times New Roman" w:hAnsi="Times New Roman"/>
            <w:b w:val="false"/>
            <w:i w:val="false"/>
            <w:color w:val="000000"/>
            <w:sz w:val="22"/>
          </w:rPr>
          <w:t>43.7(1)</w:t>
        </w:r>
      </w:hyperlink>
      <w:r>
        <w:rPr>
          <w:rFonts w:ascii="Times New Roman" w:hAnsi="Times New Roman"/>
          <w:b w:val="false"/>
          <w:i w:val="false"/>
          <w:color w:val="000000"/>
          <w:sz w:val="22"/>
        </w:rPr>
        <w:t xml:space="preserve"> and </w:t>
      </w:r>
      <w:hyperlink r:id="rId328">
        <w:r>
          <w:rPr>
            <w:rStyle w:val="Hyperlink"/>
            <w:rFonts w:ascii="Times New Roman" w:hAnsi="Times New Roman"/>
            <w:b w:val="false"/>
            <w:i w:val="false"/>
            <w:color w:val="000000"/>
            <w:sz w:val="22"/>
          </w:rPr>
          <w:t>43.7(3)</w:t>
        </w:r>
      </w:hyperlink>
      <w:r>
        <w:rPr>
          <w:rFonts w:ascii="Times New Roman" w:hAnsi="Times New Roman"/>
          <w:b w:val="false"/>
          <w:i w:val="false"/>
          <w:color w:val="000000"/>
          <w:sz w:val="22"/>
        </w:rPr>
        <w:t xml:space="preserve"> for failure to install source water or CCT, the department may require the system to commence LSLR under this subrule after the date by which the system was required to conduct monitoring under </w:t>
      </w:r>
      <w:hyperlink r:id="rId329">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(4)“2” has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LSLR schedule. </w:t>
      </w:r>
      <w:r>
        <w:rPr>
          <w:rFonts w:ascii="Times New Roman" w:hAnsi="Times New Roman"/>
          <w:b w:val="false"/>
          <w:i w:val="false"/>
          <w:color w:val="000000"/>
          <w:sz w:val="22"/>
        </w:rPr>
        <w:t xml:space="preserve">A PWS shall replace annually at least seven percent of the initial number of LSLs in its distribution system. The initial number of LSLs is the number of lead lines in place at the time the replacement program begins. A system shall identify the initial number of LSLs in its distribution system, including an identification of the portion(s) owned by the system, based upon a materials evaluation, including the evaluation required under </w:t>
      </w:r>
      <w:hyperlink r:id="rId330">
        <w:r>
          <w:rPr>
            <w:rStyle w:val="Hyperlink"/>
            <w:rFonts w:ascii="Times New Roman" w:hAnsi="Times New Roman"/>
            <w:b w:val="false"/>
            <w:i w:val="false"/>
            <w:color w:val="000000"/>
            <w:sz w:val="22"/>
          </w:rPr>
          <w:t>567—subparagraph 41.4(1)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and relevant legal authorities regarding the portion owned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year of LSLR shall begin on the first day following the end of the monitoring period in which the AL was exceeded in tap sampling referenced in </w:t>
      </w:r>
      <w:hyperlink r:id="rId331">
        <w:r>
          <w:rPr>
            <w:rStyle w:val="Hyperlink"/>
            <w:rFonts w:ascii="Times New Roman" w:hAnsi="Times New Roman"/>
            <w:b w:val="false"/>
            <w:i w:val="false"/>
            <w:color w:val="000000"/>
            <w:sz w:val="22"/>
          </w:rPr>
          <w:t>43.7(4)</w:t>
        </w:r>
      </w:hyperlink>
      <w:r>
        <w:rPr>
          <w:rFonts w:ascii="Times New Roman" w:hAnsi="Times New Roman"/>
          <w:b w:val="false"/>
          <w:i/>
          <w:color w:val="000000"/>
          <w:sz w:val="22"/>
        </w:rPr>
        <w:t>“a.”</w:t>
      </w:r>
      <w:r>
        <w:rPr>
          <w:rFonts w:ascii="Times New Roman" w:hAnsi="Times New Roman"/>
          <w:b w:val="false"/>
          <w:i w:val="false"/>
          <w:color w:val="000000"/>
          <w:sz w:val="22"/>
        </w:rPr>
        <w:t xml:space="preserve"> If monitoring is required annually or less frequently, the end of the monitoring period is September 30 of the calendar year in which the sampling occurs. If the department has established an alternate monitoring period, then the end of the monitoring period will be the last day of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resuming an LSLR program after the cessation of its program as allowed by </w:t>
      </w:r>
      <w:hyperlink r:id="rId332">
        <w:r>
          <w:rPr>
            <w:rStyle w:val="Hyperlink"/>
            <w:rFonts w:ascii="Times New Roman" w:hAnsi="Times New Roman"/>
            <w:b w:val="false"/>
            <w:i w:val="false"/>
            <w:color w:val="000000"/>
            <w:sz w:val="22"/>
          </w:rPr>
          <w:t>43.7(4)</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update its inventory of LSLs to include those sites that were previously determined not to require replacement through the sampling provision of </w:t>
      </w:r>
      <w:hyperlink r:id="rId333">
        <w:r>
          <w:rPr>
            <w:rStyle w:val="Hyperlink"/>
            <w:rFonts w:ascii="Times New Roman" w:hAnsi="Times New Roman"/>
            <w:b w:val="false"/>
            <w:i w:val="false"/>
            <w:color w:val="000000"/>
            <w:sz w:val="22"/>
          </w:rPr>
          <w:t>43.7(4)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system will then divide the updated number of remaining LSLs by the number of remaining years in the program to determine the number of lines that must be replaced per year. Seven percent LSLR is based on a 15-year replacement program. For example, systems resuming LSLR after previously conducting two years of replacement would divide the updated inventory by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those systems that have completed a 15-year LSLR program, the department will determine a schedule for replacing or retesting lines that were previously exempted through testing under </w:t>
      </w:r>
      <w:hyperlink r:id="rId334">
        <w:r>
          <w:rPr>
            <w:rStyle w:val="Hyperlink"/>
            <w:rFonts w:ascii="Times New Roman" w:hAnsi="Times New Roman"/>
            <w:b w:val="false"/>
            <w:i w:val="false"/>
            <w:color w:val="000000"/>
            <w:sz w:val="22"/>
          </w:rPr>
          <w:t>43.7(4)</w:t>
        </w:r>
      </w:hyperlink>
      <w:r>
        <w:rPr>
          <w:rFonts w:ascii="Times New Roman" w:hAnsi="Times New Roman"/>
          <w:b w:val="false"/>
          <w:i/>
          <w:color w:val="000000"/>
          <w:sz w:val="22"/>
        </w:rPr>
        <w:t>“c”</w:t>
      </w:r>
      <w:r>
        <w:rPr>
          <w:rFonts w:ascii="Times New Roman" w:hAnsi="Times New Roman"/>
          <w:b w:val="false"/>
          <w:i w:val="false"/>
          <w:color w:val="000000"/>
          <w:sz w:val="22"/>
        </w:rPr>
        <w:t xml:space="preserve"> from the replacement program when the system re-exceeds the 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Exemption to LSLR requirement. </w:t>
      </w:r>
      <w:r>
        <w:rPr>
          <w:rFonts w:ascii="Times New Roman" w:hAnsi="Times New Roman"/>
          <w:b w:val="false"/>
          <w:i w:val="false"/>
          <w:color w:val="000000"/>
          <w:sz w:val="22"/>
        </w:rPr>
        <w:t xml:space="preserve">A PWS is not required to replace an individual LSL if the lead concentration in all service line samples from that line, taken pursuant to </w:t>
      </w:r>
      <w:hyperlink r:id="rId335">
        <w:r>
          <w:rPr>
            <w:rStyle w:val="Hyperlink"/>
            <w:rFonts w:ascii="Times New Roman" w:hAnsi="Times New Roman"/>
            <w:b w:val="false"/>
            <w:i w:val="false"/>
            <w:color w:val="000000"/>
            <w:sz w:val="22"/>
          </w:rPr>
          <w:t>567—paragraph 41.4(1)</w:t>
        </w:r>
        <w:r>
          <w:rPr>
            <w:rFonts w:ascii="Times New Roman" w:hAnsi="Times New Roman"/>
            <w:b w:val="false"/>
            <w:i/>
            <w:color w:val="000000"/>
            <w:sz w:val="22"/>
          </w:rPr>
          <w:t>“c”</w:t>
        </w:r>
        <w:r>
          <w:rPr>
            <w:rFonts w:ascii="Times New Roman" w:hAnsi="Times New Roman"/>
            <w:b w:val="false"/>
            <w:i w:val="false"/>
            <w:color w:val="000000"/>
            <w:sz w:val="22"/>
          </w:rPr>
          <w:t>(2)“3,”</w:t>
        </w:r>
      </w:hyperlink>
      <w:r>
        <w:rPr>
          <w:rFonts w:ascii="Times New Roman" w:hAnsi="Times New Roman"/>
          <w:b w:val="false"/>
          <w:i w:val="false"/>
          <w:color w:val="000000"/>
          <w:sz w:val="22"/>
        </w:rPr>
        <w:t xml:space="preserve"> is less than or equal to 0.015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LSLR requirements. </w:t>
      </w:r>
      <w:r>
        <w:rPr>
          <w:rFonts w:ascii="Times New Roman" w:hAnsi="Times New Roman"/>
          <w:b w:val="false"/>
          <w:i w:val="false"/>
          <w:color w:val="000000"/>
          <w:sz w:val="22"/>
        </w:rPr>
        <w:t>A PWS shall replace that portion of the LSL that it owns. In cases where a system does not own the entire LSL, it shall notify the owner of the line, or the owner’s authorized agent, that it will replace the portion of the service line that it owns and shall offer to replace the owner’s portion of the line. A system is not required to bear the cost of replacing the privately owned portion of the line, nor is it required to replace the privately owned portion of the line where the line owner chooses not to pay the cost of replacement, or where replacing the privately owned portion would be precluded by state, local, or common law. A system that does not replace the entire length of the service line shall complete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notification. At least 45 days prior to commencing with the partial replacement of a LSL, a PWS shall provide to the resident(s) of all buildings served by the line notice explaining that the resident(s) may experience a temporary increase of lead levels in their drinking water, along with guidance on measures consumers may take to minimize their lead exposure. The department may allow a system to provide this notice less than 45 days prior to commencing partial LSLR where such replacement is in conjunction with emergency repairs. In addition, a system shall inform the resident(s) served by the line that the system will, at its expense, collect a lead sample from each service line that is representative of the water in the line, as prescribed by </w:t>
      </w:r>
      <w:hyperlink r:id="rId336">
        <w:r>
          <w:rPr>
            <w:rStyle w:val="Hyperlink"/>
            <w:rFonts w:ascii="Times New Roman" w:hAnsi="Times New Roman"/>
            <w:b w:val="false"/>
            <w:i w:val="false"/>
            <w:color w:val="000000"/>
            <w:sz w:val="22"/>
          </w:rPr>
          <w:t>567—paragraph 41.4(1)</w:t>
        </w:r>
      </w:hyperlink>
      <w:r>
        <w:rPr>
          <w:rFonts w:ascii="Times New Roman" w:hAnsi="Times New Roman"/>
          <w:b w:val="false"/>
          <w:i/>
          <w:color w:val="000000"/>
          <w:sz w:val="22"/>
        </w:rPr>
        <w:t>“c”</w:t>
      </w:r>
      <w:r>
        <w:rPr>
          <w:rFonts w:ascii="Times New Roman" w:hAnsi="Times New Roman"/>
          <w:b w:val="false"/>
          <w:i w:val="false"/>
          <w:color w:val="000000"/>
          <w:sz w:val="22"/>
        </w:rPr>
        <w:t>(2)“3,” within 72 hours after the completion of the partial service line replacement. The system shall collect the sample and report the analysis results to the owner and the resident(s) served by the line within three business days of receiving the results. Mailed notices postmarked within three business days of receiving the results shall be considered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methods. The PWS shall provide the information required by  </w:t>
      </w:r>
      <w:hyperlink r:id="rId337">
        <w:r>
          <w:rPr>
            <w:rStyle w:val="Hyperlink"/>
            <w:rFonts w:ascii="Times New Roman" w:hAnsi="Times New Roman"/>
            <w:b w:val="false"/>
            <w:i w:val="false"/>
            <w:color w:val="000000"/>
            <w:sz w:val="22"/>
          </w:rPr>
          <w:t>43.7(4)</w:t>
        </w:r>
      </w:hyperlink>
      <w:r>
        <w:rPr>
          <w:rFonts w:ascii="Times New Roman" w:hAnsi="Times New Roman"/>
          <w:b w:val="false"/>
          <w:i/>
          <w:color w:val="000000"/>
          <w:sz w:val="22"/>
        </w:rPr>
        <w:t>“d”</w:t>
      </w:r>
      <w:r>
        <w:rPr>
          <w:rFonts w:ascii="Times New Roman" w:hAnsi="Times New Roman"/>
          <w:b w:val="false"/>
          <w:i w:val="false"/>
          <w:color w:val="000000"/>
          <w:sz w:val="22"/>
        </w:rPr>
        <w:t>(1) to the residents of individual dwellings by mail or by other department-approved methods. In instances where multifamily dwellings are served by the line, a system shall have the option to post the information at a conspicuous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LSLR schedule. </w:t>
      </w:r>
      <w:r>
        <w:rPr>
          <w:rFonts w:ascii="Times New Roman" w:hAnsi="Times New Roman"/>
          <w:b w:val="false"/>
          <w:i w:val="false"/>
          <w:color w:val="000000"/>
          <w:sz w:val="22"/>
        </w:rPr>
        <w:t xml:space="preserve">The department may require a PWS to replace LSLs on a shorter schedule than that required by this subrule, taking into account the number of LSLs in the system, where such a shorter replacement schedule is feasible. The department will make this determination in writing and notify the system of its finding within six months after the system is triggered into LSLR based on monitoring referenced in </w:t>
      </w:r>
      <w:r>
        <w:rPr>
          <w:rFonts w:ascii="Times New Roman" w:hAnsi="Times New Roman"/>
          <w:b w:val="false"/>
          <w:i w:val="false"/>
          <w:color w:val="000000"/>
          <w:sz w:val="22"/>
        </w:rPr>
        <w:t>43.7(4)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Cessation of LSLR. </w:t>
      </w:r>
      <w:r>
        <w:rPr>
          <w:rFonts w:ascii="Times New Roman" w:hAnsi="Times New Roman"/>
          <w:b w:val="false"/>
          <w:i w:val="false"/>
          <w:color w:val="000000"/>
          <w:sz w:val="22"/>
        </w:rPr>
        <w:t xml:space="preserve">Any PWS may cease replacing LSLs when first draw samples collected pursuant to </w:t>
      </w:r>
      <w:hyperlink r:id="rId338">
        <w:r>
          <w:rPr>
            <w:rStyle w:val="Hyperlink"/>
            <w:rFonts w:ascii="Times New Roman" w:hAnsi="Times New Roman"/>
            <w:b w:val="false"/>
            <w:i w:val="false"/>
            <w:color w:val="000000"/>
            <w:sz w:val="22"/>
          </w:rPr>
          <w:t>567—paragraph 41.4(1)</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“2” meet the lead AL during each of two consecutive monitoring periods and the system submits the results. If the first draw tap samples collected in any such system thereafter exceed the lead AL, the system shall recommence replacing LSLs, as detailed in </w:t>
      </w:r>
      <w:hyperlink r:id="rId339">
        <w:r>
          <w:rPr>
            <w:rStyle w:val="Hyperlink"/>
            <w:rFonts w:ascii="Times New Roman" w:hAnsi="Times New Roman"/>
            <w:b w:val="false"/>
            <w:i w:val="false"/>
            <w:color w:val="000000"/>
            <w:sz w:val="22"/>
          </w:rPr>
          <w:t>43.7(4)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LSLR reporting requirements. </w:t>
      </w:r>
      <w:r>
        <w:rPr>
          <w:rFonts w:ascii="Times New Roman" w:hAnsi="Times New Roman"/>
          <w:b w:val="false"/>
          <w:i w:val="false"/>
          <w:color w:val="000000"/>
          <w:sz w:val="22"/>
        </w:rPr>
        <w:t xml:space="preserve">To demonstrate compliance with </w:t>
      </w:r>
      <w:hyperlink r:id="rId340">
        <w:r>
          <w:rPr>
            <w:rStyle w:val="Hyperlink"/>
            <w:rFonts w:ascii="Times New Roman" w:hAnsi="Times New Roman"/>
            <w:b w:val="false"/>
            <w:i w:val="false"/>
            <w:color w:val="000000"/>
            <w:sz w:val="22"/>
          </w:rPr>
          <w:t>43.7(4)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 system shall report the information in </w:t>
      </w:r>
      <w:hyperlink r:id="rId341">
        <w:r>
          <w:rPr>
            <w:rStyle w:val="Hyperlink"/>
            <w:rFonts w:ascii="Times New Roman" w:hAnsi="Times New Roman"/>
            <w:b w:val="false"/>
            <w:i w:val="false"/>
            <w:color w:val="000000"/>
            <w:sz w:val="22"/>
          </w:rPr>
          <w:t>567—paragraph 40.8(2)</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567—43.8</w:t>
      </w:r>
      <w:r>
        <w:rPr>
          <w:rFonts w:ascii="Times New Roman" w:hAnsi="Times New Roman"/>
          <w:b/>
          <w:i w:val="false"/>
          <w:color w:val="000000"/>
          <w:sz w:val="22"/>
        </w:rPr>
        <w:t xml:space="preserve">(455B) </w:t>
      </w:r>
      <w:r>
        <w:rPr>
          <w:rFonts w:ascii="Times New Roman" w:hAnsi="Times New Roman"/>
          <w:b/>
          <w:i w:val="false"/>
          <w:color w:val="000000"/>
          <w:sz w:val="22"/>
        </w:rPr>
        <w:t xml:space="preserve">Viability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color w:val="000000"/>
          <w:sz w:val="22"/>
        </w:rPr>
        <w:t xml:space="preserve">Definitions specific to viability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viability assessment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system” </w:t>
      </w:r>
      <w:r>
        <w:rPr>
          <w:rFonts w:ascii="Times New Roman" w:hAnsi="Times New Roman"/>
          <w:b w:val="false"/>
          <w:i w:val="false"/>
          <w:color w:val="000000"/>
          <w:sz w:val="22"/>
        </w:rPr>
        <w:t>includes newly constructed PWSs and systems that do not meet the definition of a PWS, but which expand their infrastructure and thereby grow to become a PWS. Systems not currently meeting the definition of a PWS and that add additional users and thereby become a PWS without constructing any additional infrastructure are not “new systems”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“Nonviable system” </w:t>
      </w:r>
      <w:r>
        <w:rPr>
          <w:rFonts w:ascii="Times New Roman" w:hAnsi="Times New Roman"/>
          <w:b w:val="false"/>
          <w:i w:val="false"/>
          <w:color w:val="000000"/>
          <w:sz w:val="22"/>
        </w:rPr>
        <w:t xml:space="preserve">means a system lacking the technical, financial, and managerial ability to comply with 567—Chapters </w:t>
      </w:r>
      <w:hyperlink r:id="rId342">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through </w:t>
      </w:r>
      <w:hyperlink r:id="rId343">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344">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“Viable system” </w:t>
      </w:r>
      <w:r>
        <w:rPr>
          <w:rFonts w:ascii="Times New Roman" w:hAnsi="Times New Roman"/>
          <w:b w:val="false"/>
          <w:i w:val="false"/>
          <w:color w:val="000000"/>
          <w:sz w:val="22"/>
        </w:rPr>
        <w:t>means a system with the technical, financial, and managerial ability to comply with applicable drinking water standards adopted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 noncompliance” or “SNC”  and “viability” are defined in </w:t>
      </w:r>
      <w:hyperlink r:id="rId345">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These rules apply to all new and existing PWS, including the following: new systems; systems deemed to be in SNC with the primary drinking water standards; DWSRF applicants; and existing systems. The purpose of the viability assessment program is to ensure the safety of the PWS and ensure the viability of new PWS upon commencement of operation. The department may require PN and assess administrative penalties to any PWS that fails to fulfill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color w:val="000000"/>
          <w:sz w:val="22"/>
        </w:rPr>
        <w:t xml:space="preserve">Contents of a viability assessment. </w:t>
      </w:r>
      <w:r>
        <w:rPr>
          <w:rFonts w:ascii="Times New Roman" w:hAnsi="Times New Roman"/>
          <w:b w:val="false"/>
          <w:i w:val="false"/>
          <w:color w:val="000000"/>
          <w:sz w:val="22"/>
        </w:rPr>
        <w:t>A viability assessment must address the areas of technical, financial, and managerial viability for a PWS. An assessment must include evaluation of the following areas, and the PWS may be required to include additional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Technical viability. </w:t>
      </w:r>
      <w:r>
        <w:rPr>
          <w:rFonts w:ascii="Times New Roman" w:hAnsi="Times New Roman"/>
          <w:b w:val="false"/>
          <w:i w:val="false"/>
          <w:color w:val="000000"/>
          <w:sz w:val="22"/>
        </w:rPr>
        <w:t>Supply sources and facilities, treatment,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Managerial viability. </w:t>
      </w:r>
      <w:r>
        <w:rPr>
          <w:rFonts w:ascii="Times New Roman" w:hAnsi="Times New Roman"/>
          <w:b w:val="false"/>
          <w:i w:val="false"/>
          <w:color w:val="000000"/>
          <w:sz w:val="22"/>
        </w:rPr>
        <w:t>Operation, maintenance, management, and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Financial viability. </w:t>
      </w:r>
      <w:r>
        <w:rPr>
          <w:rFonts w:ascii="Times New Roman" w:hAnsi="Times New Roman"/>
          <w:b w:val="false"/>
          <w:i w:val="false"/>
          <w:color w:val="000000"/>
          <w:sz w:val="22"/>
        </w:rPr>
        <w:t xml:space="preserve">Capital and operating costs, revenue sources, and contingency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43.8(4)</w:t>
      </w:r>
      <w:r>
        <w:rPr>
          <w:rFonts w:ascii="Times New Roman" w:hAnsi="Times New Roman"/>
          <w:b w:val="false"/>
          <w:i w:val="false"/>
          <w:color w:val="000000"/>
          <w:sz w:val="22"/>
        </w:rPr>
        <w:t> </w:t>
      </w:r>
      <w:r>
        <w:rPr>
          <w:rFonts w:ascii="Times New Roman" w:hAnsi="Times New Roman"/>
          <w:b w:val="false"/>
          <w:i/>
          <w:color w:val="000000"/>
          <w:sz w:val="22"/>
        </w:rPr>
        <w:t xml:space="preserve">New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Viability assessment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PWSs (including CWSs, NTNCs and TNCs) must submit a completed system viability assessment for department review prior to obtaining a construction permit. A viability assessment may be submitted with a construction 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Viability assessment worksheets are available on the department’s website at </w:t>
      </w:r>
      <w:hyperlink r:id="rId346">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reject receipt or delay review of the construction plans and specifications until an adequate viability assessment is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finds, upon review and approval of the viability assessment, that the PWS will be viable, a construction permit will be issued in accordance with 567—Chapters </w:t>
      </w:r>
      <w:hyperlink r:id="rId34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34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Prior to beginning operation, a PWS operation permit must be obtained in accordance with </w:t>
      </w:r>
      <w:hyperlink r:id="rId349">
        <w:r>
          <w:rPr>
            <w:rStyle w:val="Hyperlink"/>
            <w:rFonts w:ascii="Times New Roman" w:hAnsi="Times New Roman"/>
            <w:b w:val="false"/>
            <w:i w:val="false"/>
            <w:color w:val="000000"/>
            <w:sz w:val="22"/>
          </w:rPr>
          <w:t>567—43.2</w:t>
        </w:r>
      </w:hyperlink>
      <w:r>
        <w:rPr>
          <w:rFonts w:ascii="Times New Roman" w:hAnsi="Times New Roman"/>
          <w:b w:val="false"/>
          <w:i w:val="false"/>
          <w:color w:val="000000"/>
          <w:sz w:val="22"/>
        </w:rPr>
        <w:t xml:space="preserve">(455B) and </w:t>
      </w:r>
      <w:hyperlink r:id="rId350">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Viability assessment review. </w:t>
      </w:r>
      <w:r>
        <w:rPr>
          <w:rFonts w:ascii="Times New Roman" w:hAnsi="Times New Roman"/>
          <w:b w:val="false"/>
          <w:i w:val="false"/>
          <w:color w:val="000000"/>
          <w:sz w:val="22"/>
        </w:rPr>
        <w:t>If the department declines to approve a viability assessment, or if the department finds that a PWS is nonviable, the construction and operation permit applications will be denied. If the viability assessment is conditionally approved, construction and operation permits will be issued, with conditions and a compliance schedule specified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43.8(5)</w:t>
      </w:r>
      <w:r>
        <w:rPr>
          <w:rFonts w:ascii="Times New Roman" w:hAnsi="Times New Roman"/>
          <w:b w:val="false"/>
          <w:i w:val="false"/>
          <w:color w:val="000000"/>
          <w:sz w:val="22"/>
        </w:rPr>
        <w:t> </w:t>
      </w:r>
      <w:r>
        <w:rPr>
          <w:rFonts w:ascii="Times New Roman" w:hAnsi="Times New Roman"/>
          <w:b w:val="false"/>
          <w:i/>
          <w:color w:val="000000"/>
          <w:sz w:val="22"/>
        </w:rPr>
        <w:t xml:space="preserve">Existing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existing system. </w:t>
      </w:r>
      <w:r>
        <w:rPr>
          <w:rFonts w:ascii="Times New Roman" w:hAnsi="Times New Roman"/>
          <w:b w:val="false"/>
          <w:i w:val="false"/>
          <w:color w:val="000000"/>
          <w:sz w:val="22"/>
        </w:rPr>
        <w:t xml:space="preserve">Any CWS, NTNC, or TNC in operation prior to October 1, 1999 that was regulated as a PWS by the department shall be considered an existing system. Any system that does not currently meet the definition of a PWS, but that expands their infrastructure and thereby grows to become a PWS, is considered a new system. Systems not currently meeting the definition of a PWS and that add additional users and thereby become a PWS without constructing any additional infrastructure are considered existing systems for the purposes of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Viability assessment submission. </w:t>
      </w:r>
      <w:r>
        <w:rPr>
          <w:rFonts w:ascii="Times New Roman" w:hAnsi="Times New Roman"/>
          <w:b w:val="false"/>
          <w:i w:val="false"/>
          <w:color w:val="000000"/>
          <w:sz w:val="22"/>
        </w:rPr>
        <w:t>All PWSs should complete a viability assessment. However, only existing PWSs meeting one or more of the following criteria are required to complete a viability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applying for DWSRF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categorized as being in SNC by the department, due to their history of failure to comply with drinking water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identified by the department via a sanitary survey as having technical, managerial, or financial problems as evidenced by such conditions as poor operational control, a poor state of repair or maintenance, vulnerability to contamination, or inability to maintain adequate distribution system operating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have been unable to retain a certified operator in accordance with </w:t>
      </w:r>
      <w:hyperlink r:id="rId351">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Viability assessment worksheets are available on the department’s website at </w:t>
      </w:r>
      <w:hyperlink r:id="rId352">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Review of required viability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assessment is incomplete and does not include all of the required elements, the system will be notified in writing by the department and will be given an opportunity to modify and resubmit the assessment within the specified time period. If the system fails to resubmit a completed viability assessment as specified, the department may find that the system is nonviable.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assessment is complete, the department will either indicate that the system is viable or nonviable after the assessment review process. The system will be notified of the results of the department’s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Review of voluntarily submitted viability assessments. </w:t>
      </w:r>
      <w:r>
        <w:rPr>
          <w:rFonts w:ascii="Times New Roman" w:hAnsi="Times New Roman"/>
          <w:b w:val="false"/>
          <w:i w:val="false"/>
          <w:color w:val="000000"/>
          <w:sz w:val="22"/>
        </w:rPr>
        <w:t xml:space="preserve">All existing systems should complete a viability assessment and submit it to the department. Voluntarily submitted assessments may be reviewed upon request and will be exempt from any requirements to modify the assessment if it is not approved, or from a determination that the system is not viable, providing the system does not meet any of the criteria for mandatory completion of a viability assessment set forth in </w:t>
      </w:r>
      <w:hyperlink r:id="rId353">
        <w:r>
          <w:rPr>
            <w:rStyle w:val="Hyperlink"/>
            <w:rFonts w:ascii="Times New Roman" w:hAnsi="Times New Roman"/>
            <w:b w:val="false"/>
            <w:i w:val="false"/>
            <w:color w:val="000000"/>
            <w:sz w:val="22"/>
          </w:rPr>
          <w:t>43.8(4)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43.8(6)</w:t>
      </w:r>
      <w:r>
        <w:rPr>
          <w:rFonts w:ascii="Times New Roman" w:hAnsi="Times New Roman"/>
          <w:b w:val="false"/>
          <w:i w:val="false"/>
          <w:color w:val="000000"/>
          <w:sz w:val="22"/>
        </w:rPr>
        <w:t> </w:t>
      </w:r>
      <w:r>
        <w:rPr>
          <w:rFonts w:ascii="Times New Roman" w:hAnsi="Times New Roman"/>
          <w:b w:val="false"/>
          <w:i/>
          <w:color w:val="000000"/>
          <w:sz w:val="22"/>
        </w:rPr>
        <w:t xml:space="preserve">Nonviable systems. </w:t>
      </w:r>
      <w:r>
        <w:rPr>
          <w:rFonts w:ascii="Times New Roman" w:hAnsi="Times New Roman"/>
          <w:b w:val="false"/>
          <w:i w:val="false"/>
          <w:color w:val="000000"/>
          <w:sz w:val="22"/>
        </w:rPr>
        <w:t>The following applies to CWSs, NTNC, and TNCs: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Systems applying for DWSRF loan funds must be viable, or the loan funds must be used to assist the system in attaining viable status. If a system applying for a loan is found to be nonviable, and loan funds will not be sufficient or available to ensure viability, then the situation must be corrected to the department’s satisfaction prior to qualification to apply for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Systems that meet the department’s SNC criteria are considered nonviable. The system’s viability assessment and the most recent sanitary survey results will be evaluated by the department to assist the system in returning to and remaining in compliance, which would achieve viability. Required corrective actions will be specified in the system’s operation permit and will include a compliance schedule. Inspections will be conducted on an as-needed basis to assist the system in implementing the required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Systems experiencing technical, managerial, or financial problems as noted by the department in the sanitary survey will be considered nonviable. The system’s viability assessment will be evaluated by the department to assist the system in attaining viability, and any required corrective actions will be specified in the system’s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unable to retain a certified operator will be considered nonviable. All CWSs and NTNCs, and TNCs denoted by the department, must have a certified operator who meets the requirements of </w:t>
      </w:r>
      <w:hyperlink r:id="rId354">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The system’s viability assessment will be used to determine the source of the problem, and required corrective actions will be specified in the system’s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43.8(7)</w:t>
      </w:r>
      <w:r>
        <w:rPr>
          <w:rFonts w:ascii="Times New Roman" w:hAnsi="Times New Roman"/>
          <w:b w:val="false"/>
          <w:i w:val="false"/>
          <w:color w:val="000000"/>
          <w:sz w:val="22"/>
        </w:rPr>
        <w:t> </w:t>
      </w:r>
      <w:r>
        <w:rPr>
          <w:rFonts w:ascii="Times New Roman" w:hAnsi="Times New Roman"/>
          <w:b w:val="false"/>
          <w:i/>
          <w:color w:val="000000"/>
          <w:sz w:val="22"/>
        </w:rPr>
        <w:t xml:space="preserve">Revocation or denial of operation or construction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revocation or denial. </w:t>
      </w:r>
      <w:r>
        <w:rPr>
          <w:rFonts w:ascii="Times New Roman" w:hAnsi="Times New Roman"/>
          <w:b w:val="false"/>
          <w:i w:val="false"/>
          <w:color w:val="000000"/>
          <w:sz w:val="22"/>
        </w:rPr>
        <w:t>Failure to correct the deficiencies regarding viability, as identified in a compliance schedule set by the department, may result in revocation or denial of a system’s operation permit. If the department revokes or denies the operation permit, the system’s owner must negotiate an alternative arrangement with the department for providing treatment or water supply services within 30 days of receipt of the notification unless the system’s owner appeals the decision. The PWS is required to provide water that continually meets all health-based standards during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Denial of new construction permits for an existing system. </w:t>
      </w:r>
      <w:r>
        <w:rPr>
          <w:rFonts w:ascii="Times New Roman" w:hAnsi="Times New Roman"/>
          <w:b w:val="false"/>
          <w:i w:val="false"/>
          <w:color w:val="000000"/>
          <w:sz w:val="22"/>
        </w:rPr>
        <w:t xml:space="preserve">In addition to the criteria provided in </w:t>
      </w:r>
      <w:hyperlink r:id="rId355">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356">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new construction permits for system improvements may be denied until a system makes the required corrections and attains viable status, unless the proposed project is necessary to attain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conform or comply. </w:t>
      </w:r>
      <w:r>
        <w:rPr>
          <w:rFonts w:ascii="Times New Roman" w:hAnsi="Times New Roman"/>
          <w:b w:val="false"/>
          <w:i w:val="false"/>
          <w:color w:val="000000"/>
          <w:sz w:val="22"/>
        </w:rPr>
        <w:t xml:space="preserve">Failure of a project to conform to approved construction plans and specifications, or failure to comply with </w:t>
      </w:r>
      <w:hyperlink r:id="rId357">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358">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constitutes grounds for the director to withhold the applicable construction and operation permits. The system is then responsible for ensuring that the identified problem with the project is rectified so that permits may be issued. Once an agreement for correcting the problem is reached between the department and the system, the department will issue the appropriate permits according to the provisions of the agreement. If an agreement cannot be reached within a reasonable time period, the permits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Contents of denial notification. </w:t>
      </w:r>
      <w:r>
        <w:rPr>
          <w:rFonts w:ascii="Times New Roman" w:hAnsi="Times New Roman"/>
          <w:b w:val="false"/>
          <w:i w:val="false"/>
          <w:color w:val="000000"/>
          <w:sz w:val="22"/>
        </w:rPr>
        <w:t>The notification of denial or withholding approval of the operation or construction permit will state the department’s reasons for withholding or denying permit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43.8(8)</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formal review of viability determination. </w:t>
      </w:r>
      <w:r>
        <w:rPr>
          <w:rFonts w:ascii="Times New Roman" w:hAnsi="Times New Roman"/>
          <w:b w:val="false"/>
          <w:i w:val="false"/>
          <w:color w:val="000000"/>
          <w:sz w:val="22"/>
        </w:rPr>
        <w:t>A person or entity who disagrees with the decision regarding the viability of a PWS may request a formal review of the action. A request for review must be submitted in writing to the director by the owner or their designee within 30 days of the viability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of operation or construction permit. </w:t>
      </w:r>
      <w:r>
        <w:rPr>
          <w:rFonts w:ascii="Times New Roman" w:hAnsi="Times New Roman"/>
          <w:b w:val="false"/>
          <w:i w:val="false"/>
          <w:color w:val="000000"/>
          <w:sz w:val="22"/>
        </w:rPr>
        <w:t xml:space="preserve">A decision to deny an operation or construction permit may be appealed by the applicant to the commission pursuant to </w:t>
      </w:r>
      <w:hyperlink r:id="rId359">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The appeal must be made in writing to the director within 30 days of receiving the notice of denial by the owner of the PWS.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567—43.9</w:t>
      </w:r>
      <w:r>
        <w:rPr>
          <w:rFonts w:ascii="Times New Roman" w:hAnsi="Times New Roman"/>
          <w:b/>
          <w:i w:val="false"/>
          <w:color w:val="000000"/>
          <w:sz w:val="22"/>
        </w:rPr>
        <w:t xml:space="preserve">(455B) </w:t>
      </w:r>
      <w:r>
        <w:rPr>
          <w:rFonts w:ascii="Times New Roman" w:hAnsi="Times New Roman"/>
          <w:b/>
          <w:i w:val="false"/>
          <w:color w:val="000000"/>
          <w:sz w:val="22"/>
        </w:rPr>
        <w:t xml:space="preserve">Enhanced filtration and disinfection requirements for SW and IGW systems serving at least 10,000 people.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requirements of this rule constitute national primary drinking water regulations. This rule establishes the filtration and disinfection requirements in addition to the filtration and disinfection requirements in </w:t>
      </w:r>
      <w:hyperlink r:id="rId360">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This rule is applicable to all PWSs using SW or IGW, in whole or in part, and that serve at least 10,000 people. This rule establishes or extends TT requirements in lieu of MCLs for the following contaminants: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viruses, HPC bacteria, </w:t>
      </w:r>
      <w:r>
        <w:rPr>
          <w:rFonts w:ascii="Times New Roman" w:hAnsi="Times New Roman"/>
          <w:b w:val="false"/>
          <w:i/>
          <w:color w:val="000000"/>
          <w:sz w:val="22"/>
        </w:rPr>
        <w:t>Legionella</w:t>
      </w:r>
      <w:r>
        <w:rPr>
          <w:rFonts w:ascii="Times New Roman" w:hAnsi="Times New Roman"/>
          <w:b w:val="false"/>
          <w:i w:val="false"/>
          <w:color w:val="000000"/>
          <w:sz w:val="22"/>
        </w:rPr>
        <w:t xml:space="preserve">, </w:t>
      </w:r>
      <w:r>
        <w:rPr>
          <w:rFonts w:ascii="Times New Roman" w:hAnsi="Times New Roman"/>
          <w:b w:val="false"/>
          <w:i/>
          <w:color w:val="000000"/>
          <w:sz w:val="22"/>
        </w:rPr>
        <w:t>Cryptosporidium</w:t>
      </w:r>
      <w:r>
        <w:rPr>
          <w:rFonts w:ascii="Times New Roman" w:hAnsi="Times New Roman"/>
          <w:b w:val="false"/>
          <w:i w:val="false"/>
          <w:color w:val="000000"/>
          <w:sz w:val="22"/>
        </w:rPr>
        <w:t>, and turbidity. Each SW or IGW system serving at least 10,000 people must provide treatment of its source water that complies with these TT requirements. The TT requirements consist of installing and properly operating water treatment processes that reliably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99 percent (2-log)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between a point where the raw water is not subject to recontamination by SW runoff and a point downstream before or at the first customer for filtered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profiling and benchmark requirements under </w:t>
      </w:r>
      <w:hyperlink r:id="rId361">
        <w:r>
          <w:rPr>
            <w:rStyle w:val="Hyperlink"/>
            <w:rFonts w:ascii="Times New Roman" w:hAnsi="Times New Roman"/>
            <w:b w:val="false"/>
            <w:i w:val="false"/>
            <w:color w:val="000000"/>
            <w:sz w:val="22"/>
          </w:rPr>
          <w:t>43.9(2)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other SW or IGW systems to comply with this rule, through an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determination. </w:t>
      </w:r>
      <w:r>
        <w:rPr>
          <w:rFonts w:ascii="Times New Roman" w:hAnsi="Times New Roman"/>
          <w:b w:val="false"/>
          <w:i w:val="false"/>
          <w:color w:val="000000"/>
          <w:sz w:val="22"/>
        </w:rPr>
        <w:t xml:space="preserve">A PWS subject to this rule is considered in compliance with </w:t>
      </w:r>
      <w:hyperlink r:id="rId362">
        <w:r>
          <w:rPr>
            <w:rStyle w:val="Hyperlink"/>
            <w:rFonts w:ascii="Times New Roman" w:hAnsi="Times New Roman"/>
            <w:b w:val="false"/>
            <w:i w:val="false"/>
            <w:color w:val="000000"/>
            <w:sz w:val="22"/>
          </w:rPr>
          <w:t>43.9(1)</w:t>
        </w:r>
        <w:r>
          <w:rPr>
            <w:rFonts w:ascii="Times New Roman" w:hAnsi="Times New Roman"/>
            <w:b w:val="false"/>
            <w:i/>
            <w:color w:val="000000"/>
            <w:sz w:val="22"/>
          </w:rPr>
          <w:t>“a”</w:t>
        </w:r>
      </w:hyperlink>
      <w:r>
        <w:rPr>
          <w:rFonts w:ascii="Times New Roman" w:hAnsi="Times New Roman"/>
          <w:b w:val="false"/>
          <w:i w:val="false"/>
          <w:color w:val="000000"/>
          <w:sz w:val="22"/>
        </w:rPr>
        <w:t xml:space="preserve"> if it meets the applicable filtration requirements in either </w:t>
      </w:r>
      <w:hyperlink r:id="rId363">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or </w:t>
      </w:r>
      <w:hyperlink r:id="rId364">
        <w:r>
          <w:rPr>
            <w:rStyle w:val="Hyperlink"/>
            <w:rFonts w:ascii="Times New Roman" w:hAnsi="Times New Roman"/>
            <w:b w:val="false"/>
            <w:i w:val="false"/>
            <w:color w:val="000000"/>
            <w:sz w:val="22"/>
          </w:rPr>
          <w:t>43.9(3)</w:t>
        </w:r>
      </w:hyperlink>
      <w:r>
        <w:rPr>
          <w:rFonts w:ascii="Times New Roman" w:hAnsi="Times New Roman"/>
          <w:b w:val="false"/>
          <w:i w:val="false"/>
          <w:color w:val="000000"/>
          <w:sz w:val="22"/>
        </w:rPr>
        <w:t xml:space="preserve"> and the disinfection requirements in </w:t>
      </w:r>
      <w:hyperlink r:id="rId365">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and </w:t>
      </w:r>
      <w:hyperlink r:id="rId366">
        <w:r>
          <w:rPr>
            <w:rStyle w:val="Hyperlink"/>
            <w:rFonts w:ascii="Times New Roman" w:hAnsi="Times New Roman"/>
            <w:b w:val="false"/>
            <w:i w:val="false"/>
            <w:color w:val="000000"/>
            <w:sz w:val="22"/>
          </w:rPr>
          <w:t>43.6(2)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Prohibition of new construction of uncovered intermediate or finished water storage facilities. </w:t>
      </w:r>
      <w:r>
        <w:rPr>
          <w:rFonts w:ascii="Times New Roman" w:hAnsi="Times New Roman"/>
          <w:b w:val="false"/>
          <w:i w:val="false"/>
          <w:color w:val="000000"/>
          <w:sz w:val="22"/>
        </w:rPr>
        <w:t>Systems required to comply with this rule may construct only covered intermediate or finished water storage facilities. For the purposes of this rule, an intermediate storage facility is defined as a storage facility or reservoir after the clarification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Systems with populations that increased after January 1, 2002, to more than 10,000 people served. </w:t>
      </w:r>
      <w:r>
        <w:rPr>
          <w:rFonts w:ascii="Times New Roman" w:hAnsi="Times New Roman"/>
          <w:b w:val="false"/>
          <w:i w:val="false"/>
          <w:color w:val="000000"/>
          <w:sz w:val="22"/>
        </w:rPr>
        <w:t xml:space="preserve">Systems using SW or IGW sources that did not conduct optional monitoring under </w:t>
      </w:r>
      <w:hyperlink r:id="rId367">
        <w:r>
          <w:rPr>
            <w:rStyle w:val="Hyperlink"/>
            <w:rFonts w:ascii="Times New Roman" w:hAnsi="Times New Roman"/>
            <w:b w:val="false"/>
            <w:i w:val="false"/>
            <w:color w:val="000000"/>
            <w:sz w:val="22"/>
          </w:rPr>
          <w:t>43.9(2)</w:t>
        </w:r>
      </w:hyperlink>
      <w:r>
        <w:rPr>
          <w:rFonts w:ascii="Times New Roman" w:hAnsi="Times New Roman"/>
          <w:b w:val="false"/>
          <w:i w:val="false"/>
          <w:color w:val="000000"/>
          <w:sz w:val="22"/>
        </w:rPr>
        <w:t xml:space="preserve"> because they served fewer than 10,000 persons when such monitoring was required, but serve more than 10,000 persons prior to January 1, 2005, must comply with </w:t>
      </w:r>
      <w:hyperlink r:id="rId368">
        <w:r>
          <w:rPr>
            <w:rStyle w:val="Hyperlink"/>
            <w:rFonts w:ascii="Times New Roman" w:hAnsi="Times New Roman"/>
            <w:b w:val="false"/>
            <w:i w:val="false"/>
            <w:color w:val="000000"/>
            <w:sz w:val="22"/>
          </w:rPr>
          <w:t>43.9(1)</w:t>
        </w:r>
      </w:hyperlink>
      <w:r>
        <w:rPr>
          <w:rFonts w:ascii="Times New Roman" w:hAnsi="Times New Roman"/>
          <w:b w:val="false"/>
          <w:i w:val="false"/>
          <w:color w:val="000000"/>
          <w:sz w:val="22"/>
        </w:rPr>
        <w:t xml:space="preserve">, </w:t>
      </w:r>
      <w:hyperlink r:id="rId369">
        <w:r>
          <w:rPr>
            <w:rStyle w:val="Hyperlink"/>
            <w:rFonts w:ascii="Times New Roman" w:hAnsi="Times New Roman"/>
            <w:b w:val="false"/>
            <w:i w:val="false"/>
            <w:color w:val="000000"/>
            <w:sz w:val="22"/>
          </w:rPr>
          <w:t>43.9(3)</w:t>
        </w:r>
      </w:hyperlink>
      <w:r>
        <w:rPr>
          <w:rFonts w:ascii="Times New Roman" w:hAnsi="Times New Roman"/>
          <w:b w:val="false"/>
          <w:i w:val="false"/>
          <w:color w:val="000000"/>
          <w:sz w:val="22"/>
        </w:rPr>
        <w:t xml:space="preserve">, </w:t>
      </w:r>
      <w:hyperlink r:id="rId370">
        <w:r>
          <w:rPr>
            <w:rStyle w:val="Hyperlink"/>
            <w:rFonts w:ascii="Times New Roman" w:hAnsi="Times New Roman"/>
            <w:b w:val="false"/>
            <w:i w:val="false"/>
            <w:color w:val="000000"/>
            <w:sz w:val="22"/>
          </w:rPr>
          <w:t>43.9(4)</w:t>
        </w:r>
      </w:hyperlink>
      <w:r>
        <w:rPr>
          <w:rFonts w:ascii="Times New Roman" w:hAnsi="Times New Roman"/>
          <w:b w:val="false"/>
          <w:i w:val="false"/>
          <w:color w:val="000000"/>
          <w:sz w:val="22"/>
        </w:rPr>
        <w:t xml:space="preserve">, and </w:t>
      </w:r>
      <w:hyperlink r:id="rId371">
        <w:r>
          <w:rPr>
            <w:rStyle w:val="Hyperlink"/>
            <w:rFonts w:ascii="Times New Roman" w:hAnsi="Times New Roman"/>
            <w:b w:val="false"/>
            <w:i w:val="false"/>
            <w:color w:val="000000"/>
            <w:sz w:val="22"/>
          </w:rPr>
          <w:t>43.9(5)</w:t>
        </w:r>
      </w:hyperlink>
      <w:r>
        <w:rPr>
          <w:rFonts w:ascii="Times New Roman" w:hAnsi="Times New Roman"/>
          <w:b w:val="false"/>
          <w:i w:val="false"/>
          <w:color w:val="000000"/>
          <w:sz w:val="22"/>
        </w:rPr>
        <w:t xml:space="preserve">. These systems must also consult with the department to establish a disinfection benchmark. A system that decides to make a significant change to its disinfection practice as described in </w:t>
      </w:r>
      <w:hyperlink r:id="rId372">
        <w:r>
          <w:rPr>
            <w:rStyle w:val="Hyperlink"/>
            <w:rFonts w:ascii="Times New Roman" w:hAnsi="Times New Roman"/>
            <w:b w:val="false"/>
            <w:i w:val="false"/>
            <w:color w:val="000000"/>
            <w:sz w:val="22"/>
          </w:rPr>
          <w:t>43.9(2)</w:t>
        </w:r>
      </w:hyperlink>
      <w:r>
        <w:rPr>
          <w:rFonts w:ascii="Times New Roman" w:hAnsi="Times New Roman"/>
          <w:b w:val="false"/>
          <w:i/>
          <w:color w:val="000000"/>
          <w:sz w:val="22"/>
        </w:rPr>
        <w:t>“c”</w:t>
      </w:r>
      <w:r>
        <w:rPr>
          <w:rFonts w:ascii="Times New Roman" w:hAnsi="Times New Roman"/>
          <w:b w:val="false"/>
          <w:i w:val="false"/>
          <w:color w:val="000000"/>
          <w:sz w:val="22"/>
        </w:rPr>
        <w:t>(1)“1” through “4” must consult with the department prior to making such a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43.9(2)</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and benchmarking.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systems required to profile. </w:t>
      </w:r>
      <w:r>
        <w:rPr>
          <w:rFonts w:ascii="Times New Roman" w:hAnsi="Times New Roman"/>
          <w:b w:val="false"/>
          <w:i w:val="false"/>
          <w:color w:val="000000"/>
          <w:sz w:val="22"/>
        </w:rPr>
        <w:t>A PWS subject to this rule must determine its total trihalomethane (TTHM) and haloacetic acid (HAA5) annual averages using the procedures listed below. The annual average is the arithmetic average of the quarterly averages of four consecutive quarters of monitoring. Both TTHM and HAA5 samples must be collected as paired samples during the same time period in order for each parameter to have the same annual average period for result comparison. A paired sample is one that is collected at the same location and time and is analyzed for both TTHM and HAA5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Allowance of information collection rule data. Those systems that collected data under the federal Information Collection Rule in 40 CFR Part 141 must use the results of the TTHM and HAA5 samples collected during the last four quarters of monitoring required under 40 CFR §141.142. The system must have submitted the results of the samples collected during the last 12 months of required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have not collected TTHM and HAA5 data. Those systems that have not collected four consecutive quarters of paired TTHM and HAA5 samples as described above in </w:t>
      </w:r>
      <w:hyperlink r:id="rId373">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 xml:space="preserve">(1) must comply with all other provisions of this subrule as if the HAA5 monitoring had been conducted and the results of that monitoring required compliance with </w:t>
      </w:r>
      <w:hyperlink r:id="rId374">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system that elects this option must notify the department in writing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require that a system use a more representative annual data set than the data set determined under </w:t>
      </w:r>
      <w:hyperlink r:id="rId375">
        <w:r>
          <w:rPr>
            <w:rStyle w:val="Hyperlink"/>
            <w:rFonts w:ascii="Times New Roman" w:hAnsi="Times New Roman"/>
            <w:b w:val="false"/>
            <w:i w:val="false"/>
            <w:color w:val="000000"/>
            <w:sz w:val="22"/>
          </w:rPr>
          <w:t>43.9(2)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determine the applicability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Profiling determination criteria. Any system having either a TTHM annual average greater than 0.064 mg/L or an HAA5 annual average greater than 0.048 mg/L during the period identified in </w:t>
      </w:r>
      <w:hyperlink r:id="rId376">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 xml:space="preserve">(3) must comply with </w:t>
      </w:r>
      <w:hyperlink r:id="rId377">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Any system that meet the criteria in </w:t>
      </w:r>
      <w:hyperlink r:id="rId378">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(4) must develop a disinfection profile of its disinfection practice for a period of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requirements. A system must monitor daily for a period of 12 consecutive calendar months to determine the total log inactivation for each day of operation, based on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values in Tables 1 through 8 in Appendix A, as appropriate, through the entire treatment plant. A system must begin this monitoring as directed by the department. As a minimum, a system with a single point of disinfectant application prior to entrance to the distribution system must conduct the monitoring in “1” through “4” below. A system with more than one point of disinfectant application must conduct the monitoring in “1” through “4” below for each disinfection segment. A system must monitor the parameters necessary to determine the total inactivation ratio, using analytical methods in </w:t>
      </w:r>
      <w:hyperlink r:id="rId379">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temperature of the disinfected water must be measured once per day at each RDC sampling point during peak hourly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system uses chlorine, the pH of the disinfected water must be measured once per day at each chlorine RDC sampling point during peak hourly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disinfectant contact time(s) (“T”) must be determined for each day during peak hourly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RDC(s) (“C”) of the water before or at the first customer and prior to each additional point of disinfection must be measured each day during peak hourly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existing data. A system that has existing operational data may use that data to develop a disinfection profile for additional years, in addition to the disinfection profile generated under </w:t>
      </w:r>
      <w:hyperlink r:id="rId380">
        <w:r>
          <w:rPr>
            <w:rStyle w:val="Hyperlink"/>
            <w:rFonts w:ascii="Times New Roman" w:hAnsi="Times New Roman"/>
            <w:b w:val="false"/>
            <w:i w:val="false"/>
            <w:color w:val="000000"/>
            <w:sz w:val="22"/>
          </w:rPr>
          <w:t>43.9(2)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Such systems may use these additional yearly disinfection profiles to develop a benchmark under </w:t>
      </w:r>
      <w:hyperlink r:id="rId381">
        <w:r>
          <w:rPr>
            <w:rStyle w:val="Hyperlink"/>
            <w:rFonts w:ascii="Times New Roman" w:hAnsi="Times New Roman"/>
            <w:b w:val="false"/>
            <w:i w:val="false"/>
            <w:color w:val="000000"/>
            <w:sz w:val="22"/>
          </w:rPr>
          <w:t>43.9(2)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must determine whether these operational data are substantially equivalent to data collected under </w:t>
      </w:r>
      <w:hyperlink r:id="rId382">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(2). These data must be representative of inactivation through the entire treatment plant and not just of certain treatment segments.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Calculation of the total inactivation ratio. The system must calculate the total inactivation ratio as follows, using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values from Tables 1 through 8 listed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system uses only one point of disinfectant application, it may determine the total inactivation ratio for the disinfection segment using either of the following methods: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one inactivation ratio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before or at the first customer during peak hourly flow;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successive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values, representing sequential inactivation ratios, between the point of disinfectant application and a point before or at the first customer during peak hourly flow. Under this alternative, the system must calculate the total inactivation ratio by determining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for each sequence and then adding the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values together to determine Σ(CT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system uses more than one point of disinfectant application before the first customer, the system must determine the CT value of each disinfection segment immediately prior to the next point of disinfectant application, or for the final segment, before or at the first customer, during peak hourly flow. The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 of each segment and Σ(CT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must be calculated using a method above in </w:t>
      </w:r>
      <w:hyperlink r:id="rId383">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determine the total log inactivation by multiplying the value calculated above in </w:t>
      </w:r>
      <w:r>
        <w:rPr>
          <w:rFonts w:ascii="Times New Roman" w:hAnsi="Times New Roman"/>
          <w:b w:val="false"/>
          <w:i w:val="false"/>
          <w:color w:val="000000"/>
          <w:sz w:val="22"/>
        </w:rPr>
        <w:t>43.9(2)</w:t>
      </w:r>
      <w:r>
        <w:rPr>
          <w:rFonts w:ascii="Times New Roman" w:hAnsi="Times New Roman"/>
          <w:b w:val="false"/>
          <w:i/>
          <w:color w:val="000000"/>
          <w:sz w:val="22"/>
        </w:rPr>
        <w:t>“b”</w:t>
      </w:r>
      <w:r>
        <w:rPr>
          <w:rFonts w:ascii="Times New Roman" w:hAnsi="Times New Roman"/>
          <w:b w:val="false"/>
          <w:i w:val="false"/>
          <w:color w:val="000000"/>
          <w:sz w:val="22"/>
        </w:rPr>
        <w:t>(4)</w:t>
      </w:r>
      <w:r>
        <w:rPr>
          <w:rFonts w:ascii="Times New Roman" w:hAnsi="Times New Roman"/>
          <w:b w:val="false"/>
          <w:i w:val="false"/>
          <w:color w:val="000000"/>
          <w:sz w:val="22"/>
        </w:rPr>
        <w:t>“1” or “2” by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Systems using chloramines or ozone. A system that uses either chloramines or ozone for primary disinfection must also calculate the log inactivation for viruses using a department-approved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Profile retention. The system must retain disinfection profile data in graphic form, as a spreadsheet, or in some other format acceptable to the department for review as part of sanitary surveys conducted by the department. The department may require the system to submit the data directly or as part of a MOR.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 change to disinfection practice. Any system required to develop a disinfection profile under </w:t>
      </w:r>
      <w:hyperlink r:id="rId384">
        <w:r>
          <w:rPr>
            <w:rStyle w:val="Hyperlink"/>
            <w:rFonts w:ascii="Times New Roman" w:hAnsi="Times New Roman"/>
            <w:b w:val="false"/>
            <w:i w:val="false"/>
            <w:color w:val="000000"/>
            <w:sz w:val="22"/>
          </w:rPr>
          <w:t>43.9(2)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that decides to make a significant change to its disinfection practice must obtain department approval prior to making such change. Significant changes to disinfection practice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to the point of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to the disinfectant(s) used in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to the disinfection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modification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Calculation of the disinfection benchmark. Any system that is modifying its disinfection practice must calculate its disinfection benchmark using the procedure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year of profiling data collected and calculated under </w:t>
      </w:r>
      <w:hyperlink r:id="rId385">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system must determine the lowest average monthly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in each year of profiling data. The system must determine the average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for each calendar month for each year of profiling data by dividing the sum of daily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by the number of values calculated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disinfection benchmark is the lowest monthly average value (for systems with one year of profiling data) or average of lowest monthly average values (for systems with more than one year of profiling data) of the monthly log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 each year of profiling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system that uses either chloramines or ozone for primary disinfection must also calculate the disinfection benchmark for viruses using a department-approved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system must submit the following information to the department as part of its consultation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disinfection profile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if necessary, viruses) under </w:t>
      </w:r>
      <w:hyperlink r:id="rId386">
        <w:r>
          <w:rPr>
            <w:rStyle w:val="Hyperlink"/>
            <w:rFonts w:ascii="Times New Roman" w:hAnsi="Times New Roman"/>
            <w:b w:val="false"/>
            <w:i w:val="false"/>
            <w:color w:val="000000"/>
            <w:sz w:val="22"/>
          </w:rPr>
          <w:t>43.9(2)</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disinfection benchmark as required by </w:t>
      </w:r>
      <w:hyperlink r:id="rId387">
        <w:r>
          <w:rPr>
            <w:rStyle w:val="Hyperlink"/>
            <w:rFonts w:ascii="Times New Roman" w:hAnsi="Times New Roman"/>
            <w:b w:val="false"/>
            <w:i w:val="false"/>
            <w:color w:val="000000"/>
            <w:sz w:val="22"/>
          </w:rPr>
          <w:t>43.9(2)</w:t>
        </w:r>
      </w:hyperlink>
      <w:r>
        <w:rPr>
          <w:rFonts w:ascii="Times New Roman" w:hAnsi="Times New Roman"/>
          <w:b w:val="false"/>
          <w:i/>
          <w:color w:val="000000"/>
          <w:sz w:val="22"/>
        </w:rPr>
        <w:t>“c”</w:t>
      </w:r>
      <w:r>
        <w:rPr>
          <w:rFonts w:ascii="Times New Roman" w:hAnsi="Times New Roman"/>
          <w:b w:val="false"/>
          <w:i w:val="false"/>
          <w:color w:val="000000"/>
          <w:sz w:val="22"/>
        </w:rPr>
        <w:t>(2);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analysis of how the proposed change will affect the current levels of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43.9(3)</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Conventional filtration treatment or direct filtration. </w:t>
      </w:r>
      <w:r>
        <w:rPr>
          <w:rFonts w:ascii="Times New Roman" w:hAnsi="Times New Roman"/>
          <w:b w:val="false"/>
          <w:i w:val="false"/>
          <w:color w:val="000000"/>
          <w:sz w:val="22"/>
        </w:rPr>
        <w:t xml:space="preserve">Turbidity measurements required by this paragraph shall be made in accordance with </w:t>
      </w:r>
      <w:hyperlink r:id="rId388">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89">
        <w:r>
          <w:rPr>
            <w:rStyle w:val="Hyperlink"/>
            <w:rFonts w:ascii="Times New Roman" w:hAnsi="Times New Roman"/>
            <w:b w:val="false"/>
            <w:i w:val="false"/>
            <w:color w:val="000000"/>
            <w:sz w:val="22"/>
          </w:rPr>
          <w:t>43.5(4)</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Turbidity requirement in 95 percent of samples. For systems using conventional filtration or direct filtration, the turbidity level of representative samples of a system’s filtered water (CFE) must be less than or equal to 0.3 NTU in at least 95 percent of the measurements taken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Maximum turbidity level. The turbidity level of representative samples of a system’s filtered water (CFE) must at no time exceed 1 NTU in two consecutive 15 minute recordings. If at any time the CFE turbidity exceeds 1 NTU in two consecutive 15 minute recordings, the system must inform the department as soon as possible, but no later than 24 hours after the exceedance is known, in accordance with the PN requirements in </w:t>
      </w:r>
      <w:hyperlink r:id="rId390">
        <w:r>
          <w:rPr>
            <w:rStyle w:val="Hyperlink"/>
            <w:rFonts w:ascii="Times New Roman" w:hAnsi="Times New Roman"/>
            <w:b w:val="false"/>
            <w:i w:val="false"/>
            <w:color w:val="000000"/>
            <w:sz w:val="22"/>
          </w:rPr>
          <w:t>567—subparagraph 40.5(3)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Filtration technologies other than conventional, direct, slow sand, or diatomaceous earth. </w:t>
      </w:r>
      <w:r>
        <w:rPr>
          <w:rFonts w:ascii="Times New Roman" w:hAnsi="Times New Roman"/>
          <w:b w:val="false"/>
          <w:i w:val="false"/>
          <w:color w:val="000000"/>
          <w:sz w:val="22"/>
        </w:rPr>
        <w:t xml:space="preserve">The department may allow a PWS to use a filtration technology not listed in </w:t>
      </w:r>
      <w:hyperlink r:id="rId391">
        <w:r>
          <w:rPr>
            <w:rStyle w:val="Hyperlink"/>
            <w:rFonts w:ascii="Times New Roman" w:hAnsi="Times New Roman"/>
            <w:b w:val="false"/>
            <w:i w:val="false"/>
            <w:color w:val="000000"/>
            <w:sz w:val="22"/>
          </w:rPr>
          <w:t>43.9(3)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392">
        <w:r>
          <w:rPr>
            <w:rStyle w:val="Hyperlink"/>
            <w:rFonts w:ascii="Times New Roman" w:hAnsi="Times New Roman"/>
            <w:b w:val="false"/>
            <w:i w:val="false"/>
            <w:color w:val="000000"/>
            <w:sz w:val="22"/>
          </w:rPr>
          <w:t>43.5(3)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if it demonstrates to the department, using pilot plant studies or other means, that the alternative filtration technology, in combination with disinfection treatment that meets the requirements of </w:t>
      </w:r>
      <w:hyperlink r:id="rId393">
        <w:r>
          <w:rPr>
            <w:rStyle w:val="Hyperlink"/>
            <w:rFonts w:ascii="Times New Roman" w:hAnsi="Times New Roman"/>
            <w:b w:val="false"/>
            <w:i w:val="false"/>
            <w:color w:val="000000"/>
            <w:sz w:val="22"/>
          </w:rPr>
          <w:t>43.5(2)</w:t>
        </w:r>
      </w:hyperlink>
      <w:r>
        <w:rPr>
          <w:rFonts w:ascii="Times New Roman" w:hAnsi="Times New Roman"/>
          <w:b w:val="false"/>
          <w:i w:val="false"/>
          <w:color w:val="000000"/>
          <w:sz w:val="22"/>
        </w:rPr>
        <w:t xml:space="preserve">, consistently achieves 99.9 percent removal or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99.99 percent removal or inactivation of viruses, and 99 percent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 and the department approves the use of the filtration technology. For each approval, the department will set turbidity performance requirements that the system must meet at least 95 percent of the time and will require that the system not exceed at any time a level that consistently achieves 99.9 percent removal or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99.99 percent removal or inactivation of viruses, and 99 percent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43.9(4)</w:t>
      </w:r>
      <w:r>
        <w:rPr>
          <w:rFonts w:ascii="Times New Roman" w:hAnsi="Times New Roman"/>
          <w:b w:val="false"/>
          <w:i w:val="false"/>
          <w:color w:val="000000"/>
          <w:sz w:val="22"/>
        </w:rPr>
        <w:t> </w:t>
      </w:r>
      <w:r>
        <w:rPr>
          <w:rFonts w:ascii="Times New Roman" w:hAnsi="Times New Roman"/>
          <w:b w:val="false"/>
          <w:i/>
          <w:color w:val="000000"/>
          <w:sz w:val="22"/>
        </w:rPr>
        <w:t xml:space="preserve">Filtration sampling.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for systems using filtration treatment. </w:t>
      </w:r>
      <w:r>
        <w:rPr>
          <w:rFonts w:ascii="Times New Roman" w:hAnsi="Times New Roman"/>
          <w:b w:val="false"/>
          <w:i w:val="false"/>
          <w:color w:val="000000"/>
          <w:sz w:val="22"/>
        </w:rPr>
        <w:t xml:space="preserve">In addition to monitoring required by </w:t>
      </w:r>
      <w:hyperlink r:id="rId394">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a PWS subject to this rule that provides conventional filtration treatment or direct filtration must conduct continuous turbidity monitoring for each individual filter using an approved method in </w:t>
      </w:r>
      <w:hyperlink r:id="rId395">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(1). Turbidity must be monitored according to a written turbidity protocol approved by the department and audited for compliance during sanitary surveys. Major elements of the protocol shall include, but are not limited to: sample measurement location; calibration method, frequency, standards, method of verification, and verification frequency; and data collection, recording frequency, and reporting. PWSs must calibrate turbidimeters at least every 90 days with a primary standard. The calibration of each turbidimeter used for compliance must be verified at least once per week with a primary standard, secondary standard, the manufacturer’s proprietary calibration confirmation device, or by a department-approved method. If the verification is not within plus or minus 0.05 NTU for measurements of less than or equal to 0.5 NTU, or within plus or minus 10 percent of measurements greater than 0.5 NTU, then the turbidimeter must be recalibrated. Systems must record the results of individual filter monitoring every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of the continuous turbidity monitoring equipment. </w:t>
      </w:r>
      <w:r>
        <w:rPr>
          <w:rFonts w:ascii="Times New Roman" w:hAnsi="Times New Roman"/>
          <w:b w:val="false"/>
          <w:i w:val="false"/>
          <w:color w:val="000000"/>
          <w:sz w:val="22"/>
        </w:rPr>
        <w:t>If there is a failure in the continuous turbidity monitoring equipment, a system must conduct grab sampling every four hours in lieu of continuous monitoring until the turbidimeter is repaired and back online. A system has a maximum of five working days after failure to repair the equipment, or else it is in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 xml:space="preserve">In addition to the reporting and recordkeeping requirements in </w:t>
      </w:r>
      <w:hyperlink r:id="rId396">
        <w:r>
          <w:rPr>
            <w:rStyle w:val="Hyperlink"/>
            <w:rFonts w:ascii="Times New Roman" w:hAnsi="Times New Roman"/>
            <w:b w:val="false"/>
            <w:i w:val="false"/>
            <w:color w:val="000000"/>
            <w:sz w:val="22"/>
          </w:rPr>
          <w:t>567—paragraph 40.8(3)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subject to this rule that provides conventional filtration treatment or direct filtration must report monthly to the department the information in </w:t>
      </w:r>
      <w:hyperlink r:id="rId397">
        <w:r>
          <w:rPr>
            <w:rStyle w:val="Hyperlink"/>
            <w:rFonts w:ascii="Times New Roman" w:hAnsi="Times New Roman"/>
            <w:b w:val="false"/>
            <w:i w:val="false"/>
            <w:color w:val="000000"/>
            <w:sz w:val="22"/>
          </w:rPr>
          <w:t>43.9(5)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subject to this rule that provides filtration approved under </w:t>
      </w:r>
      <w:hyperlink r:id="rId398">
        <w:r>
          <w:rPr>
            <w:rStyle w:val="Hyperlink"/>
            <w:rFonts w:ascii="Times New Roman" w:hAnsi="Times New Roman"/>
            <w:b w:val="false"/>
            <w:i w:val="false"/>
            <w:color w:val="000000"/>
            <w:sz w:val="22"/>
          </w:rPr>
          <w:t>43.9(3)</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report monthly to the department the information in </w:t>
      </w:r>
      <w:hyperlink r:id="rId399">
        <w:r>
          <w:rPr>
            <w:rStyle w:val="Hyperlink"/>
            <w:rFonts w:ascii="Times New Roman" w:hAnsi="Times New Roman"/>
            <w:b w:val="false"/>
            <w:i w:val="false"/>
            <w:color w:val="000000"/>
            <w:sz w:val="22"/>
          </w:rPr>
          <w:t>43.9(5)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Turbidity. </w:t>
      </w:r>
      <w:r>
        <w:rPr>
          <w:rFonts w:ascii="Times New Roman" w:hAnsi="Times New Roman"/>
          <w:b w:val="false"/>
          <w:i w:val="false"/>
          <w:color w:val="000000"/>
          <w:sz w:val="22"/>
        </w:rPr>
        <w:t xml:space="preserve">Turbidity measurements required by </w:t>
      </w:r>
      <w:hyperlink r:id="rId400">
        <w:r>
          <w:rPr>
            <w:rStyle w:val="Hyperlink"/>
            <w:rFonts w:ascii="Times New Roman" w:hAnsi="Times New Roman"/>
            <w:b w:val="false"/>
            <w:i w:val="false"/>
            <w:color w:val="000000"/>
            <w:sz w:val="22"/>
          </w:rPr>
          <w:t>43.9(3)</w:t>
        </w:r>
      </w:hyperlink>
      <w:r>
        <w:rPr>
          <w:rFonts w:ascii="Times New Roman" w:hAnsi="Times New Roman"/>
          <w:b w:val="false"/>
          <w:i w:val="false"/>
          <w:color w:val="000000"/>
          <w:sz w:val="22"/>
        </w:rPr>
        <w:t xml:space="preserve"> must be reported in a format acceptable to the department and within ten days after the end of each month that the system serves water to the public. This reporting is in lieu of the reporting specified in </w:t>
      </w:r>
      <w:hyperlink r:id="rId401">
        <w:r>
          <w:rPr>
            <w:rStyle w:val="Hyperlink"/>
            <w:rFonts w:ascii="Times New Roman" w:hAnsi="Times New Roman"/>
            <w:b w:val="false"/>
            <w:i w:val="false"/>
            <w:color w:val="000000"/>
            <w:sz w:val="22"/>
          </w:rPr>
          <w:t>567—subparagraph 40.8(3)</w:t>
        </w:r>
      </w:hyperlink>
      <w:r>
        <w:rPr>
          <w:rFonts w:ascii="Times New Roman" w:hAnsi="Times New Roman"/>
          <w:b w:val="false"/>
          <w:i/>
          <w:color w:val="000000"/>
          <w:sz w:val="22"/>
        </w:rPr>
        <w:t>“c”</w:t>
      </w:r>
      <w:r>
        <w:rPr>
          <w:rFonts w:ascii="Times New Roman" w:hAnsi="Times New Roman"/>
          <w:b w:val="false"/>
          <w:i w:val="false"/>
          <w:color w:val="000000"/>
          <w:sz w:val="22"/>
        </w:rPr>
        <w:t>(1). Information that must be reported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number of filtered water (CFE) turbidity measurements taken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and percentage of filtered water (CFE) turbidity measurements taken during the month that are less than or equal to the turbidity limits in </w:t>
      </w:r>
      <w:hyperlink r:id="rId402">
        <w:r>
          <w:rPr>
            <w:rStyle w:val="Hyperlink"/>
            <w:rFonts w:ascii="Times New Roman" w:hAnsi="Times New Roman"/>
            <w:b w:val="false"/>
            <w:i w:val="false"/>
            <w:color w:val="000000"/>
            <w:sz w:val="22"/>
          </w:rPr>
          <w:t>43.9(3)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and value of any CFE turbidity measurements taken during the month that exceed 1 NTU in two consecutive recordings taken 15 minutes apart for systems using conventional filtration treatment or direct filtration or that exceed the maximum level set in </w:t>
      </w:r>
      <w:hyperlink r:id="rId403">
        <w:r>
          <w:rPr>
            <w:rStyle w:val="Hyperlink"/>
            <w:rFonts w:ascii="Times New Roman" w:hAnsi="Times New Roman"/>
            <w:b w:val="false"/>
            <w:i w:val="false"/>
            <w:color w:val="000000"/>
            <w:sz w:val="22"/>
          </w:rPr>
          <w:t>43.9(3)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and summary of calibration and verification of all compliance turbidimeters.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turbidity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maintain the results of individual filter turbidity per monitoring taken under </w:t>
      </w:r>
      <w:hyperlink r:id="rId404">
        <w:r>
          <w:rPr>
            <w:rStyle w:val="Hyperlink"/>
            <w:rFonts w:ascii="Times New Roman" w:hAnsi="Times New Roman"/>
            <w:b w:val="false"/>
            <w:i w:val="false"/>
            <w:color w:val="000000"/>
            <w:sz w:val="22"/>
          </w:rPr>
          <w:t>43.9(4)</w:t>
        </w:r>
      </w:hyperlink>
      <w:r>
        <w:rPr>
          <w:rFonts w:ascii="Times New Roman" w:hAnsi="Times New Roman"/>
          <w:b w:val="false"/>
          <w:i w:val="false"/>
          <w:color w:val="000000"/>
          <w:sz w:val="22"/>
        </w:rPr>
        <w:t xml:space="preserve"> for at least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report to the department that they have conducted individual filter turbidity monitoring under </w:t>
      </w:r>
      <w:hyperlink r:id="rId405">
        <w:r>
          <w:rPr>
            <w:rStyle w:val="Hyperlink"/>
            <w:rFonts w:ascii="Times New Roman" w:hAnsi="Times New Roman"/>
            <w:b w:val="false"/>
            <w:i w:val="false"/>
            <w:color w:val="000000"/>
            <w:sz w:val="22"/>
          </w:rPr>
          <w:t>43.9(4)</w:t>
        </w:r>
      </w:hyperlink>
      <w:r>
        <w:rPr>
          <w:rFonts w:ascii="Times New Roman" w:hAnsi="Times New Roman"/>
          <w:b w:val="false"/>
          <w:i w:val="false"/>
          <w:color w:val="000000"/>
          <w:sz w:val="22"/>
        </w:rPr>
        <w:t xml:space="preserve"> within ten days after the end of each month that the system serves water to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report to the department individual filter turbidity measurement results taken under </w:t>
      </w:r>
      <w:hyperlink r:id="rId406">
        <w:r>
          <w:rPr>
            <w:rStyle w:val="Hyperlink"/>
            <w:rFonts w:ascii="Times New Roman" w:hAnsi="Times New Roman"/>
            <w:b w:val="false"/>
            <w:i w:val="false"/>
            <w:color w:val="000000"/>
            <w:sz w:val="22"/>
          </w:rPr>
          <w:t>43.9(4)</w:t>
        </w:r>
      </w:hyperlink>
      <w:r>
        <w:rPr>
          <w:rFonts w:ascii="Times New Roman" w:hAnsi="Times New Roman"/>
          <w:b w:val="false"/>
          <w:i w:val="false"/>
          <w:color w:val="000000"/>
          <w:sz w:val="22"/>
        </w:rPr>
        <w:t xml:space="preserve"> within ten days after the end of each month that the system serves water to the public only if measurements demonstrate one or more of the conditions in </w:t>
      </w:r>
      <w:hyperlink r:id="rId407">
        <w:r>
          <w:rPr>
            <w:rStyle w:val="Hyperlink"/>
            <w:rFonts w:ascii="Times New Roman" w:hAnsi="Times New Roman"/>
            <w:b w:val="false"/>
            <w:i w:val="false"/>
            <w:color w:val="000000"/>
            <w:sz w:val="22"/>
          </w:rPr>
          <w:t>43.9(5)</w:t>
        </w:r>
      </w:hyperlink>
      <w:r>
        <w:rPr>
          <w:rFonts w:ascii="Times New Roman" w:hAnsi="Times New Roman"/>
          <w:b w:val="false"/>
          <w:i/>
          <w:color w:val="000000"/>
          <w:sz w:val="22"/>
        </w:rPr>
        <w:t>“c”</w:t>
      </w:r>
      <w:r>
        <w:rPr>
          <w:rFonts w:ascii="Times New Roman" w:hAnsi="Times New Roman"/>
          <w:b w:val="false"/>
          <w:i w:val="false"/>
          <w:color w:val="000000"/>
          <w:sz w:val="22"/>
        </w:rPr>
        <w:t xml:space="preserve">(5).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use lime softening may apply to the department for alternative exceedance levels for the levels specified in </w:t>
      </w:r>
      <w:hyperlink r:id="rId408">
        <w:r>
          <w:rPr>
            <w:rStyle w:val="Hyperlink"/>
            <w:rFonts w:ascii="Times New Roman" w:hAnsi="Times New Roman"/>
            <w:b w:val="false"/>
            <w:i w:val="false"/>
            <w:color w:val="000000"/>
            <w:sz w:val="22"/>
          </w:rPr>
          <w:t>43.9(5)</w:t>
        </w:r>
      </w:hyperlink>
      <w:r>
        <w:rPr>
          <w:rFonts w:ascii="Times New Roman" w:hAnsi="Times New Roman"/>
          <w:b w:val="false"/>
          <w:i/>
          <w:color w:val="000000"/>
          <w:sz w:val="22"/>
        </w:rPr>
        <w:t>“c”</w:t>
      </w:r>
      <w:r>
        <w:rPr>
          <w:rFonts w:ascii="Times New Roman" w:hAnsi="Times New Roman"/>
          <w:b w:val="false"/>
          <w:i w:val="false"/>
          <w:color w:val="000000"/>
          <w:sz w:val="22"/>
        </w:rPr>
        <w:t xml:space="preserve">(5) if they can demonstrate that higher turbidity levels in individual filters are due to lime carryover only and not due to degraded filter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all of the following instances, the system must report the filter number, the turbidity measurement, and the date(s) when the exceedance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individual filter that has a measured turbidity level of greater than 1.0 NTU in two consecutive measurements taken 15 minutes apart. In addition, the system must either produce a filter profile for the filter within seven days of the exceedance (if the system is not able to identify an obvious reason for the abnormal filter performance) and report that the profile has been produced, or report the obvious reason for the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any individual filter that has a measured turbidity level of greater than 0.5 NTU in two consecutive measurements taken 15 minutes apart anytime following the first four hours of continuous filter operation, after the filter has been backwashed or otherwise taken offline. In addition, the system must either produce a filter profile for the filter within seven days of the exceedance (if the system is not able to identify an obvious reason for the abnormal filter performance) and report that the profile has been produced, or report the obvious reason for the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any individual filter that has a measured turbidity level of greater than 1.0 NTU in two consecutive measurements taken 15 minutes apart at any time in each month of three consecutive months. In addition, the system must conduct a self-assessment of the filter within 14 days of the exceedance and report that the self-assessment was conducted. The self-assessment must consist of an assessment of filter performance; development of a filter profile; identification and prioritization of factors limiting filter performance; assessment of the applicability of corrections; and preparation of a filter self-assessment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any individual filter that has a measured turbidity level of greater than 2.0 NTU in two consecutive measurements taken 15 minutes apart at any time in each month of two consecutive months. In addition, the system must arrange for a comprehensive performance evaluation to be conducted by the department or a department-approved third party no later than 30 days following the exceedance and have the evaluation completed and submitted to the department no later than 90 days following the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reporting requirement for turbidity combined filter effluent (CFE). </w:t>
      </w:r>
      <w:r>
        <w:rPr>
          <w:rFonts w:ascii="Times New Roman" w:hAnsi="Times New Roman"/>
          <w:b w:val="false"/>
          <w:i w:val="false"/>
          <w:color w:val="000000"/>
          <w:sz w:val="22"/>
        </w:rPr>
        <w:t xml:space="preserve">In the following situations, the system must consult with the department as soon as practical, but no later than 24 hours after the exceedance is known, in accordance with the PN requirements under </w:t>
      </w:r>
      <w:hyperlink r:id="rId409">
        <w:r>
          <w:rPr>
            <w:rStyle w:val="Hyperlink"/>
            <w:rFonts w:ascii="Times New Roman" w:hAnsi="Times New Roman"/>
            <w:b w:val="false"/>
            <w:i w:val="false"/>
            <w:color w:val="000000"/>
            <w:sz w:val="22"/>
          </w:rPr>
          <w:t>567—subparagraph 40.5(3)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 system using conventional filtration treatment or direct filtration, if the turbidity exceeds 1 NTU in the CFE in two consecutive recordings taken 15 minutes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the turbidity in representative samples of filtered water (CFE) exceeds the maximum level in </w:t>
      </w:r>
      <w:hyperlink r:id="rId410">
        <w:r>
          <w:rPr>
            <w:rStyle w:val="Hyperlink"/>
            <w:rFonts w:ascii="Times New Roman" w:hAnsi="Times New Roman"/>
            <w:b w:val="false"/>
            <w:i w:val="false"/>
            <w:color w:val="000000"/>
            <w:sz w:val="22"/>
          </w:rPr>
          <w:t>43.9(3)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filtration technologies other than conventional filtration treatment, direct filtration, slow sand filtration, or diatomaceous earth filtration.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567—43.10</w:t>
      </w:r>
      <w:r>
        <w:rPr>
          <w:rFonts w:ascii="Times New Roman" w:hAnsi="Times New Roman"/>
          <w:b/>
          <w:i w:val="false"/>
          <w:color w:val="000000"/>
          <w:sz w:val="22"/>
        </w:rPr>
        <w:t xml:space="preserve">(455B) </w:t>
      </w:r>
      <w:r>
        <w:rPr>
          <w:rFonts w:ascii="Times New Roman" w:hAnsi="Times New Roman"/>
          <w:b/>
          <w:i w:val="false"/>
          <w:color w:val="000000"/>
          <w:sz w:val="22"/>
        </w:rPr>
        <w:t xml:space="preserve">Enhanced filtration and disinfection requirements for SW and IGW systems serving fewer than 10,000 people.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constitutes national primary drinking water regulations, and it establishes requirements for filtration and disinfection in addition to the filtration and disinfection requirements in </w:t>
      </w:r>
      <w:hyperlink r:id="rId411">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This rule is applicable beginning January 1, 2005, unless otherwise noted, to all PWSs using SW or IGW, in whole or in part, and that serve less than 10,000 people. This rule establishes or extends TT requirements in lieu of MCLs for the following contaminants: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viruses, HPC bacteria, </w:t>
      </w:r>
      <w:r>
        <w:rPr>
          <w:rFonts w:ascii="Times New Roman" w:hAnsi="Times New Roman"/>
          <w:b w:val="false"/>
          <w:i/>
          <w:color w:val="000000"/>
          <w:sz w:val="22"/>
        </w:rPr>
        <w:t>Legionella</w:t>
      </w:r>
      <w:r>
        <w:rPr>
          <w:rFonts w:ascii="Times New Roman" w:hAnsi="Times New Roman"/>
          <w:b w:val="false"/>
          <w:i w:val="false"/>
          <w:color w:val="000000"/>
          <w:sz w:val="22"/>
        </w:rPr>
        <w:t xml:space="preserve">, </w:t>
      </w:r>
      <w:r>
        <w:rPr>
          <w:rFonts w:ascii="Times New Roman" w:hAnsi="Times New Roman"/>
          <w:b w:val="false"/>
          <w:i/>
          <w:color w:val="000000"/>
          <w:sz w:val="22"/>
        </w:rPr>
        <w:t>Cryptosporidium</w:t>
      </w:r>
      <w:r>
        <w:rPr>
          <w:rFonts w:ascii="Times New Roman" w:hAnsi="Times New Roman"/>
          <w:b w:val="false"/>
          <w:i w:val="false"/>
          <w:color w:val="000000"/>
          <w:sz w:val="22"/>
        </w:rPr>
        <w:t>, and turbidity. The TT requirements consist of installing and properly operating water treatment processes that reliably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99 percent (2 log)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between a point where the raw water is not subject to recontamination by SW runoff and a point downstream before or at the first customer for filtered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profiling and benchmark requirements in </w:t>
      </w:r>
      <w:hyperlink r:id="rId412">
        <w:r>
          <w:rPr>
            <w:rStyle w:val="Hyperlink"/>
            <w:rFonts w:ascii="Times New Roman" w:hAnsi="Times New Roman"/>
            <w:b w:val="false"/>
            <w:i w:val="false"/>
            <w:color w:val="000000"/>
            <w:sz w:val="22"/>
          </w:rPr>
          <w:t>43.10(2)</w:t>
        </w:r>
      </w:hyperlink>
      <w:r>
        <w:rPr>
          <w:rFonts w:ascii="Times New Roman" w:hAnsi="Times New Roman"/>
          <w:b w:val="false"/>
          <w:i w:val="false"/>
          <w:color w:val="000000"/>
          <w:sz w:val="22"/>
        </w:rPr>
        <w:t xml:space="preserve"> and </w:t>
      </w:r>
      <w:hyperlink r:id="rId413">
        <w:r>
          <w:rPr>
            <w:rStyle w:val="Hyperlink"/>
            <w:rFonts w:ascii="Times New Roman" w:hAnsi="Times New Roman"/>
            <w:b w:val="false"/>
            <w:i w:val="false"/>
            <w:color w:val="000000"/>
            <w:sz w:val="22"/>
          </w:rPr>
          <w:t>43.10(3)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Prohibition of new construction of uncovered intermediate or finished water storage facilities. </w:t>
      </w:r>
      <w:r>
        <w:rPr>
          <w:rFonts w:ascii="Times New Roman" w:hAnsi="Times New Roman"/>
          <w:b w:val="false"/>
          <w:i w:val="false"/>
          <w:color w:val="000000"/>
          <w:sz w:val="22"/>
        </w:rPr>
        <w:t>Systems required to comply with this rule may construct only covered intermediate or finished water storage facilities. For the purposes of this rule, an intermediate storage facility is defined as a storage facility or reservoir after the clarification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 disinfection profile is a graphical representation of a system’s level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or virus inactivation measured during the course of a year. All systems required to comply with this rule must develop a disinfection profile unless the department determines that such a profile is unnecessary. Records must be maintained according to </w:t>
      </w:r>
      <w:hyperlink r:id="rId414">
        <w:r>
          <w:rPr>
            <w:rStyle w:val="Hyperlink"/>
            <w:rFonts w:ascii="Times New Roman" w:hAnsi="Times New Roman"/>
            <w:b w:val="false"/>
            <w:i w:val="false"/>
            <w:color w:val="000000"/>
            <w:sz w:val="22"/>
          </w:rPr>
          <w:t>43.10(7)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the use of a more representative data set for disinfection profiling than the data set required in </w:t>
      </w:r>
      <w:hyperlink r:id="rId415">
        <w:r>
          <w:rPr>
            <w:rStyle w:val="Hyperlink"/>
            <w:rFonts w:ascii="Times New Roman" w:hAnsi="Times New Roman"/>
            <w:b w:val="false"/>
            <w:i w:val="false"/>
            <w:color w:val="000000"/>
            <w:sz w:val="22"/>
          </w:rPr>
          <w:t>43.10(2)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department may determine that a disinfection profile is unnecessary only if a system’s TTHM and HAA5 levels are below 0.064 mg/L and 0.048 mg/L, respectively. To determine these levels, TTHM and HAA5 samples must be collected during the month with the warmest water temperature and at the point of maximum residence time in the distribution system. The department may approve the use of a more representative annual data set to determine the applicability of this subrule. The annual data set must be calculated on an annual average using the arithmetic average of the quarterly averages of four consecutive quarters of monitoring. At least 25 percent of the samples collected in each quarter must be collected at the maximum residence time location in the distribution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producing system that provides water to other PWSs meets the byproduct level requirements of less than 0.064 mg/L for TTHM and less than 0.048 mg/L for HAA5, it will not be required to develop a disinfection profile and benchmark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consecutive system cannot meet the byproduct level requirements of less than 0.064 mg/L for TTHM and less than 0.048 mg/L for HAA5 in its distribution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producing system wants to make a significant change to its disinfection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of a disinfection profile.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must monitor the following parameters to determine the total log inactivation using the analytical methods in </w:t>
      </w:r>
      <w:hyperlink r:id="rId416">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 once per week on the same calendar day, over 12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Temperature of the disinfected water at each RDC sampling point during peak hourly flow, measured in degrees Celsius;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systems using chlorine, the pH of the disinfected water at each RDC sampling point during peak hourly flow, measured in standard pH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disinfectant contact time (“T”) during peak hourly flow, measured in minutes;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RDC(s) (“C”) of the water following each point of disinfection at a point(s) prior to each subsequent point of disinfection and at the entry point to the distribution system or at a location just prior to the first customer during peak hourly flows, measured in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in </w:t>
      </w:r>
      <w:hyperlink r:id="rId417">
        <w:r>
          <w:rPr>
            <w:rStyle w:val="Hyperlink"/>
            <w:rFonts w:ascii="Times New Roman" w:hAnsi="Times New Roman"/>
            <w:b w:val="false"/>
            <w:i w:val="false"/>
            <w:color w:val="000000"/>
            <w:sz w:val="22"/>
          </w:rPr>
          <w:t>43.10(2)</w:t>
        </w:r>
      </w:hyperlink>
      <w:r>
        <w:rPr>
          <w:rFonts w:ascii="Times New Roman" w:hAnsi="Times New Roman"/>
          <w:b w:val="false"/>
          <w:i/>
          <w:color w:val="000000"/>
          <w:sz w:val="22"/>
        </w:rPr>
        <w:t>“b”</w:t>
      </w:r>
      <w:r>
        <w:rPr>
          <w:rFonts w:ascii="Times New Roman" w:hAnsi="Times New Roman"/>
          <w:b w:val="false"/>
          <w:i w:val="false"/>
          <w:color w:val="000000"/>
          <w:sz w:val="22"/>
        </w:rPr>
        <w:t>(1) must be used to calculate the weekly log inactivation, along with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tables in Appendix A. The system must calculate the total inactivation ratio as follows and multiply the value by 3.0 to determine log inactivation of </w:t>
      </w:r>
      <w:r>
        <w:rPr>
          <w:rFonts w:ascii="Times New Roman" w:hAnsi="Times New Roman"/>
          <w:b w:val="false"/>
          <w:i/>
          <w:color w:val="000000"/>
          <w:sz w:val="22"/>
        </w:rPr>
        <w:t>Giardia lamblia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system uses more than one point of disinfectant application before the first customer, the system must determine the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 of each disinfection segment immediately prior to the next point of disinfectant application, or for the final segment, before or at the first customer, during peak hourly flow. The system must calculate the total inactivation ratio by determining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for each sequence and then adding the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values together to determine Ʃ(CT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system uses only one point of disinfectant application, it must determine: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inactivation ratio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before or at the first customer during peak hourly flow,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Successive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values, representing sequential inactivation ratios, between the point of disinfection application and a point before or at the first customer during peak hourly flow. The total inactivation ratio must be calculated from the successive values by determining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for each sequence and then adding the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values together to determine Ʃ(CT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system uses chloramines, ozone, or chlorine dioxide for primary disinfection, the system must also calculate the inactivation logs for viruses and develop an additional disinfection profile for viruses using department-approved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weekly log inactivations are used to develop a disinfection profile by graphing each log inactivation data point versus time. Each log inactivation serves as a data point in the disinfection profile. The system will have obtained 52 measurements at a minimum, one for each week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disinfection profile depicts the variation of microbial inactivation over the course of the year. The system must retain the disinfection profile data both in a graphic form and in a spreadsheet, which must be available for review by the department. This profile is used to calculate a disinfection benchmark if the system is considering changes to its disinfection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Any system required to develop a disinfection profile under </w:t>
      </w:r>
      <w:hyperlink r:id="rId418">
        <w:r>
          <w:rPr>
            <w:rStyle w:val="Hyperlink"/>
            <w:rFonts w:ascii="Times New Roman" w:hAnsi="Times New Roman"/>
            <w:b w:val="false"/>
            <w:i w:val="false"/>
            <w:color w:val="000000"/>
            <w:sz w:val="22"/>
          </w:rPr>
          <w:t>43.10(2)</w:t>
        </w:r>
      </w:hyperlink>
      <w:r>
        <w:rPr>
          <w:rFonts w:ascii="Times New Roman" w:hAnsi="Times New Roman"/>
          <w:b w:val="false"/>
          <w:i w:val="false"/>
          <w:color w:val="000000"/>
          <w:sz w:val="22"/>
        </w:rPr>
        <w:t xml:space="preserve"> must develop a disinfection benchmark prior to making any significant change in disinfection practice. The system must receive department approval before any significant change in disinfection practice is implemented. Records must be maintained according to </w:t>
      </w:r>
      <w:hyperlink r:id="rId419">
        <w:r>
          <w:rPr>
            <w:rStyle w:val="Hyperlink"/>
            <w:rFonts w:ascii="Times New Roman" w:hAnsi="Times New Roman"/>
            <w:b w:val="false"/>
            <w:i w:val="false"/>
            <w:color w:val="000000"/>
            <w:sz w:val="22"/>
          </w:rPr>
          <w:t>43.10(7)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Significant changes. </w:t>
      </w:r>
      <w:r>
        <w:rPr>
          <w:rFonts w:ascii="Times New Roman" w:hAnsi="Times New Roman"/>
          <w:b w:val="false"/>
          <w:i w:val="false"/>
          <w:color w:val="000000"/>
          <w:sz w:val="22"/>
        </w:rPr>
        <w:t>Significant changes to disinfection practice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to the point of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to the disinfectant(s) used in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to the disinfection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modification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 calculation. </w:t>
      </w:r>
      <w:r>
        <w:rPr>
          <w:rFonts w:ascii="Times New Roman" w:hAnsi="Times New Roman"/>
          <w:b w:val="false"/>
          <w:i w:val="false"/>
          <w:color w:val="000000"/>
          <w:sz w:val="22"/>
        </w:rPr>
        <w:t>Systems must calculate the disinfection benchmark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Step 1. Using the data collected to develop the disinfection profile, determine the average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for each calendar month by dividing the sum of all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inactivations for that month by the number of values calculated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2. Determine the lowest monthly average value out of the 12 values. This value becomes the disinfection benchmark.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for department approval of a change in disinfection practice. </w:t>
      </w:r>
      <w:r>
        <w:rPr>
          <w:rFonts w:ascii="Times New Roman" w:hAnsi="Times New Roman"/>
          <w:b w:val="false"/>
          <w:i w:val="false"/>
          <w:color w:val="000000"/>
          <w:sz w:val="22"/>
        </w:rPr>
        <w:t>Systems must submit the  following information to the department as part of the consultation and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disinfection profile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if necessary, viruses;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disinfection benchmark;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analysis of how the proposed change will affect the current levels of disinfection;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benchmarks if chloramines, ozone, or chlorine dioxide is used for primary disinfection. </w:t>
      </w:r>
      <w:r>
        <w:rPr>
          <w:rFonts w:ascii="Times New Roman" w:hAnsi="Times New Roman"/>
          <w:b w:val="false"/>
          <w:i w:val="false"/>
          <w:color w:val="000000"/>
          <w:sz w:val="22"/>
        </w:rPr>
        <w:t xml:space="preserve">If a system uses chloramines, ozone, or chlorine dioxide for primary disinfection, the system must calculate the disinfection benchmark from the data collected for viruses to develop a disinfection profile. This viral benchmark must be calculated in addition to, and in the same manner as, the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disinfection benchmark in </w:t>
      </w:r>
      <w:hyperlink r:id="rId420">
        <w:r>
          <w:rPr>
            <w:rStyle w:val="Hyperlink"/>
            <w:rFonts w:ascii="Times New Roman" w:hAnsi="Times New Roman"/>
            <w:b w:val="false"/>
            <w:i w:val="false"/>
            <w:color w:val="000000"/>
            <w:sz w:val="22"/>
          </w:rPr>
          <w:t>43.10(3)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43.10(4)</w:t>
      </w:r>
      <w:r>
        <w:rPr>
          <w:rFonts w:ascii="Times New Roman" w:hAnsi="Times New Roman"/>
          <w:b w:val="false"/>
          <w:i w:val="false"/>
          <w:color w:val="000000"/>
          <w:sz w:val="22"/>
        </w:rPr>
        <w:t> </w:t>
      </w:r>
      <w:r>
        <w:rPr>
          <w:rFonts w:ascii="Times New Roman" w:hAnsi="Times New Roman"/>
          <w:b w:val="false"/>
          <w:i/>
          <w:color w:val="000000"/>
          <w:sz w:val="22"/>
        </w:rPr>
        <w:t xml:space="preserve">Combined filter effluent (CFE) turbidity requirements. </w:t>
      </w:r>
      <w:r>
        <w:rPr>
          <w:rFonts w:ascii="Times New Roman" w:hAnsi="Times New Roman"/>
          <w:b w:val="false"/>
          <w:i w:val="false"/>
          <w:color w:val="000000"/>
          <w:sz w:val="22"/>
        </w:rPr>
        <w:t xml:space="preserve">All systems using SW or IGW that serve less than 10,000 people must use filtration, and the turbidity limits that must be met depend upon the type of filtration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Turbidity measurements. </w:t>
      </w:r>
      <w:r>
        <w:rPr>
          <w:rFonts w:ascii="Times New Roman" w:hAnsi="Times New Roman"/>
          <w:b w:val="false"/>
          <w:i w:val="false"/>
          <w:color w:val="000000"/>
          <w:sz w:val="22"/>
        </w:rPr>
        <w:t xml:space="preserve">Turbidity must be measured in the CFE as described in </w:t>
      </w:r>
      <w:hyperlink r:id="rId421">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Turbidity monthly reporting. </w:t>
      </w:r>
      <w:r>
        <w:rPr>
          <w:rFonts w:ascii="Times New Roman" w:hAnsi="Times New Roman"/>
          <w:b w:val="false"/>
          <w:i w:val="false"/>
          <w:color w:val="000000"/>
          <w:sz w:val="22"/>
        </w:rPr>
        <w:t xml:space="preserve">The monthly reporting requirements are in </w:t>
      </w:r>
      <w:hyperlink r:id="rId422">
        <w:r>
          <w:rPr>
            <w:rStyle w:val="Hyperlink"/>
            <w:rFonts w:ascii="Times New Roman" w:hAnsi="Times New Roman"/>
            <w:b w:val="false"/>
            <w:i w:val="false"/>
            <w:color w:val="000000"/>
            <w:sz w:val="22"/>
          </w:rPr>
          <w:t>43.10(6)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Conventional filtration treatment or direct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turbidity in the CFE must be less than or equal to 0.3 NTU in 95 percent of the turbidity measurements taken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turbidity in the CFE must never exceed 1 NTU in two consecutive recordings taken 15 minutes apart during the month. If the CFE turbidity exceeds 1 NTU in two consecutive 15 minute recordings, the system must inform the department as soon as possible, but no later than 24 hours after the exceedance is known, in accordance with the PN requirements under </w:t>
      </w:r>
      <w:hyperlink r:id="rId423">
        <w:r>
          <w:rPr>
            <w:rStyle w:val="Hyperlink"/>
            <w:rFonts w:ascii="Times New Roman" w:hAnsi="Times New Roman"/>
            <w:b w:val="false"/>
            <w:i w:val="false"/>
            <w:color w:val="000000"/>
            <w:sz w:val="22"/>
          </w:rPr>
          <w:t>567—subparagraphs </w:t>
        </w:r>
        <w:r>
          <w:rPr>
            <w:rFonts w:ascii="Times New Roman" w:hAnsi="Times New Roman"/>
            <w:b w:val="false"/>
            <w:i w:val="false"/>
            <w:color w:val="000000"/>
            <w:sz w:val="22"/>
          </w:rPr>
          <w:t>40.5(3)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424">
        <w:r>
          <w:rPr>
            <w:rStyle w:val="Hyperlink"/>
            <w:rFonts w:ascii="Times New Roman" w:hAnsi="Times New Roman"/>
            <w:b w:val="false"/>
            <w:i w:val="false"/>
            <w:color w:val="000000"/>
            <w:sz w:val="22"/>
          </w:rPr>
          <w:t>40.5(2)</w:t>
        </w:r>
      </w:hyperlink>
      <w:r>
        <w:rPr>
          <w:rFonts w:ascii="Times New Roman" w:hAnsi="Times New Roman"/>
          <w:b w:val="false"/>
          <w:i/>
          <w:color w:val="000000"/>
          <w:sz w:val="22"/>
        </w:rPr>
        <w:t>“a”</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Slow sand filtration or diatomaceous earth filtration. </w:t>
      </w:r>
      <w:r>
        <w:rPr>
          <w:rFonts w:ascii="Times New Roman" w:hAnsi="Times New Roman"/>
          <w:b w:val="false"/>
          <w:i w:val="false"/>
          <w:color w:val="000000"/>
          <w:sz w:val="22"/>
        </w:rPr>
        <w:t xml:space="preserve">The CFE turbidity limits of </w:t>
      </w:r>
      <w:hyperlink r:id="rId425">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alternative filtration technologies. </w:t>
      </w:r>
      <w:r>
        <w:rPr>
          <w:rFonts w:ascii="Times New Roman" w:hAnsi="Times New Roman"/>
          <w:b w:val="false"/>
          <w:i w:val="false"/>
          <w:color w:val="000000"/>
          <w:sz w:val="22"/>
        </w:rPr>
        <w:t xml:space="preserve">By using pilot studies or other means, a system using alternative filtration must demonstrate to the department’s satisfaction that the system’s filtration, in combination with disinfection treatment, consistently achieves 99 percent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 99.9 percent removal, inactivation, or a combination of both,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and 99.99 percent removal, inactivation, or a combination of both, of viruses. The department will then use the pilot study data to determine system-specific turbidity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turbidity must be less than or equal to a value set by the department in 95 percent of the CFE turbidity measurements taken each month, based on the pilot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CFE turbidity must never exceed a value set by the department, based on the pilot study. The value may not exceed 1 NTU in two consecutive recordings taken 15 minutes apart.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43.10(5)</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turbidity requirements. </w:t>
      </w:r>
      <w:r>
        <w:rPr>
          <w:rFonts w:ascii="Times New Roman" w:hAnsi="Times New Roman"/>
          <w:b w:val="false"/>
          <w:i w:val="false"/>
          <w:color w:val="000000"/>
          <w:sz w:val="22"/>
        </w:rPr>
        <w:t xml:space="preserve">All systems utilizing conventional filtration or direct filtration must conduct continuous turbidity monitoring for each individual filter. Turbidity must be monitored according to a written turbidity protocol approved by the department and audited for compliance during sanitary surveys. Major elements of the protocol shall include, but are not limited to: sample measurement location; calibration method, frequency, standards, method of verification, and verification frequency; and data collection, recording frequency, and reporting. Records must be maintained according to </w:t>
      </w:r>
      <w:hyperlink r:id="rId426">
        <w:r>
          <w:rPr>
            <w:rStyle w:val="Hyperlink"/>
            <w:rFonts w:ascii="Times New Roman" w:hAnsi="Times New Roman"/>
            <w:b w:val="false"/>
            <w:i w:val="false"/>
            <w:color w:val="000000"/>
            <w:sz w:val="22"/>
          </w:rPr>
          <w:t>43.10(7)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Continuous turbidity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monitoring using an approved method listed in </w:t>
      </w:r>
      <w:hyperlink r:id="rId427">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Calibrate turbidimeters at least every 90 days with a primary standard. The calibration of each turbidimeter used for compliance must be verified at least once per week with a primary standard, secondary standard,  the manufacturer’s proprietary calibration confirmation device, or by a department-approved method. If the verification is not within plus or minus 0.05 NTU for measurements of less than or equal to 0.5 NTU, or within plus or minus 10 percent of measurements greater than 0.5 NTU, the turbidimeter must be recalibrated;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 turbidity monitoring results at least every 15 minutes;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monthly reporting in accordance with </w:t>
      </w:r>
      <w:hyperlink r:id="rId428">
        <w:r>
          <w:rPr>
            <w:rStyle w:val="Hyperlink"/>
            <w:rFonts w:ascii="Times New Roman" w:hAnsi="Times New Roman"/>
            <w:b w:val="false"/>
            <w:i w:val="false"/>
            <w:color w:val="000000"/>
            <w:sz w:val="22"/>
          </w:rPr>
          <w:t>43.10(6)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Equipment failure. </w:t>
      </w:r>
      <w:r>
        <w:rPr>
          <w:rFonts w:ascii="Times New Roman" w:hAnsi="Times New Roman"/>
          <w:b w:val="false"/>
          <w:i w:val="false"/>
          <w:color w:val="000000"/>
          <w:sz w:val="22"/>
        </w:rPr>
        <w:t>If there is a failure in the continuous turbidity monitoring equipment, a system must conduct grab sampling every four hours in lieu of continuous monitoring until the turbidimeter is back on-line. A system has a maximum of 14 days after failure to repair the equipment, or else the system is in violation. The system must notify the department within 24 hours, both when a turbidimeter is taken off-line and when it is returned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provision for one-filter or two-filter systems. </w:t>
      </w:r>
      <w:r>
        <w:rPr>
          <w:rFonts w:ascii="Times New Roman" w:hAnsi="Times New Roman"/>
          <w:b w:val="false"/>
          <w:i w:val="false"/>
          <w:color w:val="000000"/>
          <w:sz w:val="22"/>
        </w:rPr>
        <w:t xml:space="preserve">If a system has only one or two filters, it may conduct continuous monitoring of the CFE turbidity instead of individual effluent turbidity monitoring. The continuous monitoring must meet the requirements in </w:t>
      </w:r>
      <w:hyperlink r:id="rId429">
        <w:r>
          <w:rPr>
            <w:rStyle w:val="Hyperlink"/>
            <w:rFonts w:ascii="Times New Roman" w:hAnsi="Times New Roman"/>
            <w:b w:val="false"/>
            <w:i w:val="false"/>
            <w:color w:val="000000"/>
            <w:sz w:val="22"/>
          </w:rPr>
          <w:t>43.10(5)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Alternative turbidity levels for systems using lime softening. </w:t>
      </w:r>
      <w:r>
        <w:rPr>
          <w:rFonts w:ascii="Times New Roman" w:hAnsi="Times New Roman"/>
          <w:b w:val="false"/>
          <w:i w:val="false"/>
          <w:color w:val="000000"/>
          <w:sz w:val="22"/>
        </w:rPr>
        <w:t xml:space="preserve">Systems using lime softening may apply to the department for alternative turbidity exceedance levels for the levels specified in </w:t>
      </w:r>
      <w:hyperlink r:id="rId430">
        <w:r>
          <w:rPr>
            <w:rStyle w:val="Hyperlink"/>
            <w:rFonts w:ascii="Times New Roman" w:hAnsi="Times New Roman"/>
            <w:b w:val="false"/>
            <w:i w:val="false"/>
            <w:color w:val="000000"/>
            <w:sz w:val="22"/>
          </w:rPr>
          <w:t>43.10(5)</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system must be able to demonstrate to the department’s satisfaction that higher turbidity levels are due to lime carryover only, and not due to degraded filter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Requirements triggered by individual filter turbidity monitoring data. </w:t>
      </w:r>
      <w:r>
        <w:rPr>
          <w:rFonts w:ascii="Times New Roman" w:hAnsi="Times New Roman"/>
          <w:b w:val="false"/>
          <w:i w:val="false"/>
          <w:color w:val="000000"/>
          <w:sz w:val="22"/>
        </w:rPr>
        <w:t>Systems must conduct additional activities based upon their individual filter turbidity monitoring data, as listed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turbidity of an individual filter (or the CFE turbidity for a system with one or two filters, pursuant to </w:t>
      </w:r>
      <w:hyperlink r:id="rId431">
        <w:r>
          <w:rPr>
            <w:rStyle w:val="Hyperlink"/>
            <w:rFonts w:ascii="Times New Roman" w:hAnsi="Times New Roman"/>
            <w:b w:val="false"/>
            <w:i w:val="false"/>
            <w:color w:val="000000"/>
            <w:sz w:val="22"/>
          </w:rPr>
          <w:t>43.10(5)</w:t>
        </w:r>
      </w:hyperlink>
      <w:r>
        <w:rPr>
          <w:rFonts w:ascii="Times New Roman" w:hAnsi="Times New Roman"/>
          <w:b w:val="false"/>
          <w:i/>
          <w:color w:val="000000"/>
          <w:sz w:val="22"/>
        </w:rPr>
        <w:t>“c”</w:t>
      </w:r>
      <w:r>
        <w:rPr>
          <w:rFonts w:ascii="Times New Roman" w:hAnsi="Times New Roman"/>
          <w:b w:val="false"/>
          <w:i w:val="false"/>
          <w:color w:val="000000"/>
          <w:sz w:val="22"/>
        </w:rPr>
        <w:t>) exceeds 1.0 NTU in two consecutive recordings taken 15 minutes apart, a system must report the following information in the MOR to the department by the tenth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Turbidity value(s) which exceeded 1.0 NTU;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cause of the exceedance(s),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turbidity of an individual filter (or the CFE turbidity for a system with one or two filters, pursuant to </w:t>
      </w:r>
      <w:hyperlink r:id="rId432">
        <w:r>
          <w:rPr>
            <w:rStyle w:val="Hyperlink"/>
            <w:rFonts w:ascii="Times New Roman" w:hAnsi="Times New Roman"/>
            <w:b w:val="false"/>
            <w:i w:val="false"/>
            <w:color w:val="000000"/>
            <w:sz w:val="22"/>
          </w:rPr>
          <w:t>43.10(5)</w:t>
        </w:r>
      </w:hyperlink>
      <w:r>
        <w:rPr>
          <w:rFonts w:ascii="Times New Roman" w:hAnsi="Times New Roman"/>
          <w:b w:val="false"/>
          <w:i/>
          <w:color w:val="000000"/>
          <w:sz w:val="22"/>
        </w:rPr>
        <w:t>“c”</w:t>
      </w:r>
      <w:r>
        <w:rPr>
          <w:rFonts w:ascii="Times New Roman" w:hAnsi="Times New Roman"/>
          <w:b w:val="false"/>
          <w:i w:val="false"/>
          <w:color w:val="000000"/>
          <w:sz w:val="22"/>
        </w:rPr>
        <w:t>) exceeds 1.0 NTU in two consecutive recordings 15 minutes apart in three consecutive months, a system must conduct a self-assessment of the filter(s) within 14 days of the day the filter exceeded 1.0 NTU in two consecutive measurements for the third straight month, unless a comprehensive performance evaluation (CPE) as specified in the following subparagraph is required. Two-filter systems that monitor the CFE turbidity instead of the individual filters must conduct a self-assessment of both filters. The self-assessment must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filter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Development of a filter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prioritization of factors limiting filter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of the applicability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Preparation of a filter self-assessment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the self-assessment requirement was triggered;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 the self-assessment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turbidity of an individual filter (or the CFE turbidity for a system with one or two filters, pursuant to </w:t>
      </w:r>
      <w:hyperlink r:id="rId433">
        <w:r>
          <w:rPr>
            <w:rStyle w:val="Hyperlink"/>
            <w:rFonts w:ascii="Times New Roman" w:hAnsi="Times New Roman"/>
            <w:b w:val="false"/>
            <w:i w:val="false"/>
            <w:color w:val="000000"/>
            <w:sz w:val="22"/>
          </w:rPr>
          <w:t>43.10(5)</w:t>
        </w:r>
      </w:hyperlink>
      <w:r>
        <w:rPr>
          <w:rFonts w:ascii="Times New Roman" w:hAnsi="Times New Roman"/>
          <w:b w:val="false"/>
          <w:i/>
          <w:color w:val="000000"/>
          <w:sz w:val="22"/>
        </w:rPr>
        <w:t>“c”</w:t>
      </w:r>
      <w:r>
        <w:rPr>
          <w:rFonts w:ascii="Times New Roman" w:hAnsi="Times New Roman"/>
          <w:b w:val="false"/>
          <w:i w:val="false"/>
          <w:color w:val="000000"/>
          <w:sz w:val="22"/>
        </w:rPr>
        <w:t xml:space="preserve">) exceeds 2.0 NTU in two consecutive recordings 15 minutes apart in two consecutive months, a system must arrange to have a CPE conducted by the department or a department-approved third party no later than 60 days following the day the filter exceeded 2.0 NTU in two consecutive measurements for the second straight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CPE report must be completed and submitted to the department within 120 days following the day the filter exceeded 2.0 NTU in two consecutive measurements for the second straight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new CPE is not required if a CPE has been completed by the department or a department-approved third party within the prior 12 months, or if the system and department are jointly participating in an ongoing comprehensive technical assistance project at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CPE at a system regardless of individual filter turbidity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43.10(6)</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Systems must report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CFE turbidity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must be reported in the MOR to the department by the tenth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number of filtered water turbidity measurements taken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filtered water turbidity measurements taken during the month that are less than or equal to the system’s required 95th percentile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and analytical result of any turbidity measurements taken during the month that exceeded the maximum turbidity limit for the system, in addition to the requirements of </w:t>
      </w:r>
      <w:hyperlink r:id="rId434">
        <w:r>
          <w:rPr>
            <w:rStyle w:val="Hyperlink"/>
            <w:rFonts w:ascii="Times New Roman" w:hAnsi="Times New Roman"/>
            <w:b w:val="false"/>
            <w:i w:val="false"/>
            <w:color w:val="000000"/>
            <w:sz w:val="22"/>
          </w:rPr>
          <w:t>43.10(6)</w:t>
        </w:r>
      </w:hyperlink>
      <w:r>
        <w:rPr>
          <w:rFonts w:ascii="Times New Roman" w:hAnsi="Times New Roman"/>
          <w:b w:val="false"/>
          <w:i/>
          <w:color w:val="000000"/>
          <w:sz w:val="22"/>
        </w:rPr>
        <w:t>“a”</w:t>
      </w:r>
      <w:r>
        <w:rPr>
          <w:rFonts w:ascii="Times New Roman" w:hAnsi="Times New Roman"/>
          <w:b w:val="false"/>
          <w:i w:val="false"/>
          <w:color w:val="000000"/>
          <w:sz w:val="22"/>
        </w:rPr>
        <w:t>(2);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and summary of calibration and verification of all compliance turbidimeters.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exceedance of the CFE maximum turbidity limit, as described below, the system must consult with the department as soon as practical, but no later than 24 hours after the exceedance is known, in accordance with the PN requirements under </w:t>
      </w:r>
      <w:hyperlink r:id="rId435">
        <w:r>
          <w:rPr>
            <w:rStyle w:val="Hyperlink"/>
            <w:rFonts w:ascii="Times New Roman" w:hAnsi="Times New Roman"/>
            <w:b w:val="false"/>
            <w:i w:val="false"/>
            <w:color w:val="000000"/>
            <w:sz w:val="22"/>
          </w:rPr>
          <w:t>567—subparagraph 40.5(3)</w:t>
        </w:r>
      </w:hyperlink>
      <w:r>
        <w:rPr>
          <w:rFonts w:ascii="Times New Roman" w:hAnsi="Times New Roman"/>
          <w:b w:val="false"/>
          <w:i/>
          <w:color w:val="000000"/>
          <w:sz w:val="22"/>
        </w:rPr>
        <w:t>“b”</w:t>
      </w:r>
      <w:r>
        <w:rPr>
          <w:rFonts w:ascii="Times New Roman" w:hAnsi="Times New Roman"/>
          <w:b w:val="false"/>
          <w:i w:val="false"/>
          <w:color w:val="000000"/>
          <w:sz w:val="22"/>
        </w:rPr>
        <w:t>(3). Consultation is required if at any time the turbidity in representative samples of filtered water exceeds: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 NTU in the CFE in two consecutive recordings taken 15 minutes apart for systems using conventional filtration treatment or direct filtration;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level under </w:t>
      </w:r>
      <w:hyperlink r:id="rId436">
        <w:r>
          <w:rPr>
            <w:rStyle w:val="Hyperlink"/>
            <w:rFonts w:ascii="Times New Roman" w:hAnsi="Times New Roman"/>
            <w:b w:val="false"/>
            <w:i w:val="false"/>
            <w:color w:val="000000"/>
            <w:sz w:val="22"/>
          </w:rPr>
          <w:t>43.5(3)</w:t>
        </w:r>
      </w:hyperlink>
      <w:r>
        <w:rPr>
          <w:rFonts w:ascii="Times New Roman" w:hAnsi="Times New Roman"/>
          <w:b w:val="false"/>
          <w:i w:val="false"/>
          <w:color w:val="000000"/>
          <w:sz w:val="22"/>
        </w:rPr>
        <w:t xml:space="preserve"> for slow sand filtration or diatomaceous earth filtration;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maximum level in </w:t>
      </w:r>
      <w:hyperlink r:id="rId437">
        <w:r>
          <w:rPr>
            <w:rStyle w:val="Hyperlink"/>
            <w:rFonts w:ascii="Times New Roman" w:hAnsi="Times New Roman"/>
            <w:b w:val="false"/>
            <w:i w:val="false"/>
            <w:color w:val="000000"/>
            <w:sz w:val="22"/>
          </w:rPr>
          <w:t>43.10(4)</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filtration technologies other than conventional filtration treatment, direct filtration, slow sand filtration, or diatomaceous earth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effluent (IFE) turbidity monitoring. </w:t>
      </w:r>
      <w:r>
        <w:rPr>
          <w:rFonts w:ascii="Times New Roman" w:hAnsi="Times New Roman"/>
          <w:b w:val="false"/>
          <w:i w:val="false"/>
          <w:color w:val="000000"/>
          <w:sz w:val="22"/>
        </w:rPr>
        <w:t>The following information must be reported in the MOR to the department by the tenth day of the following month,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system conducted individual filter turbidity monitoring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any filter that had two consecutive measurements taken 15 minutes apart that exceeded 1.0 NTU: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corresponding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turbidity values that exceeded 1.0 NTU;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cause, if known, of the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self-assessment was required, the date it was triggered, and the date the assessment was completed. If the self-assessment requirement was triggered in the last four days of the month, the information must be reported to the department by the 14th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CPE was required, the date it was triggered. A copy of the CPE report must be submitted to the department within 120 days of when the CPE requirement was triggered.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dates and summary of calibration and verification of all compliance turbidimeters.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w:t>
      </w:r>
      <w:r>
        <w:rPr>
          <w:rFonts w:ascii="Times New Roman" w:hAnsi="Times New Roman"/>
          <w:b w:val="false"/>
          <w:i w:val="false"/>
          <w:color w:val="000000"/>
          <w:sz w:val="22"/>
        </w:rPr>
        <w:t>The following information must be reported to the department by January 1, 2004, for systems serving fewer than 500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of DBP monitoring that indicate TTHM levels less than 0.064 mg/L and HAA5 levels less than 0.048 mg/L;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system has begun to collect the profiling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benchmarking. </w:t>
      </w:r>
      <w:r>
        <w:rPr>
          <w:rFonts w:ascii="Times New Roman" w:hAnsi="Times New Roman"/>
          <w:b w:val="false"/>
          <w:i w:val="false"/>
          <w:color w:val="000000"/>
          <w:sz w:val="22"/>
        </w:rPr>
        <w:t>Before a system that was required to develop a disinfection profile makes a significant change to its disinfection practice, it must report the following information to the department, and the system must receive department approval before any significant change in disinfection practice is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proposed change in disinfection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disinfection profile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if applicable, for viruses;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disinfection benchmark;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analysis of how the proposed change will affect the current disinfection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43.10(7)</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 xml:space="preserve">Systems must meet the following recordkeeping requirements, in addition to the recordkeeping requirements in </w:t>
      </w:r>
      <w:hyperlink r:id="rId438">
        <w:r>
          <w:rPr>
            <w:rStyle w:val="Hyperlink"/>
            <w:rFonts w:ascii="Times New Roman" w:hAnsi="Times New Roman"/>
            <w:b w:val="false"/>
            <w:i w:val="false"/>
            <w:color w:val="000000"/>
            <w:sz w:val="22"/>
          </w:rPr>
          <w:t>567—paragraph 40.8(3)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439">
        <w:r>
          <w:rPr>
            <w:rStyle w:val="Hyperlink"/>
            <w:rFonts w:ascii="Times New Roman" w:hAnsi="Times New Roman"/>
            <w:b w:val="false"/>
            <w:i w:val="false"/>
            <w:color w:val="000000"/>
            <w:sz w:val="22"/>
          </w:rPr>
          <w:t>567—40.9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IFE turbidity. </w:t>
      </w:r>
      <w:r>
        <w:rPr>
          <w:rFonts w:ascii="Times New Roman" w:hAnsi="Times New Roman"/>
          <w:b w:val="false"/>
          <w:i w:val="false"/>
          <w:color w:val="000000"/>
          <w:sz w:val="22"/>
        </w:rPr>
        <w:t>The results of the IFE turbidity monitoring must be kept for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and benchmarking. </w:t>
      </w:r>
      <w:r>
        <w:rPr>
          <w:rFonts w:ascii="Times New Roman" w:hAnsi="Times New Roman"/>
          <w:b w:val="false"/>
          <w:i w:val="false"/>
          <w:color w:val="000000"/>
          <w:sz w:val="22"/>
        </w:rPr>
        <w:t>The results of the disinfection profile and disinfection benchmark, including raw data and analysis, must be kept indefinitely.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567—43.11</w:t>
      </w:r>
      <w:r>
        <w:rPr>
          <w:rFonts w:ascii="Times New Roman" w:hAnsi="Times New Roman"/>
          <w:b/>
          <w:i w:val="false"/>
          <w:color w:val="000000"/>
          <w:sz w:val="22"/>
        </w:rPr>
        <w:t xml:space="preserve">(455B) </w:t>
      </w:r>
      <w:r>
        <w:rPr>
          <w:rFonts w:ascii="Times New Roman" w:hAnsi="Times New Roman"/>
          <w:b/>
          <w:i w:val="false"/>
          <w:color w:val="000000"/>
          <w:sz w:val="22"/>
        </w:rPr>
        <w:t xml:space="preserve">Enhanced treatment for </w:t>
      </w:r>
      <w:r>
        <w:rPr>
          <w:rFonts w:ascii="Times New Roman" w:hAnsi="Times New Roman"/>
          <w:b/>
          <w:i/>
          <w:color w:val="000000"/>
          <w:sz w:val="22"/>
        </w:rPr>
        <w:t>Cryptosporidium</w:t>
      </w:r>
      <w:r>
        <w:rPr>
          <w:rFonts w:ascii="Times New Roman" w:hAnsi="Times New Roman"/>
          <w:b/>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requirements of this rule are national primary drinking water regulations and establish or extend TT requirements in lieu of MCLs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These requirements are in addition to the filtration and disinfection requirements of rules </w:t>
      </w:r>
      <w:hyperlink r:id="rId440">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w:t>
      </w:r>
      <w:hyperlink r:id="rId441">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and </w:t>
      </w:r>
      <w:hyperlink r:id="rId442">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(455B) and apply to all Iowa PWSs supplied by SW or IGW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Wholesale systems. </w:t>
      </w:r>
      <w:r>
        <w:rPr>
          <w:rFonts w:ascii="Times New Roman" w:hAnsi="Times New Roman"/>
          <w:b w:val="false"/>
          <w:i w:val="false"/>
          <w:color w:val="000000"/>
          <w:sz w:val="22"/>
        </w:rPr>
        <w:t>Wholesale systems must comply with these requirements based on the population of the largest system in the combined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Filtered systems. </w:t>
      </w:r>
      <w:r>
        <w:rPr>
          <w:rFonts w:ascii="Times New Roman" w:hAnsi="Times New Roman"/>
          <w:b w:val="false"/>
          <w:i w:val="false"/>
          <w:color w:val="000000"/>
          <w:sz w:val="22"/>
        </w:rPr>
        <w:t xml:space="preserve">This rule applies to those filtered systems that must provide filtration treatment pursuant to rule </w:t>
      </w:r>
      <w:hyperlink r:id="rId443">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(455B), whether or not the system is currently operating a filtration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43.11(2)</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Systems subject to this rule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 water monitoring. </w:t>
      </w:r>
      <w:r>
        <w:rPr>
          <w:rFonts w:ascii="Times New Roman" w:hAnsi="Times New Roman"/>
          <w:b w:val="false"/>
          <w:i w:val="false"/>
          <w:color w:val="000000"/>
          <w:sz w:val="22"/>
        </w:rPr>
        <w:t xml:space="preserve">Systems must conduct two rounds of source water monitoring for each plant that treats a SW or IGW source. This monitoring may include sampling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t>
      </w:r>
      <w:r>
        <w:rPr>
          <w:rFonts w:ascii="Times New Roman" w:hAnsi="Times New Roman"/>
          <w:b w:val="false"/>
          <w:i/>
          <w:color w:val="000000"/>
          <w:sz w:val="22"/>
        </w:rPr>
        <w:t>E. coli</w:t>
      </w:r>
      <w:r>
        <w:rPr>
          <w:rFonts w:ascii="Times New Roman" w:hAnsi="Times New Roman"/>
          <w:b w:val="false"/>
          <w:i w:val="false"/>
          <w:color w:val="000000"/>
          <w:sz w:val="22"/>
        </w:rPr>
        <w:t xml:space="preserve">, and turbidity, as described in </w:t>
      </w:r>
      <w:hyperlink r:id="rId444">
        <w:r>
          <w:rPr>
            <w:rStyle w:val="Hyperlink"/>
            <w:rFonts w:ascii="Times New Roman" w:hAnsi="Times New Roman"/>
            <w:b w:val="false"/>
            <w:i w:val="false"/>
            <w:color w:val="000000"/>
            <w:sz w:val="22"/>
          </w:rPr>
          <w:t>43.11(3)</w:t>
        </w:r>
      </w:hyperlink>
      <w:r>
        <w:rPr>
          <w:rFonts w:ascii="Times New Roman" w:hAnsi="Times New Roman"/>
          <w:b w:val="false"/>
          <w:i w:val="false"/>
          <w:color w:val="000000"/>
          <w:sz w:val="22"/>
        </w:rPr>
        <w:t xml:space="preserve">, to determine what level, if any, of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the systems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profiles and benchmarks. </w:t>
      </w:r>
      <w:r>
        <w:rPr>
          <w:rFonts w:ascii="Times New Roman" w:hAnsi="Times New Roman"/>
          <w:b w:val="false"/>
          <w:i w:val="false"/>
          <w:color w:val="000000"/>
          <w:sz w:val="22"/>
        </w:rPr>
        <w:t xml:space="preserve">Systems planning to make a significant change to their disinfection practice must develop disinfection profiles and calculate disinfection benchmarks, as described in </w:t>
      </w:r>
      <w:r>
        <w:rPr>
          <w:rFonts w:ascii="Times New Roman" w:hAnsi="Times New Roman"/>
          <w:b w:val="false"/>
          <w:i w:val="false"/>
          <w:color w:val="000000"/>
          <w:sz w:val="22"/>
        </w:rPr>
        <w:t>43.11(4)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bin determination. </w:t>
      </w:r>
      <w:r>
        <w:rPr>
          <w:rFonts w:ascii="Times New Roman" w:hAnsi="Times New Roman"/>
          <w:b w:val="false"/>
          <w:i w:val="false"/>
          <w:color w:val="000000"/>
          <w:sz w:val="22"/>
        </w:rPr>
        <w:t xml:space="preserve">Systems must determine their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bin classification and provide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if required, according to the prescribed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treatment. </w:t>
      </w:r>
      <w:r>
        <w:rPr>
          <w:rFonts w:ascii="Times New Roman" w:hAnsi="Times New Roman"/>
          <w:b w:val="false"/>
          <w:i w:val="false"/>
          <w:color w:val="000000"/>
          <w:sz w:val="22"/>
        </w:rPr>
        <w:t xml:space="preserve">Systems required to provide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must implement microbial toolbox options as described in </w:t>
      </w:r>
      <w:hyperlink r:id="rId445">
        <w:r>
          <w:rPr>
            <w:rStyle w:val="Hyperlink"/>
            <w:rFonts w:ascii="Times New Roman" w:hAnsi="Times New Roman"/>
            <w:b w:val="false"/>
            <w:i w:val="false"/>
            <w:color w:val="000000"/>
            <w:sz w:val="22"/>
          </w:rPr>
          <w:t>43.11(8)</w:t>
        </w:r>
      </w:hyperlink>
      <w:r>
        <w:rPr>
          <w:rFonts w:ascii="Times New Roman" w:hAnsi="Times New Roman"/>
          <w:b w:val="false"/>
          <w:i w:val="false"/>
          <w:color w:val="000000"/>
          <w:sz w:val="22"/>
        </w:rPr>
        <w:t xml:space="preserve"> through </w:t>
      </w:r>
      <w:hyperlink r:id="rId446">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w:t>
      </w:r>
      <w:r>
        <w:rPr>
          <w:rFonts w:ascii="Times New Roman" w:hAnsi="Times New Roman"/>
          <w:b w:val="false"/>
          <w:i w:val="false"/>
          <w:color w:val="000000"/>
          <w:sz w:val="22"/>
        </w:rPr>
        <w:t xml:space="preserve">Systems must comply with the applicable recordkeeping and reporting requirements in </w:t>
      </w:r>
      <w:hyperlink r:id="rId447">
        <w:r>
          <w:rPr>
            <w:rStyle w:val="Hyperlink"/>
            <w:rFonts w:ascii="Times New Roman" w:hAnsi="Times New Roman"/>
            <w:b w:val="false"/>
            <w:i w:val="false"/>
            <w:color w:val="000000"/>
            <w:sz w:val="22"/>
          </w:rPr>
          <w:t>43.11(14)</w:t>
        </w:r>
      </w:hyperlink>
      <w:r>
        <w:rPr>
          <w:rFonts w:ascii="Times New Roman" w:hAnsi="Times New Roman"/>
          <w:b w:val="false"/>
          <w:i w:val="false"/>
          <w:color w:val="000000"/>
          <w:sz w:val="22"/>
        </w:rPr>
        <w:t xml:space="preserve"> and </w:t>
      </w:r>
      <w:hyperlink r:id="rId448">
        <w:r>
          <w:rPr>
            <w:rStyle w:val="Hyperlink"/>
            <w:rFonts w:ascii="Times New Roman" w:hAnsi="Times New Roman"/>
            <w:b w:val="false"/>
            <w:i w:val="false"/>
            <w:color w:val="000000"/>
            <w:sz w:val="22"/>
          </w:rPr>
          <w:t>43.11(15)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Significant deficiencies. </w:t>
      </w:r>
      <w:r>
        <w:rPr>
          <w:rFonts w:ascii="Times New Roman" w:hAnsi="Times New Roman"/>
          <w:b w:val="false"/>
          <w:i w:val="false"/>
          <w:color w:val="000000"/>
          <w:sz w:val="22"/>
        </w:rPr>
        <w:t xml:space="preserve">Systems must address significant deficiencies identified during sanitary surveys as described in </w:t>
      </w:r>
      <w:hyperlink r:id="rId449">
        <w:r>
          <w:rPr>
            <w:rStyle w:val="Hyperlink"/>
            <w:rFonts w:ascii="Times New Roman" w:hAnsi="Times New Roman"/>
            <w:b w:val="false"/>
            <w:i w:val="false"/>
            <w:color w:val="000000"/>
            <w:sz w:val="22"/>
          </w:rPr>
          <w:t>43.1(7)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43.11(3)</w:t>
      </w:r>
      <w:r>
        <w:rPr>
          <w:rFonts w:ascii="Times New Roman" w:hAnsi="Times New Roman"/>
          <w:b w:val="false"/>
          <w:i w:val="false"/>
          <w:color w:val="000000"/>
          <w:sz w:val="22"/>
        </w:rPr>
        <w:t> </w:t>
      </w:r>
      <w:r>
        <w:rPr>
          <w:rFonts w:ascii="Times New Roman" w:hAnsi="Times New Roman"/>
          <w:b w:val="false"/>
          <w:i/>
          <w:color w:val="000000"/>
          <w:sz w:val="22"/>
        </w:rPr>
        <w:t xml:space="preserve">Source water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 xml:space="preserve">Systems must conduct the source water monitoring no later than the month and year listed in Table 1. A system may avoid the source water monitoring if it provides a total of at least 5.5-log treatment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equivalent to meeting the treatment requirements of Bin 4 in </w:t>
      </w:r>
      <w:hyperlink r:id="rId450">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xml:space="preserve">. The system must install and operate technologies to provide this level of treatment by the applicable treatment compliance date specified in </w:t>
      </w:r>
      <w:hyperlink r:id="rId451">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i w:val="false"/>
          <w:color w:val="000000"/>
          <w:sz w:val="22"/>
        </w:rPr>
        <w:t>Table 1: Source Water Monitoring Schedule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010"/>
        <w:gridCol w:w="3090"/>
        <w:gridCol w:w="3090"/>
      </w:tblGrid>
      <w:tr>
        <w:trPr>
          <w:trHeight w:val="240" w:hRule="atLeast"/>
        </w:trPr>
        <w:tc>
          <w:tcPr>
            <w:tcW w:w="501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System</w:t>
            </w:r>
          </w:p>
        </w:tc>
        <w:tc>
          <w:tcPr>
            <w:tcW w:w="309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First round of monitoring</w:t>
            </w:r>
          </w:p>
        </w:tc>
        <w:tc>
          <w:tcPr>
            <w:tcW w:w="309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Second round of monitoring</w:t>
            </w:r>
          </w:p>
        </w:tc>
      </w:tr>
      <w:tr>
        <w:trPr>
          <w:trHeight w:val="240"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Serves at least 100,000 people</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2006</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2015</w:t>
            </w:r>
          </w:p>
        </w:tc>
      </w:tr>
      <w:tr>
        <w:trPr>
          <w:trHeight w:val="225"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Serves 50,000-99,999 people</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2007</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2015</w:t>
            </w:r>
          </w:p>
        </w:tc>
      </w:tr>
      <w:tr>
        <w:trPr>
          <w:trHeight w:val="225"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Serves 10,000-49,999 people</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2008</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2016</w:t>
            </w:r>
          </w:p>
        </w:tc>
      </w:tr>
      <w:tr>
        <w:trPr>
          <w:trHeight w:val="405"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Serves fewer than 10,000 people and only monitors </w:t>
            </w:r>
            <w:r>
              <w:rPr>
                <w:rFonts w:ascii="Times New Roman" w:hAnsi="Times New Roman"/>
                <w:b w:val="false"/>
                <w:i/>
                <w:color w:val="000000"/>
                <w:sz w:val="16"/>
              </w:rPr>
              <w:t xml:space="preserve">E. coli </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2008</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2017</w:t>
            </w:r>
          </w:p>
        </w:tc>
      </w:tr>
      <w:tr>
        <w:trPr>
          <w:trHeight w:val="405" w:hRule="atLeast"/>
        </w:trPr>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Serves fewer than 10,000 people and monitors </w:t>
            </w:r>
            <w:r>
              <w:rPr>
                <w:rFonts w:ascii="Times New Roman" w:hAnsi="Times New Roman"/>
                <w:b w:val="false"/>
                <w:i/>
                <w:color w:val="000000"/>
                <w:sz w:val="16"/>
              </w:rPr>
              <w:t xml:space="preserve">Cryptosporidium </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2010</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2019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w:t>
      </w:r>
      <w:r>
        <w:rPr>
          <w:rFonts w:ascii="Times New Roman" w:hAnsi="Times New Roman"/>
          <w:b w:val="false"/>
          <w:i w:val="false"/>
          <w:color w:val="000000"/>
          <w:sz w:val="22"/>
        </w:rPr>
        <w:t>The minimum monitoring requirements are listed below. Systems may sample more frequently, provided the sampling frequency is evenly spaced throughout the monitoring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Serving at least 10,000 people. Systems serving at least 10,000 people must sample their source water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t>
      </w:r>
      <w:r>
        <w:rPr>
          <w:rFonts w:ascii="Times New Roman" w:hAnsi="Times New Roman"/>
          <w:b w:val="false"/>
          <w:i/>
          <w:color w:val="000000"/>
          <w:sz w:val="22"/>
        </w:rPr>
        <w:t>E. coli</w:t>
      </w:r>
      <w:r>
        <w:rPr>
          <w:rFonts w:ascii="Times New Roman" w:hAnsi="Times New Roman"/>
          <w:b w:val="false"/>
          <w:i w:val="false"/>
          <w:color w:val="000000"/>
          <w:sz w:val="22"/>
        </w:rPr>
        <w:t>, and turbidity at least monthly for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Serving fewer than 10,000 people. Systems serving fewer than 10,000 people are allowed to first conduct </w:t>
      </w:r>
      <w:r>
        <w:rPr>
          <w:rFonts w:ascii="Times New Roman" w:hAnsi="Times New Roman"/>
          <w:b w:val="false"/>
          <w:i/>
          <w:color w:val="000000"/>
          <w:sz w:val="22"/>
        </w:rPr>
        <w:t>E. coli</w:t>
      </w:r>
      <w:r>
        <w:rPr>
          <w:rFonts w:ascii="Times New Roman" w:hAnsi="Times New Roman"/>
          <w:b w:val="false"/>
          <w:i w:val="false"/>
          <w:color w:val="000000"/>
          <w:sz w:val="22"/>
        </w:rPr>
        <w:t xml:space="preserve"> monitoring to determine if further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sample their source water for </w:t>
      </w:r>
      <w:r>
        <w:rPr>
          <w:rFonts w:ascii="Times New Roman" w:hAnsi="Times New Roman"/>
          <w:b w:val="false"/>
          <w:i/>
          <w:color w:val="000000"/>
          <w:sz w:val="22"/>
        </w:rPr>
        <w:t>E. coli</w:t>
      </w:r>
      <w:r>
        <w:rPr>
          <w:rFonts w:ascii="Times New Roman" w:hAnsi="Times New Roman"/>
          <w:b w:val="false"/>
          <w:i w:val="false"/>
          <w:color w:val="000000"/>
          <w:sz w:val="22"/>
        </w:rPr>
        <w:t xml:space="preserve"> at least once every two weeks for 12 months. If the annual mean </w:t>
      </w:r>
      <w:r>
        <w:rPr>
          <w:rFonts w:ascii="Times New Roman" w:hAnsi="Times New Roman"/>
          <w:b w:val="false"/>
          <w:i/>
          <w:color w:val="000000"/>
          <w:sz w:val="22"/>
        </w:rPr>
        <w:t>E. coli</w:t>
      </w:r>
      <w:r>
        <w:rPr>
          <w:rFonts w:ascii="Times New Roman" w:hAnsi="Times New Roman"/>
          <w:b w:val="false"/>
          <w:i w:val="false"/>
          <w:color w:val="000000"/>
          <w:sz w:val="22"/>
        </w:rPr>
        <w:t xml:space="preserve"> concentration is at or below 100 </w:t>
      </w:r>
      <w:r>
        <w:rPr>
          <w:rFonts w:ascii="Times New Roman" w:hAnsi="Times New Roman"/>
          <w:b w:val="false"/>
          <w:i/>
          <w:color w:val="000000"/>
          <w:sz w:val="22"/>
        </w:rPr>
        <w:t>E. coli</w:t>
      </w:r>
      <w:r>
        <w:rPr>
          <w:rFonts w:ascii="Times New Roman" w:hAnsi="Times New Roman"/>
          <w:b w:val="false"/>
          <w:i w:val="false"/>
          <w:color w:val="000000"/>
          <w:sz w:val="22"/>
        </w:rPr>
        <w:t xml:space="preserve"> per 100 mL, the system can avoid further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in that sampling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may avoid </w:t>
      </w:r>
      <w:r>
        <w:rPr>
          <w:rFonts w:ascii="Times New Roman" w:hAnsi="Times New Roman"/>
          <w:b w:val="false"/>
          <w:i/>
          <w:color w:val="000000"/>
          <w:sz w:val="22"/>
        </w:rPr>
        <w:t>E. coli</w:t>
      </w:r>
      <w:r>
        <w:rPr>
          <w:rFonts w:ascii="Times New Roman" w:hAnsi="Times New Roman"/>
          <w:b w:val="false"/>
          <w:i w:val="false"/>
          <w:color w:val="000000"/>
          <w:sz w:val="22"/>
        </w:rPr>
        <w:t xml:space="preserve"> monitoring if it notifies the department no later than three months prior to the </w:t>
      </w:r>
      <w:r>
        <w:rPr>
          <w:rFonts w:ascii="Times New Roman" w:hAnsi="Times New Roman"/>
          <w:b w:val="false"/>
          <w:i/>
          <w:color w:val="000000"/>
          <w:sz w:val="22"/>
        </w:rPr>
        <w:t>E. coli</w:t>
      </w:r>
      <w:r>
        <w:rPr>
          <w:rFonts w:ascii="Times New Roman" w:hAnsi="Times New Roman"/>
          <w:b w:val="false"/>
          <w:i w:val="false"/>
          <w:color w:val="000000"/>
          <w:sz w:val="22"/>
        </w:rPr>
        <w:t xml:space="preserve"> monitoring start date that the system will conduct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fail to conduct the required </w:t>
      </w:r>
      <w:r>
        <w:rPr>
          <w:rFonts w:ascii="Times New Roman" w:hAnsi="Times New Roman"/>
          <w:b w:val="false"/>
          <w:i/>
          <w:color w:val="000000"/>
          <w:sz w:val="22"/>
        </w:rPr>
        <w:t>E. coli</w:t>
      </w:r>
      <w:r>
        <w:rPr>
          <w:rFonts w:ascii="Times New Roman" w:hAnsi="Times New Roman"/>
          <w:b w:val="false"/>
          <w:i w:val="false"/>
          <w:color w:val="000000"/>
          <w:sz w:val="22"/>
        </w:rPr>
        <w:t xml:space="preserve"> monitoring or that cannot meet the </w:t>
      </w:r>
      <w:r>
        <w:rPr>
          <w:rFonts w:ascii="Times New Roman" w:hAnsi="Times New Roman"/>
          <w:b w:val="false"/>
          <w:i/>
          <w:color w:val="000000"/>
          <w:sz w:val="22"/>
        </w:rPr>
        <w:t>E. coli</w:t>
      </w:r>
      <w:r>
        <w:rPr>
          <w:rFonts w:ascii="Times New Roman" w:hAnsi="Times New Roman"/>
          <w:b w:val="false"/>
          <w:i w:val="false"/>
          <w:color w:val="000000"/>
          <w:sz w:val="22"/>
        </w:rPr>
        <w:t xml:space="preserve"> annual mean limit must conduct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The system must sample its source water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either at least twice per month for 12 months or at least monthly for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that begins monitoring for </w:t>
      </w:r>
      <w:r>
        <w:rPr>
          <w:rFonts w:ascii="Times New Roman" w:hAnsi="Times New Roman"/>
          <w:b w:val="false"/>
          <w:i/>
          <w:color w:val="000000"/>
          <w:sz w:val="22"/>
        </w:rPr>
        <w:t>E. coli</w:t>
      </w:r>
      <w:r>
        <w:rPr>
          <w:rFonts w:ascii="Times New Roman" w:hAnsi="Times New Roman"/>
          <w:b w:val="false"/>
          <w:i w:val="false"/>
          <w:color w:val="000000"/>
          <w:sz w:val="22"/>
        </w:rPr>
        <w:t xml:space="preserve"> and determines during the sampling period that the system mathematically cannot meet the applicable </w:t>
      </w:r>
      <w:r>
        <w:rPr>
          <w:rFonts w:ascii="Times New Roman" w:hAnsi="Times New Roman"/>
          <w:b w:val="false"/>
          <w:i/>
          <w:color w:val="000000"/>
          <w:sz w:val="22"/>
        </w:rPr>
        <w:t>E. coli</w:t>
      </w:r>
      <w:r>
        <w:rPr>
          <w:rFonts w:ascii="Times New Roman" w:hAnsi="Times New Roman"/>
          <w:b w:val="false"/>
          <w:i w:val="false"/>
          <w:color w:val="000000"/>
          <w:sz w:val="22"/>
        </w:rPr>
        <w:t xml:space="preserve"> annual mean limit may discontinue the </w:t>
      </w:r>
      <w:r>
        <w:rPr>
          <w:rFonts w:ascii="Times New Roman" w:hAnsi="Times New Roman"/>
          <w:b w:val="false"/>
          <w:i/>
          <w:color w:val="000000"/>
          <w:sz w:val="22"/>
        </w:rPr>
        <w:t>E. coli</w:t>
      </w:r>
      <w:r>
        <w:rPr>
          <w:rFonts w:ascii="Times New Roman" w:hAnsi="Times New Roman"/>
          <w:b w:val="false"/>
          <w:i w:val="false"/>
          <w:color w:val="000000"/>
          <w:sz w:val="22"/>
        </w:rPr>
        <w:t xml:space="preserve"> monitoring. The system is then required to start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according to the schedule in Table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Plants operating only part of the year. Systems with SW or IGW treatment plants that operate for only part of the year must conduct source water monitoring in accordance with this rule, but with the following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sample their source water only during the months that the plant operates unless the department specifies another monitoring period based on plant operating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with plants that operate less than six months per year must collect at least six samples per year for two years. The samples must be evenly spaced throughout the period the plant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New sources. A system that begins using a new SW or IGW source after the dates in Table 1 must monitor according to a department-approved schedule and comply with this subrule. The system must also meet the requirements of the bin classification and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for the new source on a department-approved schedule. The system must conduct the second round of source water monitoring no later than six years following the initial bin classification or determination of the mean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level, as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violation determination. Failure to collect any source water sample required under this subrule in accordance with the sampling plan, location, analytical method, approved laboratory, or reporting requirements of </w:t>
      </w:r>
      <w:hyperlink r:id="rId452">
        <w:r>
          <w:rPr>
            <w:rStyle w:val="Hyperlink"/>
            <w:rFonts w:ascii="Times New Roman" w:hAnsi="Times New Roman"/>
            <w:b w:val="false"/>
            <w:i w:val="false"/>
            <w:color w:val="000000"/>
            <w:sz w:val="22"/>
          </w:rPr>
          <w:t>43.11(3)</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is a monitoring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Sampling plan. </w:t>
      </w:r>
      <w:r>
        <w:rPr>
          <w:rFonts w:ascii="Times New Roman" w:hAnsi="Times New Roman"/>
          <w:b w:val="false"/>
          <w:i w:val="false"/>
          <w:color w:val="000000"/>
          <w:sz w:val="22"/>
        </w:rPr>
        <w:t>Systems must submit a sampling plan that specifies the sampling locations in relation to the sources and treatment processes and the calendar dates of sample collection. The specific treatment process locations that must be included in the plan are pretreatment, points of chemical treatment, and filter backwash recycle.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sampling plan must be submitted in a form acceptable to the department no later than three months prior to the applicable monitoring date in Table 1. If the department does not respond to a system regarding the submitted sampling plan prior to the start of the monitoring period, the system must sample according to the submitted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must monitor within two days of the date specified in the plan, unless one of the following conditions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extreme condition or situation exists that may pose danger to the sample collector, or that cannot be avoided, and causes the system to be unable to sample in the scheduled five-day period, the system must sample as close to the scheduled date as is feasible unless the department approves an alternative sampling date. The system must submit an explanation for the delayed sampling date to the department within one week of the missed sampling period. A replacement sample must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system is unable to report a valid analytical result for a scheduled sampling date due to equipment failure, loss of or damage to the sample, failure to comply with the analytical method or quality control requirements, or failure of the laboratory to analyze the sample, the system must notify the department of the cause of the delay and collect a replacement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replacement sample must be collected within 21 days of the scheduled sampling period or on the department-approved resampling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Missed sampling dates. Systems that fail to collect source water samples on the dates specified in their sampling plan must revise their sampling plan to add collection dates all missed samples. The revised plan must be submitted to the department for approval prior to the collection of the missed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Sampling locations. </w:t>
      </w:r>
      <w:r>
        <w:rPr>
          <w:rFonts w:ascii="Times New Roman" w:hAnsi="Times New Roman"/>
          <w:b w:val="false"/>
          <w:i w:val="false"/>
          <w:color w:val="000000"/>
          <w:sz w:val="22"/>
        </w:rPr>
        <w:t>Systems must collect samples for each treatment plant that treats a SW or IGW source. If multiple plants draw water from the same influent (same pipe or intake), the department may approve one set of monitoring results to be used to satisfy the requirements for those 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Chemical treatment location. Systems must collect source water samples prior to chemical treatment. If the system cannot feasibly collect a sample prior to chemical treatment, the department may grant approval in writing for sample collection after chemical treatment. This approval would only be granted if the department determines that sample collection prior to chemical treatment is not feasible for the system and that the chemical treatment is unlikely to have a significant adverse effect on the sample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Filter backwash recycle return location. Systems that recycle filter backwash water must collect source water samples prior to the point of filter backwash water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 filtration credit sampling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bank filtration under </w:t>
      </w:r>
      <w:hyperlink r:id="rId453">
        <w:r>
          <w:rPr>
            <w:rStyle w:val="Hyperlink"/>
            <w:rFonts w:ascii="Times New Roman" w:hAnsi="Times New Roman"/>
            <w:b w:val="false"/>
            <w:i w:val="false"/>
            <w:color w:val="000000"/>
            <w:sz w:val="22"/>
          </w:rPr>
          <w:t>43.9(3)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454">
        <w:r>
          <w:rPr>
            <w:rStyle w:val="Hyperlink"/>
            <w:rFonts w:ascii="Times New Roman" w:hAnsi="Times New Roman"/>
            <w:b w:val="false"/>
            <w:i w:val="false"/>
            <w:color w:val="000000"/>
            <w:sz w:val="22"/>
          </w:rPr>
          <w:t>43.10(4)</w:t>
        </w:r>
      </w:hyperlink>
      <w:r>
        <w:rPr>
          <w:rFonts w:ascii="Times New Roman" w:hAnsi="Times New Roman"/>
          <w:b w:val="false"/>
          <w:i/>
          <w:color w:val="000000"/>
          <w:sz w:val="22"/>
        </w:rPr>
        <w:t>“c”</w:t>
      </w:r>
      <w:r>
        <w:rPr>
          <w:rFonts w:ascii="Times New Roman" w:hAnsi="Times New Roman"/>
          <w:b w:val="false"/>
          <w:i w:val="false"/>
          <w:color w:val="000000"/>
          <w:sz w:val="22"/>
        </w:rPr>
        <w:t xml:space="preserve"> must collect source water samples in the SW source prior to bank filtration.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use bank filtration as pretreatment to a filtration plant must collect source water samples from the well, which is after bank filtration has occurred. Use of bank filtration during monitoring must be consistent with routine operational practice. Systems collecting samples after a bank filtration process may not receive treatment credit for the bank filtration under </w:t>
      </w:r>
      <w:hyperlink r:id="rId455">
        <w:r>
          <w:rPr>
            <w:rStyle w:val="Hyperlink"/>
            <w:rFonts w:ascii="Times New Roman" w:hAnsi="Times New Roman"/>
            <w:b w:val="false"/>
            <w:i w:val="false"/>
            <w:color w:val="000000"/>
            <w:sz w:val="22"/>
          </w:rPr>
          <w:t>43.11(10)</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Multiple sources. Systems with plants that use multiple water sources, including multiple SW sources and blended SW and GW sources, must collect samples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multiple sources during monitoring must be consistent with routine operational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sampling tap is available where the sources are combined prior to treatment, the system must collect samples from that tap.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sampling tap where the sources are combined prior to treatment is not available, the system must collect samples at each source near the intake on the same day and must use either of the following options for sample analysis.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Physically composite the source samples into a single sample for analysis. Systems may composite the sample from each source into one sample prior to analysis. The volume of the sample from each source must be weighted according to the proportion of the source in the total plant flow at the time of sample collection,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Analyze the samples from each source separately and mathematically composite the results by calculating a weighted average of the analytical results for each sampling date. Calculate the weighted average by multiplying the analytical result for each source by the fraction that source contributed to the total plant flow at the time of sample collection and summing the weighted analytical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laboratory certification, and data reporting requirements. </w:t>
      </w:r>
      <w:r>
        <w:rPr>
          <w:rFonts w:ascii="Times New Roman" w:hAnsi="Times New Roman"/>
          <w:b w:val="false"/>
          <w:i w:val="false"/>
          <w:color w:val="000000"/>
          <w:sz w:val="22"/>
        </w:rPr>
        <w:t>Systems must have samples analyzed pursuant to this paragraph. The system must report, in a format acceptable to the department, the analytical results from the source water monitoring no later than ten days after the end of the first month following the month when the sample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samples must be analyzed by a laboratory that is approved under EPA’s Laboratory Quality Assurance Evaluation Program for Analysis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analytical methods for </w:t>
      </w:r>
      <w:r>
        <w:rPr>
          <w:rFonts w:ascii="Times New Roman" w:hAnsi="Times New Roman"/>
          <w:b w:val="false"/>
          <w:i/>
          <w:color w:val="000000"/>
          <w:sz w:val="22"/>
        </w:rPr>
        <w:t>Cryptosporidium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“Method 1623: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and </w:t>
      </w:r>
      <w:r>
        <w:rPr>
          <w:rFonts w:ascii="Times New Roman" w:hAnsi="Times New Roman"/>
          <w:b w:val="false"/>
          <w:i/>
          <w:color w:val="000000"/>
          <w:sz w:val="22"/>
        </w:rPr>
        <w:t>Giardia</w:t>
      </w:r>
      <w:r>
        <w:rPr>
          <w:rFonts w:ascii="Times New Roman" w:hAnsi="Times New Roman"/>
          <w:b w:val="false"/>
          <w:i w:val="false"/>
          <w:color w:val="000000"/>
          <w:sz w:val="22"/>
        </w:rPr>
        <w:t xml:space="preserve"> in Water by Filtration/IMS/FA,” 2005, EPA-815-R-05-002, </w:t>
      </w:r>
      <w:hyperlink r:id="rId456">
        <w:r>
          <w:rPr>
            <w:rStyle w:val="Hyperlink"/>
            <w:rFonts w:ascii="Times New Roman" w:hAnsi="Times New Roman"/>
            <w:b w:val="false"/>
            <w:i w:val="false"/>
            <w:color w:val="000000"/>
            <w:sz w:val="22"/>
            <w:u w:val="single"/>
          </w:rPr>
          <w:t>www.nemi.gov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“Method 1622: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 Water by Filtration/IMS/FA,” 2005, EPA-815-R-05-001, </w:t>
      </w:r>
      <w:hyperlink r:id="rId457">
        <w:r>
          <w:rPr>
            <w:rStyle w:val="Hyperlink"/>
            <w:rFonts w:ascii="Times New Roman" w:hAnsi="Times New Roman"/>
            <w:b w:val="false"/>
            <w:i w:val="false"/>
            <w:color w:val="000000"/>
            <w:sz w:val="22"/>
            <w:u w:val="single"/>
          </w:rPr>
          <w:t>www.nemi.gov</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“Method 1623.1: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and </w:t>
      </w:r>
      <w:r>
        <w:rPr>
          <w:rFonts w:ascii="Times New Roman" w:hAnsi="Times New Roman"/>
          <w:b w:val="false"/>
          <w:i/>
          <w:color w:val="000000"/>
          <w:sz w:val="22"/>
        </w:rPr>
        <w:t>Giardia</w:t>
      </w:r>
      <w:r>
        <w:rPr>
          <w:rFonts w:ascii="Times New Roman" w:hAnsi="Times New Roman"/>
          <w:b w:val="false"/>
          <w:i w:val="false"/>
          <w:color w:val="000000"/>
          <w:sz w:val="22"/>
        </w:rPr>
        <w:t xml:space="preserve"> in Water by Filtration/Immunomagnetic Separation/Immunofluorescence Assay Microscopy,” 2012, EPA-816-R-12-001, </w:t>
      </w:r>
      <w:hyperlink r:id="rId458">
        <w:r>
          <w:rPr>
            <w:rStyle w:val="Hyperlink"/>
            <w:rFonts w:ascii="Times New Roman" w:hAnsi="Times New Roman"/>
            <w:b w:val="false"/>
            <w:i w:val="false"/>
            <w:color w:val="000000"/>
            <w:sz w:val="22"/>
            <w:u w:val="single"/>
          </w:rPr>
          <w:t>nepis.epa.gov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Using one of the approved methods, the laboratory must analyze at least a 10 L sample or a packed pellet volume of at least 2 mL. Systems unable to process a 10 L sample must analyze as much sample volume as can be filtered by two filters specified in the method, up to a packed pellet volume of at least 2 mL.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matrix spike (MS) sample must be spiked and filtered by the laboratory according to the approved method. If the volume of the MS sample is greater than 10 L, the system may filter all but 10 L of the MS sample in the field and ship the filtered sample and the remaining 10 L of source water to the laboratory. In this case, the laboratory must spike the remaining 10 L of water and filter it through the filter used to collect the balance of the sample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Flow cytometer-counted spiking suspensions must be used for the MS samples and the ongoing precision and recovery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data must be reported for each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analysis: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PWS 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Facility 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collection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type (i.e., field or 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volume filtered (L), to the nearest 0.25 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100 percent of the filtered volume was examined by the laboratory.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Number of oocysts counted.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MS samples: sample volume spiked and estimated number of oocysts spiked.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samples in which less than 10 L is filtered or less than 100 percent of the sample volume is examined: the number of filters used and the packed pellet volume.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samples in which less than 100 percent of sample volume is examined: the volume of resuspended concentrate and the volume of this resuspension processed through immunomagnetic separation.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 coli</w:t>
      </w:r>
      <w:r>
        <w:rPr>
          <w:rFonts w:ascii="Times New Roman" w:hAnsi="Times New Roman"/>
          <w:b w:val="false"/>
          <w:i w:val="false"/>
          <w:color w:val="000000"/>
          <w:sz w:val="22"/>
        </w:rPr>
        <w:t xml:space="preserve"> samples must be analyzed by a laboratory certified by EPA, the National Environmental Laboratory Accreditation Conference, or the department for total coliform or fecal coliform analysis in drinking water samples using the same approved </w:t>
      </w:r>
      <w:r>
        <w:rPr>
          <w:rFonts w:ascii="Times New Roman" w:hAnsi="Times New Roman"/>
          <w:b w:val="false"/>
          <w:i/>
          <w:color w:val="000000"/>
          <w:sz w:val="22"/>
        </w:rPr>
        <w:t>E. coli</w:t>
      </w:r>
      <w:r>
        <w:rPr>
          <w:rFonts w:ascii="Times New Roman" w:hAnsi="Times New Roman"/>
          <w:b w:val="false"/>
          <w:i w:val="false"/>
          <w:color w:val="000000"/>
          <w:sz w:val="22"/>
        </w:rPr>
        <w:t xml:space="preserve"> method for the source water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analytical methods for the enumeration of </w:t>
      </w:r>
      <w:r>
        <w:rPr>
          <w:rFonts w:ascii="Times New Roman" w:hAnsi="Times New Roman"/>
          <w:b w:val="false"/>
          <w:i/>
          <w:color w:val="000000"/>
          <w:sz w:val="22"/>
        </w:rPr>
        <w:t>E. coli</w:t>
      </w:r>
      <w:r>
        <w:rPr>
          <w:rFonts w:ascii="Times New Roman" w:hAnsi="Times New Roman"/>
          <w:b w:val="false"/>
          <w:i w:val="false"/>
          <w:color w:val="000000"/>
          <w:sz w:val="22"/>
        </w:rPr>
        <w:t xml:space="preserve"> in source water are shown in Table 2.</w:t>
      </w:r>
    </w:p>
    <w:p>
      <w:pPr>
        <w:spacing w:before="60" w:after="0"/>
        <w:ind w:left="120"/>
        <w:jc w:val="center"/>
      </w:pPr>
      <w:r>
        <w:rPr>
          <w:rFonts w:ascii="Times New Roman" w:hAnsi="Times New Roman"/>
          <w:b/>
          <w:i w:val="false"/>
          <w:color w:val="000000"/>
          <w:sz w:val="22"/>
        </w:rPr>
        <w:t xml:space="preserve">Table 2: </w:t>
      </w:r>
      <w:r>
        <w:rPr>
          <w:rFonts w:ascii="Times New Roman" w:hAnsi="Times New Roman"/>
          <w:b/>
          <w:i/>
          <w:color w:val="000000"/>
          <w:sz w:val="22"/>
        </w:rPr>
        <w:t>E. coli</w:t>
      </w:r>
      <w:r>
        <w:rPr>
          <w:rFonts w:ascii="Times New Roman" w:hAnsi="Times New Roman"/>
          <w:b/>
          <w:i w:val="false"/>
          <w:color w:val="000000"/>
          <w:sz w:val="22"/>
        </w:rPr>
        <w:t xml:space="preserve"> Analytical Methods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920"/>
        <w:gridCol w:w="2880"/>
        <w:gridCol w:w="2880"/>
      </w:tblGrid>
      <w:tr>
        <w:trPr>
          <w:trHeight w:val="240" w:hRule="atLeast"/>
        </w:trPr>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Method</w:t>
            </w:r>
          </w:p>
        </w:tc>
        <w:tc>
          <w:tcPr>
            <w:tcW w:w="192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EPA</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SM</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Other</w:t>
            </w:r>
          </w:p>
        </w:tc>
      </w:tr>
      <w:tr>
        <w:trPr>
          <w:trHeight w:val="70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Most probable number (MPN) with multiple tube or multiple well</w:t>
            </w:r>
            <w:r>
              <w:rPr>
                <w:rFonts w:ascii="Times New Roman" w:hAnsi="Times New Roman"/>
                <w:b w:val="false"/>
                <w:i w:val="false"/>
                <w:color w:val="000000"/>
                <w:sz w:val="18"/>
                <w:vertAlign w:val="superscript"/>
              </w:rPr>
              <w:t>1, 2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9223 B</w:t>
            </w:r>
            <w:r>
              <w:rPr>
                <w:rFonts w:ascii="Times New Roman" w:hAnsi="Times New Roman"/>
                <w:b w:val="false"/>
                <w:i w:val="false"/>
                <w:color w:val="000000"/>
                <w:sz w:val="18"/>
                <w:vertAlign w:val="superscript"/>
              </w:rPr>
              <w:t>11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991.15</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w:t>
            </w:r>
            <w:r>
              <w:br/>
            </w:r>
            <w:r>
              <w:rPr>
                <w:rFonts w:ascii="Times New Roman" w:hAnsi="Times New Roman"/>
                <w:b w:val="false"/>
                <w:i w:val="false"/>
                <w:color w:val="000000"/>
                <w:sz w:val="16"/>
              </w:rPr>
              <w:t>Colilert</w:t>
            </w:r>
            <w:r>
              <w:rPr>
                <w:rFonts w:ascii="Times New Roman" w:hAnsi="Times New Roman"/>
                <w:b w:val="false"/>
                <w:i w:val="false"/>
                <w:color w:val="000000"/>
                <w:sz w:val="18"/>
                <w:vertAlign w:val="superscript"/>
              </w:rPr>
              <w:t>3, 5</w:t>
            </w:r>
            <w:r>
              <w:br/>
            </w:r>
            <w:r>
              <w:rPr>
                <w:rFonts w:ascii="Times New Roman" w:hAnsi="Times New Roman"/>
                <w:b w:val="false"/>
                <w:i w:val="false"/>
                <w:color w:val="000000"/>
                <w:sz w:val="16"/>
              </w:rPr>
              <w:t>Colilert-18</w:t>
            </w:r>
            <w:r>
              <w:rPr>
                <w:rFonts w:ascii="Times New Roman" w:hAnsi="Times New Roman"/>
                <w:b w:val="false"/>
                <w:i w:val="false"/>
                <w:color w:val="000000"/>
                <w:sz w:val="18"/>
                <w:vertAlign w:val="superscript"/>
              </w:rPr>
              <w:t>3, 5, 6</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single step</w:t>
            </w:r>
            <w:r>
              <w:rPr>
                <w:rFonts w:ascii="Times New Roman" w:hAnsi="Times New Roman"/>
                <w:b w:val="false"/>
                <w:i w:val="false"/>
                <w:color w:val="000000"/>
                <w:sz w:val="18"/>
                <w:vertAlign w:val="superscript"/>
              </w:rPr>
              <w:t>1, 7, 8</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1603</w:t>
            </w:r>
            <w:r>
              <w:rPr>
                <w:rFonts w:ascii="Times New Roman" w:hAnsi="Times New Roman"/>
                <w:b w:val="false"/>
                <w:i w:val="false"/>
                <w:color w:val="000000"/>
                <w:sz w:val="18"/>
                <w:vertAlign w:val="superscript"/>
              </w:rPr>
              <w:t>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m-ColiBlue24</w:t>
            </w:r>
            <w:r>
              <w:rPr>
                <w:rFonts w:ascii="Times New Roman" w:hAnsi="Times New Roman"/>
                <w:b w:val="false"/>
                <w:i w:val="false"/>
                <w:color w:val="000000"/>
                <w:sz w:val="18"/>
                <w:vertAlign w:val="superscript"/>
              </w:rPr>
              <w:t>10</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two step</w:t>
            </w:r>
          </w:p>
        </w:tc>
        <w:tc>
          <w:tcPr>
            <w:tcW w:w="19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9222D/9222G</w:t>
            </w:r>
            <w:r>
              <w:rPr>
                <w:rFonts w:ascii="Times New Roman" w:hAnsi="Times New Roman"/>
                <w:b w:val="false"/>
                <w:i w:val="false"/>
                <w:color w:val="000000"/>
                <w:sz w:val="18"/>
                <w:vertAlign w:val="superscript"/>
              </w:rPr>
              <w:t>12</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Tests must be conducted to provide organism enumeration (i.e., density). Select the appropriate configuration of tubes/filtrations and dilutions/volumes to account for the quality, consistency, and anticipated organism density in the water sample.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Enumerate samples using the multiple-tube or multiple-well procedure. Using multiple-tube procedures, employ an appropriate tube and dilution configuration of the sample as needed and report the MPN. Samples tested with Colilert® may be enumerated with the multiple-well procedures, Quanti-Tray®, Quanti-Tray® 2000, and the MPN calculated from the table provided by the manufacturer.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These tests are collectively known as defined enzyme substrate tests, where, for example, a substrate is used to detect the enzyme beta-glucouronidase produced by </w:t>
      </w:r>
      <w:r>
        <w:rPr>
          <w:rFonts w:ascii="Times New Roman" w:hAnsi="Times New Roman"/>
          <w:b w:val="false"/>
          <w:i/>
          <w:color w:val="000000"/>
          <w:sz w:val="16"/>
        </w:rPr>
        <w:t>E. coli</w:t>
      </w:r>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Association of Official Analytical Chemists, International. “Official Methods of Analysis of AOAC International, 16th Ed., Volume 1, Chapter 17, 1995. AOAC, 481 N. Frederick Ave., Suite 500, Gaithersburg, MD 20877-2417.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Descriptions of the Colilert®, Colilert-18®, Quanti-Tray®, and Quanti-Tray® 2000 may be obtained from IDEXX Laboratories, Inc., 1 IDEXX Drive, Westbrook, ME 04092.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Colilert-18® is an optimized formulation of the Colilert® for the determination of total coliforms and </w:t>
      </w:r>
      <w:r>
        <w:rPr>
          <w:rFonts w:ascii="Times New Roman" w:hAnsi="Times New Roman"/>
          <w:b w:val="false"/>
          <w:i/>
          <w:color w:val="000000"/>
          <w:sz w:val="16"/>
        </w:rPr>
        <w:t>E. coli</w:t>
      </w:r>
      <w:r>
        <w:rPr>
          <w:rFonts w:ascii="Times New Roman" w:hAnsi="Times New Roman"/>
          <w:b w:val="false"/>
          <w:i w:val="false"/>
          <w:color w:val="000000"/>
          <w:sz w:val="16"/>
        </w:rPr>
        <w:t xml:space="preserve"> that provides results within 18 hours of incubation at 35 degrees Celsius rather than the 24 hours required for the Colilert® test.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The filter must be a 0.45 micron membrane filter or a membrane filter with another pore size certified by the manufacturer to fully retain cultivated organisms and to be free of extractables that could interfere with organism growth.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When the membrane filter method has been used previously to test waters with high turbidity or large numbers of noncoliform bacteria, a parallel test should be conducted with a multiple-tube technique to demonstrate applicability and comparability of results. </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Method 1603: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w:t>
      </w:r>
      <w:r>
        <w:rPr>
          <w:rFonts w:ascii="Times New Roman" w:hAnsi="Times New Roman"/>
          <w:b w:val="false"/>
          <w:i/>
          <w:color w:val="000000"/>
          <w:sz w:val="16"/>
        </w:rPr>
        <w:t>E. coli</w:t>
      </w:r>
      <w:r>
        <w:rPr>
          <w:rFonts w:ascii="Times New Roman" w:hAnsi="Times New Roman"/>
          <w:b w:val="false"/>
          <w:i w:val="false"/>
          <w:color w:val="000000"/>
          <w:sz w:val="16"/>
        </w:rPr>
        <w:t xml:space="preserve">) in Water by Membrane Filtration Using Modified Membrane-Thermotolerant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Agar (modified mTEC), July 2006, EPA 821-R-06-011, </w:t>
      </w:r>
      <w:hyperlink r:id="rId459">
        <w:r>
          <w:rPr>
            <w:rStyle w:val="Hyperlink"/>
            <w:rFonts w:ascii="Times New Roman" w:hAnsi="Times New Roman"/>
            <w:b w:val="false"/>
            <w:i w:val="false"/>
            <w:color w:val="000000"/>
            <w:sz w:val="16"/>
            <w:u w:val="single"/>
          </w:rPr>
          <w:t>nepis.epa.gov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A description of the m-ColiBlue24® test, Total Coliforms and </w:t>
      </w:r>
      <w:r>
        <w:rPr>
          <w:rFonts w:ascii="Times New Roman" w:hAnsi="Times New Roman"/>
          <w:b w:val="false"/>
          <w:i/>
          <w:color w:val="000000"/>
          <w:sz w:val="16"/>
        </w:rPr>
        <w:t>E. coli</w:t>
      </w:r>
      <w:r>
        <w:rPr>
          <w:rFonts w:ascii="Times New Roman" w:hAnsi="Times New Roman"/>
          <w:b w:val="false"/>
          <w:i w:val="false"/>
          <w:color w:val="000000"/>
          <w:sz w:val="16"/>
        </w:rPr>
        <w:t xml:space="preserve">, Hach Company, 100 Dayton Ave., Ames, IA 50010.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SM 18th (1992), 19th (1995), and 20th (1998) editions. </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SM, 20th edition (1998).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holding time (the time period from sample collection to initiation of analysis) shall not exceed 30 hours. The department may approve a 48-hour holding time on a case-by-case basis, if the 30-hour holding time is not feasible. If an extension is allowed, the laboratory must use the Colilert® reagent version of the SM 9223B to conduct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samples must be maintained between 0 and 10 degrees Celsius during storage and transit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The following data must be reported for each </w:t>
      </w:r>
      <w:r>
        <w:rPr>
          <w:rFonts w:ascii="Times New Roman" w:hAnsi="Times New Roman"/>
          <w:b w:val="false"/>
          <w:i/>
          <w:color w:val="000000"/>
          <w:sz w:val="22"/>
        </w:rPr>
        <w:t>E. coli</w:t>
      </w:r>
      <w:r>
        <w:rPr>
          <w:rFonts w:ascii="Times New Roman" w:hAnsi="Times New Roman"/>
          <w:b w:val="false"/>
          <w:i w:val="false"/>
          <w:color w:val="000000"/>
          <w:sz w:val="22"/>
        </w:rPr>
        <w:t xml:space="preserve"> analysis: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PWS 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Facility 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collection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Analytical method number.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Method type.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Source type (flowing stream or river; lake or reservoir; or IGW).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Number of </w:t>
      </w:r>
      <w:r>
        <w:rPr>
          <w:rFonts w:ascii="Times New Roman" w:hAnsi="Times New Roman"/>
          <w:b w:val="false"/>
          <w:i/>
          <w:color w:val="000000"/>
          <w:sz w:val="22"/>
        </w:rPr>
        <w:t>E. coli</w:t>
      </w:r>
      <w:r>
        <w:rPr>
          <w:rFonts w:ascii="Times New Roman" w:hAnsi="Times New Roman"/>
          <w:b w:val="false"/>
          <w:i w:val="false"/>
          <w:color w:val="000000"/>
          <w:sz w:val="22"/>
        </w:rPr>
        <w:t xml:space="preserve"> per 100 mL.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Turbidity in NTU.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Turbidity. The approved analytical methods for turbidity are in </w:t>
      </w:r>
      <w:hyperlink r:id="rId460">
        <w:r>
          <w:rPr>
            <w:rStyle w:val="Hyperlink"/>
            <w:rFonts w:ascii="Times New Roman" w:hAnsi="Times New Roman"/>
            <w:b w:val="false"/>
            <w:i w:val="false"/>
            <w:color w:val="000000"/>
            <w:sz w:val="22"/>
          </w:rPr>
          <w:t>43.5(4)</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Turbidity measurements must be made by a party approved by the department, and reported on the laboratory data sheet with the corresponding </w:t>
      </w:r>
      <w:r>
        <w:rPr>
          <w:rFonts w:ascii="Times New Roman" w:hAnsi="Times New Roman"/>
          <w:b w:val="false"/>
          <w:i/>
          <w:color w:val="000000"/>
          <w:sz w:val="22"/>
        </w:rPr>
        <w:t>E. coli</w:t>
      </w:r>
      <w:r>
        <w:rPr>
          <w:rFonts w:ascii="Times New Roman" w:hAnsi="Times New Roman"/>
          <w:b w:val="false"/>
          <w:i w:val="false"/>
          <w:color w:val="000000"/>
          <w:sz w:val="22"/>
        </w:rPr>
        <w:t xml:space="preserve">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43.11(4)</w:t>
      </w:r>
      <w:r>
        <w:rPr>
          <w:rFonts w:ascii="Times New Roman" w:hAnsi="Times New Roman"/>
          <w:b w:val="false"/>
          <w:i w:val="false"/>
          <w:color w:val="000000"/>
          <w:sz w:val="22"/>
        </w:rPr>
        <w:t> </w:t>
      </w:r>
      <w:r>
        <w:rPr>
          <w:rFonts w:ascii="Times New Roman" w:hAnsi="Times New Roman"/>
          <w:b w:val="false"/>
          <w:i/>
          <w:color w:val="000000"/>
          <w:sz w:val="22"/>
        </w:rPr>
        <w:t xml:space="preserve">Disinfection profiling and benchmarking.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 xml:space="preserve">Following completion of the first round of source water monitoring, a system that plans to make a significant change to its disinfection practice must develop disinfection profiles and calculate disinfection benchmarks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A system must notify the department prior to changing its disinfection practice and must include in the notice the completed disinfection profile and disinfection benchmark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viruses, a description of the proposed change in disinfection practice, and an analysis of how the proposed change will affect the current level of 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significant change to the disinfection practice is defined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change to the point of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Any change to the disinfectant(s) used in the treatment plant;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change to the disinfection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modification identified by the department as a significant change to disinfection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Developing a disinfection profile. </w:t>
      </w:r>
      <w:r>
        <w:rPr>
          <w:rFonts w:ascii="Times New Roman" w:hAnsi="Times New Roman"/>
          <w:b w:val="false"/>
          <w:i w:val="false"/>
          <w:color w:val="000000"/>
          <w:sz w:val="22"/>
        </w:rPr>
        <w:t xml:space="preserve">To develop a disinfection profile, a system must monitor at least weekly for a period of 12 consecutive months to determine the total log inactivation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viruses. If a system monitors more frequently, the frequency must be evenly spaced. A system that operates for fewer than 12 months per year must monitor weekly during the operation period. Systems must determine log inactivation for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through the entire plant, based on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values in Appendix A, Tables 1 through 6, as applicable. Systems must determine log inactivation for viruses through the entire treatment plant based on a department-approved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requirements. Systems with a single point of disinfectant application prior to the entrance to the distribution system must conduct the monitoring in this subparagraph. Systems with multiple points of disinfectant application must conduct the same monitoring for each disinfection segment. Systems must monitor the parameters necessary to determine the total inactivation ratio. The analytical methods for the parameters are in </w:t>
      </w:r>
      <w:hyperlink r:id="rId461">
        <w:r>
          <w:rPr>
            <w:rStyle w:val="Hyperlink"/>
            <w:rFonts w:ascii="Times New Roman" w:hAnsi="Times New Roman"/>
            <w:b w:val="false"/>
            <w:i w:val="false"/>
            <w:color w:val="000000"/>
            <w:sz w:val="22"/>
          </w:rPr>
          <w:t>43.5(4)</w:t>
        </w:r>
      </w:hyperlink>
      <w:r>
        <w:rPr>
          <w:rFonts w:ascii="Times New Roman" w:hAnsi="Times New Roman"/>
          <w:b w:val="false"/>
          <w:i/>
          <w:color w:val="000000"/>
          <w:sz w:val="22"/>
        </w:rPr>
        <w:t>“a.”</w:t>
      </w:r>
      <w:r>
        <w:rPr>
          <w:rFonts w:ascii="Times New Roman" w:hAnsi="Times New Roman"/>
          <w:b w:val="false"/>
          <w:i w:val="false"/>
          <w:color w:val="000000"/>
          <w:sz w:val="22"/>
        </w:rPr>
        <w:t xml:space="preserve"> All measurements must be taken during peak hourly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systems using a disinfectant other than UV, the temperature of the disinfected water must be measured in degrees Celsius at each RDC sampling point or at an alternative department-approved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systems using chlorine, the pH of the disinfected water must be measured at each chlorine RDC sampling point or at an alternative department-approved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disinfectant contact time must be determined in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RDCs of the water must be determined in mg/L before or at the first customer and prior to each additional point of disinfectant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system may use existing data to meet the monitoring requirements if: the data are substantially equivalent to the required data, it has not made any significant change to its treatment practice, and it has the same source water as it had when the data were collected. Systems may develop disinfection profiles using up to three years of existing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may use disinfection profiles developed under </w:t>
      </w:r>
      <w:hyperlink r:id="rId462">
        <w:r>
          <w:rPr>
            <w:rStyle w:val="Hyperlink"/>
            <w:rFonts w:ascii="Times New Roman" w:hAnsi="Times New Roman"/>
            <w:b w:val="false"/>
            <w:i w:val="false"/>
            <w:color w:val="000000"/>
            <w:sz w:val="22"/>
          </w:rPr>
          <w:t>43.9(2)</w:t>
        </w:r>
      </w:hyperlink>
      <w:r>
        <w:rPr>
          <w:rFonts w:ascii="Times New Roman" w:hAnsi="Times New Roman"/>
          <w:b w:val="false"/>
          <w:i w:val="false"/>
          <w:color w:val="000000"/>
          <w:sz w:val="22"/>
        </w:rPr>
        <w:t xml:space="preserve"> or </w:t>
      </w:r>
      <w:hyperlink r:id="rId463">
        <w:r>
          <w:rPr>
            <w:rStyle w:val="Hyperlink"/>
            <w:rFonts w:ascii="Times New Roman" w:hAnsi="Times New Roman"/>
            <w:b w:val="false"/>
            <w:i w:val="false"/>
            <w:color w:val="000000"/>
            <w:sz w:val="22"/>
          </w:rPr>
          <w:t>43.10(2)</w:t>
        </w:r>
      </w:hyperlink>
      <w:r>
        <w:rPr>
          <w:rFonts w:ascii="Times New Roman" w:hAnsi="Times New Roman"/>
          <w:b w:val="false"/>
          <w:i w:val="false"/>
          <w:color w:val="000000"/>
          <w:sz w:val="22"/>
        </w:rPr>
        <w:t xml:space="preserve"> if it has not made a significant change to its treatment practice and has the same source water as it had when the profile was developed. The virus profile must be developed using the same data on which the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profile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inactivation ratio calculation for </w:t>
      </w:r>
      <w:r>
        <w:rPr>
          <w:rFonts w:ascii="Times New Roman" w:hAnsi="Times New Roman"/>
          <w:b w:val="false"/>
          <w:i/>
          <w:color w:val="000000"/>
          <w:sz w:val="22"/>
        </w:rPr>
        <w:t>Giardia lamblia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using only one point of disinfectant application may determine the total inactivation ratio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for the disinfection segment using either of the following methods.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one inactivation ratio before or at the first customer during peak hourly flow;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successive sequential inactivation ratios between the point of disinfectant application and a point before or at the first customer during peak hourly flow. Calculate the total inactivation ratio by determining the inactivation ratio for each sequence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and adding the values 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using more than one point of disinfectant application before the first customer must determine the CT value of each disinfection segment immediately prior to the next point of disinfectant application, or for the final segment, before or at the first customer, during peak hourly flow. Calculate the (CT</w:t>
      </w:r>
      <w:r>
        <w:rPr>
          <w:rFonts w:ascii="Times New Roman" w:hAnsi="Times New Roman"/>
          <w:b w:val="false"/>
          <w:i w:val="false"/>
          <w:color w:val="000000"/>
          <w:sz w:val="18"/>
          <w:vertAlign w:val="subscript"/>
        </w:rPr>
        <w:t>calc</w:t>
      </w:r>
      <w:r>
        <w:rPr>
          <w:rFonts w:ascii="Times New Roman" w:hAnsi="Times New Roman"/>
          <w:b w:val="false"/>
          <w:i w:val="false"/>
          <w:color w:val="000000"/>
          <w:sz w:val="22"/>
        </w:rPr>
        <w:t>/CT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value of each segment and add the values together to determine the total inactivation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must then determine the total logs of inactivation by multiplying the total inactivation ratio by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inactivation ratio calculation for viruses. The system must calculate the log of inactivation for viruses using a department-approved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Disinfection benchmark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year of profiling data collected and calculated under this subrule, systems must determine the lowest mean monthly level of both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 inactivation. Systems must determine the mean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 inactivation for each calendar month for each year of profiling data by dividing the sum of daily or weekly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 log inactivation by the number of values calculated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system with one year of profiling data, the disinfection benchmark is the lowest monthly mean value. For a system with more than one year of profiling data, the disinfection benchmark is the mean of the lowest monthly mean values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and virus log inactivation in each year of profiling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43.11(5)</w:t>
      </w:r>
      <w:r>
        <w:rPr>
          <w:rFonts w:ascii="Times New Roman" w:hAnsi="Times New Roman"/>
          <w:b w:val="false"/>
          <w:i w:val="false"/>
          <w:color w:val="000000"/>
          <w:sz w:val="22"/>
        </w:rPr>
        <w:t> </w:t>
      </w:r>
      <w:r>
        <w:rPr>
          <w:rFonts w:ascii="Times New Roman" w:hAnsi="Times New Roman"/>
          <w:b w:val="false"/>
          <w:i/>
          <w:color w:val="000000"/>
          <w:sz w:val="22"/>
        </w:rPr>
        <w:t xml:space="preserve">Bin classification. </w:t>
      </w:r>
      <w:r>
        <w:rPr>
          <w:rFonts w:ascii="Times New Roman" w:hAnsi="Times New Roman"/>
          <w:b w:val="false"/>
          <w:i w:val="false"/>
          <w:color w:val="000000"/>
          <w:sz w:val="22"/>
        </w:rPr>
        <w:t xml:space="preserve">Upon completion of the first round of source water monitoring, systems must calculate an initial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bin concentration for each plant for which monitoring was required. Calculation of the bin concentration must use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results reported under </w:t>
      </w:r>
      <w:hyperlink r:id="rId464">
        <w:r>
          <w:rPr>
            <w:rStyle w:val="Hyperlink"/>
            <w:rFonts w:ascii="Times New Roman" w:hAnsi="Times New Roman"/>
            <w:b w:val="false"/>
            <w:i w:val="false"/>
            <w:color w:val="000000"/>
            <w:sz w:val="22"/>
          </w:rPr>
          <w:t>43.11(3)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of mean Cryptosporidium or bin concentration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systems that collect a total of at least 48 samples, the bin concentration is equal to the arithmetic mean of all sample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that collect at least 24 samples but not more than 47 samples, the bin concentration is equal to the highest arithmetic mean of all sample concentrations in any 12 consecutive months during which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samples were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that serve fewer than 10,000 people and monitor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for only one year (i.e., 24 samples in 12 months), the bin concentration is equal to the arithmetic mean of all sample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with plants operating only part of the year that monitor fewer than 12 months per year, the bin concentration is equal to the highest arithmetic mean of all sample concentrations during any year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monthly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sampling frequency varies, systems must first calculate a monthly average for each month of monitoring. Systems must then use these monthly average concentrations, rather than individual sample concentrations, in the applicable calculation for bin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bin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monitoring round. A system must determine the bin classification from Table 3, using its calculated bin concentration from </w:t>
      </w:r>
      <w:hyperlink r:id="rId465">
        <w:r>
          <w:rPr>
            <w:rStyle w:val="Hyperlink"/>
            <w:rFonts w:ascii="Times New Roman" w:hAnsi="Times New Roman"/>
            <w:b w:val="false"/>
            <w:i w:val="false"/>
            <w:color w:val="000000"/>
            <w:sz w:val="22"/>
          </w:rPr>
          <w:t>43.11(5)</w:t>
        </w:r>
      </w:hyperlink>
      <w:r>
        <w:rPr>
          <w:rFonts w:ascii="Times New Roman" w:hAnsi="Times New Roman"/>
          <w:b w:val="false"/>
          <w:i/>
          <w:color w:val="000000"/>
          <w:sz w:val="22"/>
        </w:rPr>
        <w:t>“a.”</w:t>
      </w:r>
    </w:p>
    <w:p>
      <w:pPr>
        <w:spacing w:before="60" w:after="0"/>
        <w:ind w:left="120"/>
        <w:jc w:val="center"/>
      </w:pPr>
      <w:r>
        <w:rPr>
          <w:rFonts w:ascii="Times New Roman" w:hAnsi="Times New Roman"/>
          <w:b/>
          <w:i w:val="false"/>
          <w:color w:val="000000"/>
          <w:sz w:val="22"/>
        </w:rPr>
        <w:t>Table 3: Bin Classification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5760"/>
        <w:gridCol w:w="1920"/>
      </w:tblGrid>
      <w:tr>
        <w:trPr>
          <w:trHeight w:val="240" w:hRule="atLeast"/>
        </w:trPr>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System Type</w:t>
            </w:r>
          </w:p>
        </w:tc>
        <w:tc>
          <w:tcPr>
            <w:tcW w:w="57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16"/>
              </w:rPr>
              <w:t>Cryptosporidium</w:t>
            </w:r>
            <w:r>
              <w:rPr>
                <w:rFonts w:ascii="Times New Roman" w:hAnsi="Times New Roman"/>
                <w:b/>
                <w:i w:val="false"/>
                <w:color w:val="000000"/>
                <w:sz w:val="16"/>
              </w:rPr>
              <w:t xml:space="preserve"> Concentration, in oocysts/L</w:t>
            </w:r>
          </w:p>
        </w:tc>
        <w:tc>
          <w:tcPr>
            <w:tcW w:w="192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Bin Classification</w:t>
            </w:r>
          </w:p>
        </w:tc>
      </w:tr>
      <w:tr>
        <w:trPr>
          <w:trHeight w:val="240" w:hRule="atLeast"/>
        </w:trPr>
        <w:tc>
          <w:tcPr>
            <w:tcW w:w="384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Systems required to monitor for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under </w:t>
            </w:r>
            <w:r>
              <w:br/>
            </w:r>
            <w:r>
              <w:rPr>
                <w:rFonts w:ascii="Times New Roman" w:hAnsi="Times New Roman"/>
                <w:b w:val="false"/>
                <w:i w:val="false"/>
                <w:color w:val="000000"/>
                <w:sz w:val="16"/>
              </w:rPr>
              <w:t>43.11(3)</w:t>
            </w:r>
            <w:r>
              <w:rPr>
                <w:rFonts w:ascii="Times New Roman" w:hAnsi="Times New Roman"/>
                <w:b w:val="false"/>
                <w:i/>
                <w:color w:val="000000"/>
                <w:sz w:val="16"/>
              </w:rPr>
              <w:t>“b”</w:t>
            </w:r>
            <w:r>
              <w:rPr>
                <w:rFonts w:ascii="Times New Roman" w:hAnsi="Times New Roman"/>
                <w:b w:val="false"/>
                <w:i w:val="false"/>
                <w:color w:val="000000"/>
                <w:sz w:val="16"/>
              </w:rPr>
              <w:t xml:space="preserve">(1) or </w:t>
            </w:r>
            <w:r>
              <w:br/>
            </w:r>
            <w:r>
              <w:rPr>
                <w:rFonts w:ascii="Times New Roman" w:hAnsi="Times New Roman"/>
                <w:b w:val="false"/>
                <w:i w:val="false"/>
                <w:color w:val="000000"/>
                <w:sz w:val="16"/>
              </w:rPr>
              <w:t>43.11(3)</w:t>
            </w:r>
            <w:r>
              <w:rPr>
                <w:rFonts w:ascii="Times New Roman" w:hAnsi="Times New Roman"/>
                <w:b w:val="false"/>
                <w:i/>
                <w:color w:val="000000"/>
                <w:sz w:val="16"/>
              </w:rPr>
              <w:t>“b”</w:t>
            </w:r>
            <w:r>
              <w:rPr>
                <w:rFonts w:ascii="Times New Roman" w:hAnsi="Times New Roman"/>
                <w:b w:val="false"/>
                <w:i w:val="false"/>
                <w:color w:val="000000"/>
                <w:sz w:val="16"/>
              </w:rPr>
              <w:t>(2)“3”</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Fewer than 0.075 oocysts/L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Bin 1</w:t>
            </w:r>
          </w:p>
        </w:tc>
      </w:tr>
      <w:tr>
        <w:trPr>
          <w:trHeight w:val="22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Between 0.075 and fewer than 1.0 oocysts/L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Bin 2</w:t>
            </w:r>
          </w:p>
        </w:tc>
      </w:tr>
      <w:tr>
        <w:trPr>
          <w:trHeight w:val="22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Between 1.0 and fewer than 3.0 oocysts/L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Bin 3</w:t>
            </w:r>
          </w:p>
        </w:tc>
      </w:tr>
      <w:tr>
        <w:trPr>
          <w:trHeight w:val="22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 oocysts/L or greater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Bin 4</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Systems serving fewer than 10,000 and not required to monitor for </w:t>
            </w:r>
            <w:r>
              <w:rPr>
                <w:rFonts w:ascii="Times New Roman" w:hAnsi="Times New Roman"/>
                <w:b w:val="false"/>
                <w:i/>
                <w:color w:val="000000"/>
                <w:sz w:val="16"/>
              </w:rPr>
              <w:t>Cryptosporidium</w:t>
            </w:r>
            <w:r>
              <w:rPr>
                <w:rFonts w:ascii="Times New Roman" w:hAnsi="Times New Roman"/>
                <w:b w:val="false"/>
                <w:i w:val="false"/>
                <w:color w:val="000000"/>
                <w:sz w:val="16"/>
              </w:rPr>
              <w:t>, pursuant to 43.11(3)</w:t>
            </w:r>
            <w:r>
              <w:rPr>
                <w:rFonts w:ascii="Times New Roman" w:hAnsi="Times New Roman"/>
                <w:b w:val="false"/>
                <w:i/>
                <w:color w:val="000000"/>
                <w:sz w:val="16"/>
              </w:rPr>
              <w:t>“b”</w:t>
            </w:r>
            <w:r>
              <w:rPr>
                <w:rFonts w:ascii="Times New Roman" w:hAnsi="Times New Roman"/>
                <w:b w:val="false"/>
                <w:i w:val="false"/>
                <w:color w:val="000000"/>
                <w:sz w:val="16"/>
              </w:rPr>
              <w:t>(2)“1”</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applicable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Bin 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monitoring round. Following completion of the second round of source water monitoring, a system must recalculate its bin concentration and determine its new bin classification, using the protocols in </w:t>
      </w:r>
      <w:hyperlink r:id="rId466">
        <w:r>
          <w:rPr>
            <w:rStyle w:val="Hyperlink"/>
            <w:rFonts w:ascii="Times New Roman" w:hAnsi="Times New Roman"/>
            <w:b w:val="false"/>
            <w:i w:val="false"/>
            <w:color w:val="000000"/>
            <w:sz w:val="22"/>
          </w:rPr>
          <w:t>43.11(5)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bin classification to the department. </w:t>
      </w:r>
      <w:r>
        <w:rPr>
          <w:rFonts w:ascii="Times New Roman" w:hAnsi="Times New Roman"/>
          <w:b w:val="false"/>
          <w:i w:val="false"/>
          <w:color w:val="000000"/>
          <w:sz w:val="22"/>
        </w:rPr>
        <w:t>Within six months of the end of the sampling period, the system must report its bin classification to the department for approval. The report must include a summary of the source water monitoring data and the calculation procedure used to determine the bin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TT violation. </w:t>
      </w:r>
      <w:r>
        <w:rPr>
          <w:rFonts w:ascii="Times New Roman" w:hAnsi="Times New Roman"/>
          <w:b w:val="false"/>
          <w:i w:val="false"/>
          <w:color w:val="000000"/>
          <w:sz w:val="22"/>
        </w:rPr>
        <w:t xml:space="preserve">Failure to comply with </w:t>
      </w:r>
      <w:hyperlink r:id="rId467">
        <w:r>
          <w:rPr>
            <w:rStyle w:val="Hyperlink"/>
            <w:rFonts w:ascii="Times New Roman" w:hAnsi="Times New Roman"/>
            <w:b w:val="false"/>
            <w:i w:val="false"/>
            <w:color w:val="000000"/>
            <w:sz w:val="22"/>
          </w:rPr>
          <w:t>43.11(5)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is a violation of the TT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43.11(6)</w:t>
      </w:r>
      <w:r>
        <w:rPr>
          <w:rFonts w:ascii="Times New Roman" w:hAnsi="Times New Roman"/>
          <w:b w:val="false"/>
          <w:i w:val="false"/>
          <w:color w:val="000000"/>
          <w:sz w:val="22"/>
        </w:rPr>
        <w:t> </w:t>
      </w:r>
      <w:r>
        <w:rPr>
          <w:rFonts w:ascii="Times New Roman" w:hAnsi="Times New Roman"/>
          <w:b w:val="false"/>
          <w:i/>
          <w:color w:val="000000"/>
          <w:sz w:val="22"/>
        </w:rPr>
        <w:t xml:space="preserve">Additional Cryptosporidium treatment requirements. </w:t>
      </w:r>
      <w:r>
        <w:rPr>
          <w:rFonts w:ascii="Times New Roman" w:hAnsi="Times New Roman"/>
          <w:b w:val="false"/>
          <w:i w:val="false"/>
          <w:color w:val="000000"/>
          <w:sz w:val="22"/>
        </w:rPr>
        <w:t xml:space="preserve">A system must provide the level of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specified in Table 4 based on its bin classification determined in </w:t>
      </w:r>
      <w:hyperlink r:id="rId468">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and according to the schedule in </w:t>
      </w:r>
      <w:hyperlink r:id="rId469">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additional requirements. </w:t>
      </w:r>
      <w:r>
        <w:rPr>
          <w:rFonts w:ascii="Times New Roman" w:hAnsi="Times New Roman"/>
          <w:b w:val="false"/>
          <w:i w:val="false"/>
          <w:color w:val="000000"/>
          <w:sz w:val="22"/>
        </w:rPr>
        <w:t xml:space="preserve">Using Table 4, a system must determine any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requirements based upon its bin classification. The Bin 1 classification does not require any additional treatment. Bins 2 through 4 require additional treatment.</w:t>
      </w:r>
    </w:p>
    <w:p>
      <w:pPr>
        <w:spacing w:before="60" w:after="0"/>
        <w:ind w:left="120"/>
        <w:jc w:val="center"/>
      </w:pPr>
      <w:r>
        <w:rPr>
          <w:rFonts w:ascii="Times New Roman" w:hAnsi="Times New Roman"/>
          <w:b/>
          <w:i w:val="false"/>
          <w:color w:val="000000"/>
          <w:sz w:val="22"/>
        </w:rPr>
        <w:t xml:space="preserve">Table 4: Additional </w:t>
      </w:r>
      <w:r>
        <w:rPr>
          <w:rFonts w:ascii="Times New Roman" w:hAnsi="Times New Roman"/>
          <w:b/>
          <w:i/>
          <w:color w:val="000000"/>
          <w:sz w:val="22"/>
        </w:rPr>
        <w:t>Cryptosporidium</w:t>
      </w:r>
      <w:r>
        <w:rPr>
          <w:rFonts w:ascii="Times New Roman" w:hAnsi="Times New Roman"/>
          <w:b/>
          <w:i w:val="false"/>
          <w:color w:val="000000"/>
          <w:sz w:val="22"/>
        </w:rPr>
        <w:t xml:space="preserve"> Treatment Requirements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2400"/>
        <w:gridCol w:w="2400"/>
        <w:gridCol w:w="2400"/>
        <w:gridCol w:w="2400"/>
      </w:tblGrid>
      <w:tr>
        <w:trPr>
          <w:trHeight w:val="225" w:hRule="atLeast"/>
        </w:trPr>
        <w:tc>
          <w:tcPr>
            <w:tcW w:w="192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Bin Classification</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Treatment Used by the System for Compliance with 43.5, 43.9, and 43.10</w:t>
            </w:r>
          </w:p>
        </w:tc>
      </w:tr>
      <w:tr>
        <w:trPr>
          <w:trHeight w:val="645" w:hRule="atLeast"/>
        </w:trPr>
        <w:tc>
          <w:tcPr>
            <w:tcW w:w="0" w:type="auto"/>
            <w:vMerge/>
            <w:tcBorders>
              <w:top w:val="nil"/>
              <w:bottom w:val="single" w:color="000000" w:sz="8"/>
              <w:right w:val="single" w:color="000000" w:sz="8"/>
            </w:tcBorders>
          </w:tcPr>
          <w:p/>
        </w:tc>
        <w:tc>
          <w:tcPr>
            <w:tcW w:w="2400"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Conventional filtration (including softening)</w:t>
            </w:r>
          </w:p>
        </w:tc>
        <w:tc>
          <w:tcPr>
            <w:tcW w:w="2400"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Direct filtration</w:t>
            </w:r>
          </w:p>
        </w:tc>
        <w:tc>
          <w:tcPr>
            <w:tcW w:w="2400"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Slow sand or diatomaceous earth filtration</w:t>
            </w:r>
          </w:p>
        </w:tc>
        <w:tc>
          <w:tcPr>
            <w:tcW w:w="2400" w:type="dxa"/>
            <w:tcBorders>
              <w:bottom w:val="doub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filtration technologies</w:t>
            </w:r>
          </w:p>
        </w:tc>
      </w:tr>
      <w:tr>
        <w:trPr>
          <w:trHeight w:val="24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 1</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additional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additional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additional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additional treatment</w:t>
            </w:r>
          </w:p>
        </w:tc>
      </w:tr>
      <w:tr>
        <w:trPr>
          <w:trHeight w:val="25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 2</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4.0-log</w:t>
            </w:r>
            <w:r>
              <w:rPr>
                <w:rFonts w:ascii="Times New Roman" w:hAnsi="Times New Roman"/>
                <w:b w:val="false"/>
                <w:i w:val="false"/>
                <w:color w:val="000000"/>
                <w:sz w:val="18"/>
                <w:vertAlign w:val="superscript"/>
              </w:rPr>
              <w:t>1</w:t>
            </w:r>
          </w:p>
        </w:tc>
      </w:tr>
      <w:tr>
        <w:trPr>
          <w:trHeight w:val="25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 3</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5.0-log</w:t>
            </w:r>
            <w:r>
              <w:rPr>
                <w:rFonts w:ascii="Times New Roman" w:hAnsi="Times New Roman"/>
                <w:b w:val="false"/>
                <w:i w:val="false"/>
                <w:color w:val="000000"/>
                <w:sz w:val="18"/>
                <w:vertAlign w:val="superscript"/>
              </w:rPr>
              <w:t>1</w:t>
            </w:r>
          </w:p>
        </w:tc>
      </w:tr>
      <w:tr>
        <w:trPr>
          <w:trHeight w:val="25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 4</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2.5-log treatment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5.5-log</w:t>
            </w:r>
            <w:r>
              <w:rPr>
                <w:rFonts w:ascii="Times New Roman" w:hAnsi="Times New Roman"/>
                <w:b w:val="false"/>
                <w:i w:val="false"/>
                <w:color w:val="000000"/>
                <w:sz w:val="18"/>
                <w:vertAlign w:val="superscript"/>
              </w:rPr>
              <w:t>1</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The total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removal and inactivation must be at least this value,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requirements for Bins 2 through 4. </w:t>
      </w:r>
      <w:r>
        <w:rPr>
          <w:rFonts w:ascii="Times New Roman" w:hAnsi="Times New Roman"/>
          <w:b w:val="false"/>
          <w:i w:val="false"/>
          <w:color w:val="000000"/>
          <w:sz w:val="22"/>
        </w:rPr>
        <w:t xml:space="preserve">A system that is classified as Bin 2, 3, or 4 must use one or more of the treatment and management options in </w:t>
      </w:r>
      <w:hyperlink r:id="rId470">
        <w:r>
          <w:rPr>
            <w:rStyle w:val="Hyperlink"/>
            <w:rFonts w:ascii="Times New Roman" w:hAnsi="Times New Roman"/>
            <w:b w:val="false"/>
            <w:i w:val="false"/>
            <w:color w:val="000000"/>
            <w:sz w:val="22"/>
          </w:rPr>
          <w:t>43.11(8)</w:t>
        </w:r>
      </w:hyperlink>
      <w:r>
        <w:rPr>
          <w:rFonts w:ascii="Times New Roman" w:hAnsi="Times New Roman"/>
          <w:b w:val="false"/>
          <w:i w:val="false"/>
          <w:color w:val="000000"/>
          <w:sz w:val="22"/>
        </w:rPr>
        <w:t xml:space="preserve"> to comply with the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requirements. Systems classified as Bins 3 and 4 must achieve at least 1-log of additional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by using either one or a combination of the following: bag filters, bank filtration, cartridge filters, chlorine dioxide, membranes, ozone, or UV, as listed in </w:t>
      </w:r>
      <w:hyperlink r:id="rId471">
        <w:r>
          <w:rPr>
            <w:rStyle w:val="Hyperlink"/>
            <w:rFonts w:ascii="Times New Roman" w:hAnsi="Times New Roman"/>
            <w:b w:val="false"/>
            <w:i w:val="false"/>
            <w:color w:val="000000"/>
            <w:sz w:val="22"/>
          </w:rPr>
          <w:t>43.11(9)</w:t>
        </w:r>
      </w:hyperlink>
      <w:r>
        <w:rPr>
          <w:rFonts w:ascii="Times New Roman" w:hAnsi="Times New Roman"/>
          <w:b w:val="false"/>
          <w:i w:val="false"/>
          <w:color w:val="000000"/>
          <w:sz w:val="22"/>
        </w:rPr>
        <w:t xml:space="preserve"> through </w:t>
      </w:r>
      <w:hyperlink r:id="rId472">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TT violation. </w:t>
      </w:r>
      <w:r>
        <w:rPr>
          <w:rFonts w:ascii="Times New Roman" w:hAnsi="Times New Roman"/>
          <w:b w:val="false"/>
          <w:i w:val="false"/>
          <w:color w:val="000000"/>
          <w:sz w:val="22"/>
        </w:rPr>
        <w:t xml:space="preserve">Failure by a system in any month to achieve treatment credit by meeting criteria in </w:t>
      </w:r>
      <w:hyperlink r:id="rId473">
        <w:r>
          <w:rPr>
            <w:rStyle w:val="Hyperlink"/>
            <w:rFonts w:ascii="Times New Roman" w:hAnsi="Times New Roman"/>
            <w:b w:val="false"/>
            <w:i w:val="false"/>
            <w:color w:val="000000"/>
            <w:sz w:val="22"/>
          </w:rPr>
          <w:t>43.11(9)</w:t>
        </w:r>
      </w:hyperlink>
      <w:r>
        <w:rPr>
          <w:rFonts w:ascii="Times New Roman" w:hAnsi="Times New Roman"/>
          <w:b w:val="false"/>
          <w:i w:val="false"/>
          <w:color w:val="000000"/>
          <w:sz w:val="22"/>
        </w:rPr>
        <w:t xml:space="preserve"> through </w:t>
      </w:r>
      <w:hyperlink r:id="rId474">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that is at least equal to the level of treatment required in </w:t>
      </w:r>
      <w:hyperlink r:id="rId475">
        <w:r>
          <w:rPr>
            <w:rStyle w:val="Hyperlink"/>
            <w:rFonts w:ascii="Times New Roman" w:hAnsi="Times New Roman"/>
            <w:b w:val="false"/>
            <w:i w:val="false"/>
            <w:color w:val="000000"/>
            <w:sz w:val="22"/>
          </w:rPr>
          <w:t>43.11(6)</w:t>
        </w:r>
      </w:hyperlink>
      <w:r>
        <w:rPr>
          <w:rFonts w:ascii="Times New Roman" w:hAnsi="Times New Roman"/>
          <w:b w:val="false"/>
          <w:i/>
          <w:color w:val="000000"/>
          <w:sz w:val="22"/>
        </w:rPr>
        <w:t>“a”</w:t>
      </w:r>
      <w:r>
        <w:rPr>
          <w:rFonts w:ascii="Times New Roman" w:hAnsi="Times New Roman"/>
          <w:b w:val="false"/>
          <w:i w:val="false"/>
          <w:color w:val="000000"/>
          <w:sz w:val="22"/>
        </w:rPr>
        <w:t xml:space="preserve"> is a violation of the TT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Significant changes to the watershed. </w:t>
      </w:r>
      <w:r>
        <w:rPr>
          <w:rFonts w:ascii="Times New Roman" w:hAnsi="Times New Roman"/>
          <w:b w:val="false"/>
          <w:i w:val="false"/>
          <w:color w:val="000000"/>
          <w:sz w:val="22"/>
        </w:rPr>
        <w:t xml:space="preserve">If, after the system’s completion of source water monitoring (either round), the department determines during a sanitary survey or an equivalent source water assessment that significant changes occurred in the system’s watershed that could lead to increased contamination of the source water by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the system must take department-specified actions to address the contamination. These actions may include additional source water monitoring or  implementation of the microbial toolbox options in </w:t>
      </w:r>
      <w:hyperlink r:id="rId476">
        <w:r>
          <w:rPr>
            <w:rStyle w:val="Hyperlink"/>
            <w:rFonts w:ascii="Times New Roman" w:hAnsi="Times New Roman"/>
            <w:b w:val="false"/>
            <w:i w:val="false"/>
            <w:color w:val="000000"/>
            <w:sz w:val="22"/>
          </w:rPr>
          <w:t>43.11(8)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43.11(7)</w:t>
      </w:r>
      <w:r>
        <w:rPr>
          <w:rFonts w:ascii="Times New Roman" w:hAnsi="Times New Roman"/>
          <w:b w:val="false"/>
          <w:i w:val="false"/>
          <w:color w:val="000000"/>
          <w:sz w:val="22"/>
        </w:rPr>
        <w:t> </w:t>
      </w:r>
      <w:r>
        <w:rPr>
          <w:rFonts w:ascii="Times New Roman" w:hAnsi="Times New Roman"/>
          <w:b w:val="false"/>
          <w:i/>
          <w:color w:val="000000"/>
          <w:sz w:val="22"/>
        </w:rPr>
        <w:t xml:space="preserve">Schedule for compliance with Cryptosporidium treatment. </w:t>
      </w:r>
      <w:r>
        <w:rPr>
          <w:rFonts w:ascii="Times New Roman" w:hAnsi="Times New Roman"/>
          <w:b w:val="false"/>
          <w:i w:val="false"/>
          <w:color w:val="000000"/>
          <w:sz w:val="22"/>
        </w:rPr>
        <w:t xml:space="preserve">Following the initial bin classification under </w:t>
      </w:r>
      <w:hyperlink r:id="rId477">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systems must provide the level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required in </w:t>
      </w:r>
      <w:hyperlink r:id="rId478">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xml:space="preserve">, according to the schedule in Table 5. If a system's bin classification changes following the second round of source water monitoring, the system must provide the level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required in </w:t>
      </w:r>
      <w:hyperlink r:id="rId479">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on a department-approved schedule.</w:t>
      </w:r>
    </w:p>
    <w:p>
      <w:pPr>
        <w:spacing w:before="60" w:after="0"/>
        <w:ind w:left="120"/>
        <w:jc w:val="center"/>
      </w:pPr>
      <w:r>
        <w:rPr>
          <w:rFonts w:ascii="Times New Roman" w:hAnsi="Times New Roman"/>
          <w:b/>
          <w:i w:val="false"/>
          <w:color w:val="000000"/>
          <w:sz w:val="22"/>
        </w:rPr>
        <w:t xml:space="preserve">Table 5: </w:t>
      </w:r>
      <w:r>
        <w:rPr>
          <w:rFonts w:ascii="Times New Roman" w:hAnsi="Times New Roman"/>
          <w:b/>
          <w:i/>
          <w:color w:val="000000"/>
          <w:sz w:val="22"/>
        </w:rPr>
        <w:t>Cryptosporidium</w:t>
      </w:r>
      <w:r>
        <w:rPr>
          <w:rFonts w:ascii="Times New Roman" w:hAnsi="Times New Roman"/>
          <w:b/>
          <w:i w:val="false"/>
          <w:color w:val="000000"/>
          <w:sz w:val="22"/>
        </w:rPr>
        <w:t xml:space="preserve"> Treatment Compliance Dates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4800"/>
        <w:gridCol w:w="4800"/>
      </w:tblGrid>
      <w:tr>
        <w:trPr>
          <w:trHeight w:val="465" w:hRule="atLeast"/>
        </w:trPr>
        <w:tc>
          <w:tcPr>
            <w:tcW w:w="192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Schedule</w:t>
            </w:r>
          </w:p>
        </w:tc>
        <w:tc>
          <w:tcPr>
            <w:tcW w:w="480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Population Served by System</w:t>
            </w:r>
          </w:p>
        </w:tc>
        <w:tc>
          <w:tcPr>
            <w:tcW w:w="480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 xml:space="preserve">Compliance Date for </w:t>
            </w:r>
            <w:r>
              <w:rPr>
                <w:rFonts w:ascii="Times New Roman" w:hAnsi="Times New Roman"/>
                <w:b/>
                <w:i/>
                <w:color w:val="000000"/>
                <w:sz w:val="16"/>
              </w:rPr>
              <w:t>Cryptosporidium</w:t>
            </w:r>
            <w:r>
              <w:rPr>
                <w:rFonts w:ascii="Times New Roman" w:hAnsi="Times New Roman"/>
                <w:b/>
                <w:i w:val="false"/>
                <w:color w:val="000000"/>
                <w:sz w:val="16"/>
              </w:rPr>
              <w:t xml:space="preserve"> treatment requirements</w:t>
            </w:r>
            <w:r>
              <w:rPr>
                <w:rFonts w:ascii="Times New Roman" w:hAnsi="Times New Roman"/>
                <w:b/>
                <w:i w:val="false"/>
                <w:color w:val="000000"/>
                <w:sz w:val="18"/>
                <w:vertAlign w:val="superscript"/>
              </w:rPr>
              <w:t>1</w:t>
            </w:r>
          </w:p>
        </w:tc>
      </w:tr>
      <w:tr>
        <w:trPr>
          <w:trHeight w:val="24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At least 100,000 people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April 1, 2012</w:t>
            </w:r>
          </w:p>
        </w:tc>
      </w:tr>
      <w:tr>
        <w:trPr>
          <w:trHeight w:val="22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From 50,000 to 99,999 people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October 1, 2012</w:t>
            </w:r>
          </w:p>
        </w:tc>
      </w:tr>
      <w:tr>
        <w:trPr>
          <w:trHeight w:val="22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From 10,000 to 49,999 people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October 1, 2013</w:t>
            </w:r>
          </w:p>
        </w:tc>
      </w:tr>
      <w:tr>
        <w:trPr>
          <w:trHeight w:val="22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Fewer than 10,000 people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October 1, 2014</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The department may allow up to an additional two years for compliance with the treatment requirement if the system must make capital improvements.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43.11(8)</w:t>
      </w:r>
      <w:r>
        <w:rPr>
          <w:rFonts w:ascii="Times New Roman" w:hAnsi="Times New Roman"/>
          <w:b w:val="false"/>
          <w:i w:val="false"/>
          <w:color w:val="000000"/>
          <w:sz w:val="22"/>
        </w:rPr>
        <w:t> </w:t>
      </w:r>
      <w:r>
        <w:rPr>
          <w:rFonts w:ascii="Times New Roman" w:hAnsi="Times New Roman"/>
          <w:b w:val="false"/>
          <w:i/>
          <w:color w:val="000000"/>
          <w:sz w:val="22"/>
        </w:rPr>
        <w:t xml:space="preserve">Microbial toolbox options for meeting Cryptosporidium treatment requirements. </w:t>
      </w:r>
      <w:r>
        <w:rPr>
          <w:rFonts w:ascii="Times New Roman" w:hAnsi="Times New Roman"/>
          <w:b w:val="false"/>
          <w:i w:val="false"/>
          <w:color w:val="000000"/>
          <w:sz w:val="22"/>
        </w:rPr>
        <w:t xml:space="preserve">Systems receive the treatment credits listed in Table 6 by meeting the conditions for microbial toolbox options described in </w:t>
      </w:r>
      <w:hyperlink r:id="rId480">
        <w:r>
          <w:rPr>
            <w:rStyle w:val="Hyperlink"/>
            <w:rFonts w:ascii="Times New Roman" w:hAnsi="Times New Roman"/>
            <w:b w:val="false"/>
            <w:i w:val="false"/>
            <w:color w:val="000000"/>
            <w:sz w:val="22"/>
          </w:rPr>
          <w:t>43.11(9)</w:t>
        </w:r>
      </w:hyperlink>
      <w:r>
        <w:rPr>
          <w:rFonts w:ascii="Times New Roman" w:hAnsi="Times New Roman"/>
          <w:b w:val="false"/>
          <w:i w:val="false"/>
          <w:color w:val="000000"/>
          <w:sz w:val="22"/>
        </w:rPr>
        <w:t xml:space="preserve"> through </w:t>
      </w:r>
      <w:hyperlink r:id="rId481">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Systems apply these treatment credits to meet the treatment requirements in </w:t>
      </w:r>
      <w:hyperlink r:id="rId482">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Table 6 summarizes options in the microbial toolbox.</w:t>
      </w:r>
    </w:p>
    <w:p>
      <w:pPr>
        <w:spacing w:before="60" w:after="0"/>
        <w:ind w:left="120"/>
        <w:jc w:val="center"/>
      </w:pPr>
      <w:r>
        <w:rPr>
          <w:rFonts w:ascii="Times New Roman" w:hAnsi="Times New Roman"/>
          <w:b/>
          <w:i w:val="false"/>
          <w:color w:val="000000"/>
          <w:sz w:val="22"/>
        </w:rPr>
        <w:t>Table 6: Microbial Toolbox Summary Table: Options, Treatment Credits, and Criteria</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800"/>
        <w:gridCol w:w="1920"/>
        <w:gridCol w:w="4800"/>
      </w:tblGrid>
      <w:tr>
        <w:trPr>
          <w:trHeight w:val="435" w:hRule="atLeast"/>
        </w:trPr>
        <w:tc>
          <w:tcPr>
            <w:tcW w:w="480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6"/>
              </w:rPr>
              <w:t>Toolbox Option</w:t>
            </w:r>
          </w:p>
        </w:tc>
        <w:tc>
          <w:tcPr>
            <w:tcW w:w="192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6"/>
              </w:rPr>
              <w:t>Specific Criteria Rule</w:t>
            </w:r>
          </w:p>
        </w:tc>
        <w:tc>
          <w:tcPr>
            <w:tcW w:w="480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color w:val="000000"/>
                <w:sz w:val="16"/>
              </w:rPr>
              <w:t>Cryptosporidium</w:t>
            </w:r>
            <w:r>
              <w:rPr>
                <w:rFonts w:ascii="Times New Roman" w:hAnsi="Times New Roman"/>
                <w:b/>
                <w:i w:val="false"/>
                <w:color w:val="000000"/>
                <w:sz w:val="16"/>
              </w:rPr>
              <w:t xml:space="preserve"> treatment credit with design and implementation criteria</w:t>
            </w:r>
          </w:p>
        </w:tc>
      </w:tr>
      <w:tr>
        <w:trPr>
          <w:trHeight w:val="330"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Source Protection and Management Toolbox Options</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Watershed control program (WCP)</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83">
              <w:r>
                <w:rPr>
                  <w:rStyle w:val="Hyperlink"/>
                  <w:rFonts w:ascii="Times New Roman" w:hAnsi="Times New Roman"/>
                  <w:b w:val="false"/>
                  <w:i w:val="false"/>
                  <w:color w:val="000000"/>
                  <w:sz w:val="16"/>
                </w:rPr>
                <w:t>43.11(9)</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0.5-log credit for department-approved program comprising required elements, annual program status report to department, and regular watershed survey.</w:t>
            </w:r>
          </w:p>
        </w:tc>
      </w:tr>
      <w:tr>
        <w:trPr>
          <w:trHeight w:val="76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Alternative source/intake management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84">
              <w:r>
                <w:rPr>
                  <w:rStyle w:val="Hyperlink"/>
                  <w:rFonts w:ascii="Times New Roman" w:hAnsi="Times New Roman"/>
                  <w:b w:val="false"/>
                  <w:i w:val="false"/>
                  <w:color w:val="000000"/>
                  <w:sz w:val="16"/>
                </w:rPr>
                <w:t>43.11(9)</w:t>
              </w:r>
              <w:r>
                <w:rPr>
                  <w:rFonts w:ascii="Times New Roman" w:hAnsi="Times New Roman"/>
                  <w:b w:val="false"/>
                  <w:i/>
                  <w:color w:val="000000"/>
                  <w:sz w:val="16"/>
                </w:rPr>
                <w:t>“b”</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prescribed credit. Systems may conduct simultaneous monitoring for treatment bin classification at alternative intake locations or under alternative intake management strategies.</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Prefiltration Toolbox Options</w:t>
            </w:r>
          </w:p>
        </w:tc>
      </w:tr>
      <w:tr>
        <w:trPr>
          <w:trHeight w:val="129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Presedimentation basin with coagulation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85">
              <w:r>
                <w:rPr>
                  <w:rStyle w:val="Hyperlink"/>
                  <w:rFonts w:ascii="Times New Roman" w:hAnsi="Times New Roman"/>
                  <w:b w:val="false"/>
                  <w:i w:val="false"/>
                  <w:color w:val="000000"/>
                  <w:sz w:val="16"/>
                </w:rPr>
                <w:t>43.11(10)</w:t>
              </w:r>
              <w:r>
                <w:rPr>
                  <w:rFonts w:ascii="Times New Roman" w:hAnsi="Times New Roman"/>
                  <w:b w:val="false"/>
                  <w:i/>
                  <w:color w:val="000000"/>
                  <w:sz w:val="16"/>
                </w:rPr>
                <w:t>“a”</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0.5-log credit during any month that presedimentation basins achieve a monthly mean reduction of 0.5-log or greater in turbidity or alternative department-approved performance criteria. To be eligible, basins must be operated continuously with coagulant addition and all plant flow must pass through the basins.</w:t>
            </w:r>
          </w:p>
        </w:tc>
      </w:tr>
      <w:tr>
        <w:trPr>
          <w:trHeight w:val="9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Two-stage lime softening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86">
              <w:r>
                <w:rPr>
                  <w:rStyle w:val="Hyperlink"/>
                  <w:rFonts w:ascii="Times New Roman" w:hAnsi="Times New Roman"/>
                  <w:b w:val="false"/>
                  <w:i w:val="false"/>
                  <w:color w:val="000000"/>
                  <w:sz w:val="16"/>
                </w:rPr>
                <w:t>43.11(10)</w:t>
              </w:r>
              <w:r>
                <w:rPr>
                  <w:rFonts w:ascii="Times New Roman" w:hAnsi="Times New Roman"/>
                  <w:b w:val="false"/>
                  <w:i/>
                  <w:color w:val="000000"/>
                  <w:sz w:val="16"/>
                </w:rPr>
                <w:t>“b”</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0.5-log credit for two-stage softening where chemical addition and hardness precipitation occur in both stages. All plant flow must pass through both stages. Single-stage softening is credited as equivalent to conventional treatment.</w:t>
            </w:r>
          </w:p>
        </w:tc>
      </w:tr>
      <w:tr>
        <w:trPr>
          <w:trHeight w:val="147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Bank filtration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87">
              <w:r>
                <w:rPr>
                  <w:rStyle w:val="Hyperlink"/>
                  <w:rFonts w:ascii="Times New Roman" w:hAnsi="Times New Roman"/>
                  <w:b w:val="false"/>
                  <w:i w:val="false"/>
                  <w:color w:val="000000"/>
                  <w:sz w:val="16"/>
                </w:rPr>
                <w:t>43.11(10)</w:t>
              </w:r>
              <w:r>
                <w:rPr>
                  <w:rFonts w:ascii="Times New Roman" w:hAnsi="Times New Roman"/>
                  <w:b w:val="false"/>
                  <w:i/>
                  <w:color w:val="000000"/>
                  <w:sz w:val="16"/>
                </w:rPr>
                <w:t>“c”</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0.5-log credit for 25-foot setback; 1.0-log credit for 50-foot setback; aquifer must be unconsolidated sand containing at least 10 percent fines; average turbidity in wells must be less than 1 NTU. A system using a well followed by filtration when conducting source water monitoring must sample the well to determine bin classification and is not eligible for additional credit.</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Treatment Performance Toolbox Options</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Combined filter performance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88">
              <w:r>
                <w:rPr>
                  <w:rStyle w:val="Hyperlink"/>
                  <w:rFonts w:ascii="Times New Roman" w:hAnsi="Times New Roman"/>
                  <w:b w:val="false"/>
                  <w:i w:val="false"/>
                  <w:color w:val="000000"/>
                  <w:sz w:val="16"/>
                </w:rPr>
                <w:t>43.11(11)</w:t>
              </w:r>
              <w:r>
                <w:rPr>
                  <w:rFonts w:ascii="Times New Roman" w:hAnsi="Times New Roman"/>
                  <w:b w:val="false"/>
                  <w:i/>
                  <w:color w:val="000000"/>
                  <w:sz w:val="16"/>
                </w:rPr>
                <w:t>“a”</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0.5-log credit for CFE turbidity less than or equal to 0.15 NTU in at least 95 percent of measurements each month.</w:t>
            </w:r>
          </w:p>
        </w:tc>
      </w:tr>
      <w:tr>
        <w:trPr>
          <w:trHeight w:val="9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Individual filter performance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89">
              <w:r>
                <w:rPr>
                  <w:rStyle w:val="Hyperlink"/>
                  <w:rFonts w:ascii="Times New Roman" w:hAnsi="Times New Roman"/>
                  <w:b w:val="false"/>
                  <w:i w:val="false"/>
                  <w:color w:val="000000"/>
                  <w:sz w:val="16"/>
                </w:rPr>
                <w:t>43.11(11)</w:t>
              </w:r>
              <w:r>
                <w:rPr>
                  <w:rFonts w:ascii="Times New Roman" w:hAnsi="Times New Roman"/>
                  <w:b w:val="false"/>
                  <w:i/>
                  <w:color w:val="000000"/>
                  <w:sz w:val="16"/>
                </w:rPr>
                <w:t>“b”</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0.5-log credit (in addition to the 0.5-log combined filter performance credit) if IFE turbidity is less than or equal to 0.15 NTU in at least 95 percent of samples each month in each filter and is never greater than 0.3 NTU in two consecutive measurements in any filter.</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Demonstration of performance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0">
              <w:r>
                <w:rPr>
                  <w:rStyle w:val="Hyperlink"/>
                  <w:rFonts w:ascii="Times New Roman" w:hAnsi="Times New Roman"/>
                  <w:b w:val="false"/>
                  <w:i w:val="false"/>
                  <w:color w:val="000000"/>
                  <w:sz w:val="16"/>
                </w:rPr>
                <w:t>43.11(11)</w:t>
              </w:r>
              <w:r>
                <w:rPr>
                  <w:rFonts w:ascii="Times New Roman" w:hAnsi="Times New Roman"/>
                  <w:b w:val="false"/>
                  <w:i/>
                  <w:color w:val="000000"/>
                  <w:sz w:val="16"/>
                </w:rPr>
                <w:t>“c”</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Credit awarded to unit process or treatment train based on a demonstration to the department with a department-approved protocol.</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Additional Filtration Toolbox Options</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Bag or cartridge filters (individual filters)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1">
              <w:r>
                <w:rPr>
                  <w:rStyle w:val="Hyperlink"/>
                  <w:rFonts w:ascii="Times New Roman" w:hAnsi="Times New Roman"/>
                  <w:b w:val="false"/>
                  <w:i w:val="false"/>
                  <w:color w:val="000000"/>
                  <w:sz w:val="16"/>
                </w:rPr>
                <w:t>43.11(12)</w:t>
              </w:r>
              <w:r>
                <w:rPr>
                  <w:rFonts w:ascii="Times New Roman" w:hAnsi="Times New Roman"/>
                  <w:b w:val="false"/>
                  <w:i/>
                  <w:color w:val="000000"/>
                  <w:sz w:val="16"/>
                </w:rPr>
                <w:t>“a”</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2-log credit based on the removal efficiency demonstrated during challenge testing with a 1.0-log factor of safety.</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Bag or cartridge filters (in series)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2">
              <w:r>
                <w:rPr>
                  <w:rStyle w:val="Hyperlink"/>
                  <w:rFonts w:ascii="Times New Roman" w:hAnsi="Times New Roman"/>
                  <w:b w:val="false"/>
                  <w:i w:val="false"/>
                  <w:color w:val="000000"/>
                  <w:sz w:val="16"/>
                </w:rPr>
                <w:t>43.11(12)</w:t>
              </w:r>
              <w:r>
                <w:rPr>
                  <w:rFonts w:ascii="Times New Roman" w:hAnsi="Times New Roman"/>
                  <w:b w:val="false"/>
                  <w:i/>
                  <w:color w:val="000000"/>
                  <w:sz w:val="16"/>
                </w:rPr>
                <w:t>“a”</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2.5-log credit based on the removal efficiency demonstrated during challenge testing with a 0.5-log factor of safety.</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Membrane filtration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3">
              <w:r>
                <w:rPr>
                  <w:rStyle w:val="Hyperlink"/>
                  <w:rFonts w:ascii="Times New Roman" w:hAnsi="Times New Roman"/>
                  <w:b w:val="false"/>
                  <w:i w:val="false"/>
                  <w:color w:val="000000"/>
                  <w:sz w:val="16"/>
                </w:rPr>
                <w:t>43.11(12)</w:t>
              </w:r>
              <w:r>
                <w:rPr>
                  <w:rFonts w:ascii="Times New Roman" w:hAnsi="Times New Roman"/>
                  <w:b w:val="false"/>
                  <w:i/>
                  <w:color w:val="000000"/>
                  <w:sz w:val="16"/>
                </w:rPr>
                <w:t>“b”</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Log credit equivalent to removal efficiency demonstrated in challenge test for device if supported by direct integrity testing.</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Second-stage filtration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4">
              <w:r>
                <w:rPr>
                  <w:rStyle w:val="Hyperlink"/>
                  <w:rFonts w:ascii="Times New Roman" w:hAnsi="Times New Roman"/>
                  <w:b w:val="false"/>
                  <w:i w:val="false"/>
                  <w:color w:val="000000"/>
                  <w:sz w:val="16"/>
                </w:rPr>
                <w:t>43.11(12)</w:t>
              </w:r>
              <w:r>
                <w:rPr>
                  <w:rFonts w:ascii="Times New Roman" w:hAnsi="Times New Roman"/>
                  <w:b w:val="false"/>
                  <w:i/>
                  <w:color w:val="000000"/>
                  <w:sz w:val="16"/>
                </w:rPr>
                <w:t>“c”</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0.5-log credit for second separate granular media filtration stage if treatment train includes coagulation prior to first filter.</w:t>
            </w:r>
          </w:p>
        </w:tc>
      </w:tr>
      <w:tr>
        <w:trPr>
          <w:trHeight w:val="5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Slow sand filtration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5">
              <w:r>
                <w:rPr>
                  <w:rStyle w:val="Hyperlink"/>
                  <w:rFonts w:ascii="Times New Roman" w:hAnsi="Times New Roman"/>
                  <w:b w:val="false"/>
                  <w:i w:val="false"/>
                  <w:color w:val="000000"/>
                  <w:sz w:val="16"/>
                </w:rPr>
                <w:t>43.11(12)</w:t>
              </w:r>
              <w:r>
                <w:rPr>
                  <w:rFonts w:ascii="Times New Roman" w:hAnsi="Times New Roman"/>
                  <w:b w:val="false"/>
                  <w:i/>
                  <w:color w:val="000000"/>
                  <w:sz w:val="16"/>
                </w:rPr>
                <w:t>“d”</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2.5-log credit as a secondary filtration step; 3.0-log credit as a primary filtration process. No prior chlorination for either option.</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Inactivation Toolbox Options</w:t>
            </w:r>
          </w:p>
        </w:tc>
      </w:tr>
      <w:tr>
        <w:trPr>
          <w:trHeight w:val="40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Chlorine dioxide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6">
              <w:r>
                <w:rPr>
                  <w:rStyle w:val="Hyperlink"/>
                  <w:rFonts w:ascii="Times New Roman" w:hAnsi="Times New Roman"/>
                  <w:b w:val="false"/>
                  <w:i w:val="false"/>
                  <w:color w:val="000000"/>
                  <w:sz w:val="16"/>
                </w:rPr>
                <w:t>43.11(13)</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Log credit based on measured CT in relation to CT table.</w:t>
            </w:r>
          </w:p>
        </w:tc>
      </w:tr>
      <w:tr>
        <w:trPr>
          <w:trHeight w:val="40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Ozone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7">
              <w:r>
                <w:rPr>
                  <w:rStyle w:val="Hyperlink"/>
                  <w:rFonts w:ascii="Times New Roman" w:hAnsi="Times New Roman"/>
                  <w:b w:val="false"/>
                  <w:i w:val="false"/>
                  <w:color w:val="000000"/>
                  <w:sz w:val="16"/>
                </w:rPr>
                <w:t>43.11(13)</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Log credit based on measured CT in relation to CT table.</w:t>
            </w:r>
          </w:p>
        </w:tc>
      </w:tr>
      <w:tr>
        <w:trPr>
          <w:trHeight w:val="93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UV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hyperlink r:id="rId498">
              <w:r>
                <w:rPr>
                  <w:rStyle w:val="Hyperlink"/>
                  <w:rFonts w:ascii="Times New Roman" w:hAnsi="Times New Roman"/>
                  <w:b w:val="false"/>
                  <w:i w:val="false"/>
                  <w:color w:val="000000"/>
                  <w:sz w:val="16"/>
                </w:rPr>
                <w:t>43.11(13)</w:t>
              </w:r>
            </w:hyperlink>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Log credit based on validated UV dose in relation to UV dose table; reactor validation testing required to establish UV dose and associated operating conditions.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43.11(9)</w:t>
      </w:r>
      <w:r>
        <w:rPr>
          <w:rFonts w:ascii="Times New Roman" w:hAnsi="Times New Roman"/>
          <w:b w:val="false"/>
          <w:i w:val="false"/>
          <w:color w:val="000000"/>
          <w:sz w:val="22"/>
        </w:rPr>
        <w:t> </w:t>
      </w:r>
      <w:r>
        <w:rPr>
          <w:rFonts w:ascii="Times New Roman" w:hAnsi="Times New Roman"/>
          <w:b w:val="false"/>
          <w:i/>
          <w:color w:val="000000"/>
          <w:sz w:val="22"/>
        </w:rPr>
        <w:t xml:space="preserve">Source toolbox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Watershed control program (WCP). </w:t>
      </w:r>
      <w:r>
        <w:rPr>
          <w:rFonts w:ascii="Times New Roman" w:hAnsi="Times New Roman"/>
          <w:b w:val="false"/>
          <w:i w:val="false"/>
          <w:color w:val="000000"/>
          <w:sz w:val="22"/>
        </w:rPr>
        <w:t xml:space="preserve">Systems receive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implementing a WCP that meets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Systems that intend to apply for the WCP credit must notify the department of this intent no later than two years prior to the applicable treatment compliance date in </w:t>
      </w:r>
      <w:hyperlink r:id="rId499">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watershed control plan. Systems must submit a proposed watershed control plan to the department no later than one year before the applicable treatment compliance date in </w:t>
      </w:r>
      <w:hyperlink r:id="rId500">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 The department must approve the plan for the system to receive WCP treatment credit. The plan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an “area of influence” outside of which the likelihood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or fecal contamination affecting the treatment plant intake is not significant. This is the area to be evaluated in future watershed surveys under </w:t>
      </w:r>
      <w:hyperlink r:id="rId501">
        <w:r>
          <w:rPr>
            <w:rStyle w:val="Hyperlink"/>
            <w:rFonts w:ascii="Times New Roman" w:hAnsi="Times New Roman"/>
            <w:b w:val="false"/>
            <w:i w:val="false"/>
            <w:color w:val="000000"/>
            <w:sz w:val="22"/>
          </w:rPr>
          <w:t>43.11(9)</w:t>
        </w:r>
      </w:hyperlink>
      <w:r>
        <w:rPr>
          <w:rFonts w:ascii="Times New Roman" w:hAnsi="Times New Roman"/>
          <w:b w:val="false"/>
          <w:i/>
          <w:color w:val="000000"/>
          <w:sz w:val="22"/>
        </w:rPr>
        <w:t>“a”</w:t>
      </w:r>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both potential and actual sources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contamination and an assessment of the relative impact of these sources on the system’s source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analysis of the effectiveness and feasibility of control measures that could reduce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loading from sources of contamination to the system’s source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goals and specific actions the system will undertake to reduce source water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levels. The plan must explain how the actions are expected to contribute to specific goals, identify watershed partners and their roles, identify resource requirements and commitments, and include a schedule for plan implementation with deadlines for completing specific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WCPs. Systems with WCPs that were in place on January 5, 2006, are eligible to seek this credit. The systems’ watershed control plans must meet the criteria in </w:t>
      </w:r>
      <w:hyperlink r:id="rId502">
        <w:r>
          <w:rPr>
            <w:rStyle w:val="Hyperlink"/>
            <w:rFonts w:ascii="Times New Roman" w:hAnsi="Times New Roman"/>
            <w:b w:val="false"/>
            <w:i w:val="false"/>
            <w:color w:val="000000"/>
            <w:sz w:val="22"/>
          </w:rPr>
          <w:t>43.11(9)</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must specify ongoing and future actions that will reduce source water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 response to plan. If the department does not respond to a system regarding approval of a watershed control plan submitted under this subrule and the system meets the other requirements of this subrule, the WCP will be considered approved and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will be awarded unless and until the department subsequently withdraws such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System requirements to maintain 0.5-log credit. Systems must complete the following actions to maintain the 0.5-log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an annual WCP status report to the department. The WPC status report must describe the system’s implementation of the approved plan and assess the adequacy of the plan to meet its goals. The report must explain how the system is addressing any shortcomings in plan implementation, including those previously identified by the department or as a result of the watershed survey conducted under </w:t>
      </w:r>
      <w:hyperlink r:id="rId503">
        <w:r>
          <w:rPr>
            <w:rStyle w:val="Hyperlink"/>
            <w:rFonts w:ascii="Times New Roman" w:hAnsi="Times New Roman"/>
            <w:b w:val="false"/>
            <w:i w:val="false"/>
            <w:color w:val="000000"/>
            <w:sz w:val="22"/>
          </w:rPr>
          <w:t>43.11(9)</w:t>
        </w:r>
      </w:hyperlink>
      <w:r>
        <w:rPr>
          <w:rFonts w:ascii="Times New Roman" w:hAnsi="Times New Roman"/>
          <w:b w:val="false"/>
          <w:i/>
          <w:color w:val="000000"/>
          <w:sz w:val="22"/>
        </w:rPr>
        <w:t>“a”</w:t>
      </w:r>
      <w:r>
        <w:rPr>
          <w:rFonts w:ascii="Times New Roman" w:hAnsi="Times New Roman"/>
          <w:b w:val="false"/>
          <w:i w:val="false"/>
          <w:color w:val="000000"/>
          <w:sz w:val="22"/>
        </w:rPr>
        <w:t>(5)“2.” It must also describe any significant watershed changes that have occurred since the last watershed sanitary survey. If a system determines during implementation that significant changes to its approved WCP are necessary, it must notify the department prior to making the changes. If a program change is likely to reduce the level of source water protection, the system must list in its notification the actions the system will take to mitigate this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Undergo a watershed sanitary survey every three years for CWSs and every five years for NTNCs or TNCs and submit the survey report to the department. Surveys must be conducted according to department guidelines and by persons acceptable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watershed sanitary survey must encompass the region identified in the department-approved watershed control plan as the area of influence; assess the implementation of actions to reduce source water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levels; and identify any significant new sources of </w:t>
      </w:r>
      <w:r>
        <w:rPr>
          <w:rFonts w:ascii="Times New Roman" w:hAnsi="Times New Roman"/>
          <w:b w:val="false"/>
          <w:i/>
          <w:color w:val="000000"/>
          <w:sz w:val="22"/>
        </w:rPr>
        <w:t>Cryptosporidium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department determines that significant changes may have occurred in the watershed since the previous watershed sanitary survey, systems must undergo another watershed sanitary survey by the department-specified date, which may be earlier than the regular three- or five-year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must make the watershed control plan, annual status reports, and watershed sanitary survey reports available to the public upon request. These documents must be in plain language and include criteria to evaluate the success of the WCP in achieving plan goals. The department may approve systems to withhold portions of the plan or the reports from the public, based on security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Withdrawal of WCP treatment credit. If the department determines that a system is not carrying out the approved watershed control plan, it may withdraw the WCP treatment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Alternative source. </w:t>
      </w:r>
      <w:r>
        <w:rPr>
          <w:rFonts w:ascii="Times New Roman" w:hAnsi="Times New Roman"/>
          <w:b w:val="false"/>
          <w:i w:val="false"/>
          <w:color w:val="000000"/>
          <w:sz w:val="22"/>
        </w:rPr>
        <w:t xml:space="preserve">Systems may conduct source water monitoring that reflects a different intake location (either in the same source or for an alternate source) or a different procedure for the timing or level of withdrawal from the source (alternative source monitoring). If the department approves, a system may determine its bin classification under </w:t>
      </w:r>
      <w:hyperlink r:id="rId504">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based on alternative source monitoring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conducting alternative source monitoring must also monitor their current plan intake concurrently, as described in </w:t>
      </w:r>
      <w:hyperlink r:id="rId505">
        <w:r>
          <w:rPr>
            <w:rStyle w:val="Hyperlink"/>
            <w:rFonts w:ascii="Times New Roman" w:hAnsi="Times New Roman"/>
            <w:b w:val="false"/>
            <w:i w:val="false"/>
            <w:color w:val="000000"/>
            <w:sz w:val="22"/>
          </w:rPr>
          <w:t>43.11(3)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source monitoring must meet the requirements for source monitoring to determine bin classification, as described in </w:t>
      </w:r>
      <w:hyperlink r:id="rId506">
        <w:r>
          <w:rPr>
            <w:rStyle w:val="Hyperlink"/>
            <w:rFonts w:ascii="Times New Roman" w:hAnsi="Times New Roman"/>
            <w:b w:val="false"/>
            <w:i w:val="false"/>
            <w:color w:val="000000"/>
            <w:sz w:val="22"/>
          </w:rPr>
          <w:t>43.11(3)</w:t>
        </w:r>
      </w:hyperlink>
      <w:r>
        <w:rPr>
          <w:rFonts w:ascii="Times New Roman" w:hAnsi="Times New Roman"/>
          <w:b w:val="false"/>
          <w:i w:val="false"/>
          <w:color w:val="000000"/>
          <w:sz w:val="22"/>
        </w:rPr>
        <w:t>. Systems must report the alternative source monitoring results to the department and provide supporting information documenting the operating conditions during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system determines its bin classification under </w:t>
      </w:r>
      <w:hyperlink r:id="rId507">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using alternative source monitoring results that reflect a different intake location or a different procedure for managing the timing or level of withdrawal from the source, it must relocate the intake or permanently adopt the withdrawal procedure, as applicable, no later than the applicable treatment compliance date in </w:t>
      </w:r>
      <w:hyperlink r:id="rId508">
        <w:r>
          <w:rPr>
            <w:rStyle w:val="Hyperlink"/>
            <w:rFonts w:ascii="Times New Roman" w:hAnsi="Times New Roman"/>
            <w:b w:val="false"/>
            <w:i w:val="false"/>
            <w:color w:val="000000"/>
            <w:sz w:val="22"/>
          </w:rPr>
          <w:t>43.11(7)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43.11(10)</w:t>
      </w:r>
      <w:r>
        <w:rPr>
          <w:rFonts w:ascii="Times New Roman" w:hAnsi="Times New Roman"/>
          <w:b w:val="false"/>
          <w:i w:val="false"/>
          <w:color w:val="000000"/>
          <w:sz w:val="22"/>
        </w:rPr>
        <w:t> </w:t>
      </w:r>
      <w:r>
        <w:rPr>
          <w:rFonts w:ascii="Times New Roman" w:hAnsi="Times New Roman"/>
          <w:b w:val="false"/>
          <w:i/>
          <w:color w:val="000000"/>
          <w:sz w:val="22"/>
        </w:rPr>
        <w:t xml:space="preserve">Prefiltration treatment toolbox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Presedimentation. </w:t>
      </w:r>
      <w:r>
        <w:rPr>
          <w:rFonts w:ascii="Times New Roman" w:hAnsi="Times New Roman"/>
          <w:b w:val="false"/>
          <w:i w:val="false"/>
          <w:color w:val="000000"/>
          <w:sz w:val="22"/>
        </w:rPr>
        <w:t xml:space="preserve">Systems receive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a presedimentation basin during any month the process meets the criteria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presedimentation basin must be in continuous operation and must treat the entire plant flow taken from a SW or IGW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system must continuously add a coagulant to the presedimentation basin.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presedimentation basin must achieve either of the following performance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Demonstrates at least 0.5-log mean reduction of influent turbidity, determined by using daily turbidity measurements in the presedimentation process influent and effluent, and calculated as follows: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(monthly mean of daily influent turbidity)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(monthly mean of daily effluent turbidity);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Complies with department-approved performance criteria that demonstrate at least 0.5-log mean removal of micron-sized particulate material through the presedimentation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Two-stage lime softening. </w:t>
      </w:r>
      <w:r>
        <w:rPr>
          <w:rFonts w:ascii="Times New Roman" w:hAnsi="Times New Roman"/>
          <w:b w:val="false"/>
          <w:i w:val="false"/>
          <w:color w:val="000000"/>
          <w:sz w:val="22"/>
        </w:rPr>
        <w:t xml:space="preserve">Systems receive an additional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a two-stage lime softening plant if chemical addition and hardness precipitation occur in two separate and sequential softening stages prior to filtration. Both softening stages must treat the entire plant flow taken from a SW or IGW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Bank filtration. </w:t>
      </w:r>
      <w:r>
        <w:rPr>
          <w:rFonts w:ascii="Times New Roman" w:hAnsi="Times New Roman"/>
          <w:b w:val="false"/>
          <w:i w:val="false"/>
          <w:color w:val="000000"/>
          <w:sz w:val="22"/>
        </w:rPr>
        <w:t xml:space="preserve">Systems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bank filtration that serves as pretreatment to a filtration plant by meeting the criteria in this paragraph. Systems using bank filtration when beginning source water monitoring under </w:t>
      </w:r>
      <w:hyperlink r:id="rId509">
        <w:r>
          <w:rPr>
            <w:rStyle w:val="Hyperlink"/>
            <w:rFonts w:ascii="Times New Roman" w:hAnsi="Times New Roman"/>
            <w:b w:val="false"/>
            <w:i w:val="false"/>
            <w:color w:val="000000"/>
            <w:sz w:val="22"/>
          </w:rPr>
          <w:t>43.11(3)</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collect samples as described in </w:t>
      </w:r>
      <w:hyperlink r:id="rId510">
        <w:r>
          <w:rPr>
            <w:rStyle w:val="Hyperlink"/>
            <w:rFonts w:ascii="Times New Roman" w:hAnsi="Times New Roman"/>
            <w:b w:val="false"/>
            <w:i w:val="false"/>
            <w:color w:val="000000"/>
            <w:sz w:val="22"/>
          </w:rPr>
          <w:t>43.11(3)</w:t>
        </w:r>
      </w:hyperlink>
      <w:r>
        <w:rPr>
          <w:rFonts w:ascii="Times New Roman" w:hAnsi="Times New Roman"/>
          <w:b w:val="false"/>
          <w:i/>
          <w:color w:val="000000"/>
          <w:sz w:val="22"/>
        </w:rPr>
        <w:t>“d”</w:t>
      </w:r>
      <w:r>
        <w:rPr>
          <w:rFonts w:ascii="Times New Roman" w:hAnsi="Times New Roman"/>
          <w:b w:val="false"/>
          <w:i w:val="false"/>
          <w:color w:val="000000"/>
          <w:sz w:val="22"/>
        </w:rPr>
        <w:t>(3) and are not eligible for this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credit. Wells with a GW flow path of at least 25 feet receive 0.5-log treatment credit; wells with a GW flow path of at least 50 feet receive 1.0-log treatment credit. The GW flow path must be determined as specified in </w:t>
      </w:r>
      <w:hyperlink r:id="rId511">
        <w:r>
          <w:rPr>
            <w:rStyle w:val="Hyperlink"/>
            <w:rFonts w:ascii="Times New Roman" w:hAnsi="Times New Roman"/>
            <w:b w:val="false"/>
            <w:i w:val="false"/>
            <w:color w:val="000000"/>
            <w:sz w:val="22"/>
          </w:rPr>
          <w:t>43.11(10)</w:t>
        </w:r>
      </w:hyperlink>
      <w:r>
        <w:rPr>
          <w:rFonts w:ascii="Times New Roman" w:hAnsi="Times New Roman"/>
          <w:b w:val="false"/>
          <w:i/>
          <w:color w:val="000000"/>
          <w:sz w:val="22"/>
        </w:rPr>
        <w:t>“c”</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Credit eligibility. Only horizontal and vertical wells in granular aquifers are eligible for treatment credit. Granular aquifers are those comprised of sand, clay, silt, rock fragments, pebbles or larger particles, and minor cement. A system must characterize the aquifer at the well site to determine aquifer properties. Systems must extract a core from the aquifer and demonstrate that in at least 90 percent of the core length, grains less than 1.0 mm in diameter constitute at least 10 percent of the core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GW flow path measurement. For vertical wells, the GW flow path is the measured distance from the edge of the surface water body under high flow conditions (determined by the 100-year floodplain elevation boundary or by the floodway, as defined in Federal Emergency Management Agency flood hazard maps) to the well screen. For horizontal wells, the GW flow path is the measured distance from the bed of the river under normal flow conditions to the closest horizontal well lateral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Turbidity monitoring at the wellhead. Systems must monitor each wellhead for turbidity at least once every four hours while the bank filtration process is in operation. If monthly average turbidity levels, based on daily maximum values in the well, exceed 1 NTU, the system must report this result to the department and conduct an assessment within 30 days to determine the cause of the high turbidity levels in the well. If the department determines that microbial removal has been compromised, it may revoke treatment credit until the system implements department-approved corrective actions to remediate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Springs and infiltration galleries. This treatment credit is not eligible for springs and infiltration galleries. Springs and infiltration galleries are eligible for credit through demonstration of performance study under </w:t>
      </w:r>
      <w:hyperlink r:id="rId512">
        <w:r>
          <w:rPr>
            <w:rStyle w:val="Hyperlink"/>
            <w:rFonts w:ascii="Times New Roman" w:hAnsi="Times New Roman"/>
            <w:b w:val="false"/>
            <w:i w:val="false"/>
            <w:color w:val="000000"/>
            <w:sz w:val="22"/>
          </w:rPr>
          <w:t>43.11(11)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Bank filtration demonstration of performance. The department may approve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bank filtration based on a demonstration of performance study that meets the criteria in this subparagraph. This treatment credit may be greater than 1.0-log and may be awarded to bank filtration that does not meet the criteria in </w:t>
      </w:r>
      <w:hyperlink r:id="rId513">
        <w:r>
          <w:rPr>
            <w:rStyle w:val="Hyperlink"/>
            <w:rFonts w:ascii="Times New Roman" w:hAnsi="Times New Roman"/>
            <w:b w:val="false"/>
            <w:i w:val="false"/>
            <w:color w:val="000000"/>
            <w:sz w:val="22"/>
          </w:rPr>
          <w:t>43.11(10)</w:t>
        </w:r>
      </w:hyperlink>
      <w:r>
        <w:rPr>
          <w:rFonts w:ascii="Times New Roman" w:hAnsi="Times New Roman"/>
          <w:b w:val="false"/>
          <w:i/>
          <w:color w:val="000000"/>
          <w:sz w:val="22"/>
        </w:rPr>
        <w:t>“c”</w:t>
      </w:r>
      <w:r>
        <w:rPr>
          <w:rFonts w:ascii="Times New Roman" w:hAnsi="Times New Roman"/>
          <w:b w:val="false"/>
          <w:i w:val="false"/>
          <w:color w:val="000000"/>
          <w:sz w:val="22"/>
        </w:rPr>
        <w:t xml:space="preserve">(1) through </w:t>
      </w:r>
      <w:r>
        <w:rPr>
          <w:rFonts w:ascii="Times New Roman" w:hAnsi="Times New Roman"/>
          <w:b w:val="false"/>
          <w:i/>
          <w:color w:val="000000"/>
          <w:sz w:val="22"/>
        </w:rPr>
        <w:t>“c”</w:t>
      </w:r>
      <w:r>
        <w:rPr>
          <w:rFonts w:ascii="Times New Roman" w:hAnsi="Times New Roman"/>
          <w:b w:val="false"/>
          <w:i w:val="false"/>
          <w:color w:val="000000"/>
          <w:sz w:val="22"/>
        </w:rPr>
        <w:t>(5). The study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 a department-approved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Involve the collection of data on the removal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or a surrogate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and related hydrogeologic and WQPs during the full range of operating conditions;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sampling both from the production well(s) and from monitoring wells that are screened and located along the shortest flow path between the SW source and the production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43.11(11)</w:t>
      </w:r>
      <w:r>
        <w:rPr>
          <w:rFonts w:ascii="Times New Roman" w:hAnsi="Times New Roman"/>
          <w:b w:val="false"/>
          <w:i w:val="false"/>
          <w:color w:val="000000"/>
          <w:sz w:val="22"/>
        </w:rPr>
        <w:t> </w:t>
      </w:r>
      <w:r>
        <w:rPr>
          <w:rFonts w:ascii="Times New Roman" w:hAnsi="Times New Roman"/>
          <w:b w:val="false"/>
          <w:i/>
          <w:color w:val="000000"/>
          <w:sz w:val="22"/>
        </w:rPr>
        <w:t xml:space="preserve">Treatment performance toolbox components. </w:t>
      </w:r>
      <w:r>
        <w:rPr>
          <w:rFonts w:ascii="Times New Roman" w:hAnsi="Times New Roman"/>
          <w:b w:val="false"/>
          <w:i w:val="false"/>
          <w:color w:val="000000"/>
          <w:sz w:val="22"/>
        </w:rPr>
        <w:t>This option pertains to physical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filter performance. </w:t>
      </w:r>
      <w:r>
        <w:rPr>
          <w:rFonts w:ascii="Times New Roman" w:hAnsi="Times New Roman"/>
          <w:b w:val="false"/>
          <w:i w:val="false"/>
          <w:color w:val="000000"/>
          <w:sz w:val="22"/>
        </w:rPr>
        <w:t xml:space="preserve">Systems using conventional filtration treatment or direct filtration treatment receive an additional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during any month the system meets the criteria in this paragraph. CFE turbidity must be less than or equal to 0.15 NTU in at least 95 percent of the measurements. Turbidity must be measured as described in </w:t>
      </w:r>
      <w:hyperlink r:id="rId514">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and, if applicable, </w:t>
      </w:r>
      <w:hyperlink r:id="rId515">
        <w:r>
          <w:rPr>
            <w:rStyle w:val="Hyperlink"/>
            <w:rFonts w:ascii="Times New Roman" w:hAnsi="Times New Roman"/>
            <w:b w:val="false"/>
            <w:i w:val="false"/>
            <w:color w:val="000000"/>
            <w:sz w:val="22"/>
          </w:rPr>
          <w:t>43.10(4)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performance. </w:t>
      </w:r>
      <w:r>
        <w:rPr>
          <w:rFonts w:ascii="Times New Roman" w:hAnsi="Times New Roman"/>
          <w:b w:val="false"/>
          <w:i w:val="false"/>
          <w:color w:val="000000"/>
          <w:sz w:val="22"/>
        </w:rPr>
        <w:t xml:space="preserve">Systems using conventional filtration treatment or direct filtration treatment receive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during any month the system meets the criteria in this paragraph, which can be in addition to the CFE 0.5-log credit from </w:t>
      </w:r>
      <w:hyperlink r:id="rId516">
        <w:r>
          <w:rPr>
            <w:rStyle w:val="Hyperlink"/>
            <w:rFonts w:ascii="Times New Roman" w:hAnsi="Times New Roman"/>
            <w:b w:val="false"/>
            <w:i w:val="false"/>
            <w:color w:val="000000"/>
            <w:sz w:val="22"/>
          </w:rPr>
          <w:t>43.11(11)</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these criteria must be based on individual filter turbidity monitoring as described in </w:t>
      </w:r>
      <w:hyperlink r:id="rId517">
        <w:r>
          <w:rPr>
            <w:rStyle w:val="Hyperlink"/>
            <w:rFonts w:ascii="Times New Roman" w:hAnsi="Times New Roman"/>
            <w:b w:val="false"/>
            <w:i w:val="false"/>
            <w:color w:val="000000"/>
            <w:sz w:val="22"/>
          </w:rPr>
          <w:t>43.9(4)</w:t>
        </w:r>
      </w:hyperlink>
      <w:r>
        <w:rPr>
          <w:rFonts w:ascii="Times New Roman" w:hAnsi="Times New Roman"/>
          <w:b w:val="false"/>
          <w:i w:val="false"/>
          <w:color w:val="000000"/>
          <w:sz w:val="22"/>
        </w:rPr>
        <w:t xml:space="preserve"> or </w:t>
      </w:r>
      <w:hyperlink r:id="rId518">
        <w:r>
          <w:rPr>
            <w:rStyle w:val="Hyperlink"/>
            <w:rFonts w:ascii="Times New Roman" w:hAnsi="Times New Roman"/>
            <w:b w:val="false"/>
            <w:i w:val="false"/>
            <w:color w:val="000000"/>
            <w:sz w:val="22"/>
          </w:rPr>
          <w:t>43.10(5)</w:t>
        </w:r>
      </w:hyperlink>
      <w:r>
        <w:rPr>
          <w:rFonts w:ascii="Times New Roman" w:hAnsi="Times New Roman"/>
          <w:b w:val="false"/>
          <w:i w:val="false"/>
          <w:color w:val="000000"/>
          <w:sz w:val="22"/>
        </w:rPr>
        <w: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filtered water turbidity for each individual filter must be less than or equal to 0.15 NTU in at least 95 percent of the measurements recorded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individual filter may have a measured turbidity greater than 0.3 NTU in two consecutive measurements taken 15 minutes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that has received treatment credit for individual filter performance and fails to meet the requirements of </w:t>
      </w:r>
      <w:hyperlink r:id="rId519">
        <w:r>
          <w:rPr>
            <w:rStyle w:val="Hyperlink"/>
            <w:rFonts w:ascii="Times New Roman" w:hAnsi="Times New Roman"/>
            <w:b w:val="false"/>
            <w:i w:val="false"/>
            <w:color w:val="000000"/>
            <w:sz w:val="22"/>
          </w:rPr>
          <w:t>43.11(11)</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 xml:space="preserve">(3) during any month shall not receive a TT violation under </w:t>
      </w:r>
      <w:hyperlink r:id="rId520">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xml:space="preserve"> if the department determines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failure was due to unusual and short-term circumstances that could not reasonably be prevented through optimizing the treatment plant design, operation,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has experienced no more than two such failures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performance. </w:t>
      </w:r>
      <w:r>
        <w:rPr>
          <w:rFonts w:ascii="Times New Roman" w:hAnsi="Times New Roman"/>
          <w:b w:val="false"/>
          <w:i w:val="false"/>
          <w:color w:val="000000"/>
          <w:sz w:val="22"/>
        </w:rPr>
        <w:t xml:space="preserve">The department may approve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drinking water treatment processes based on a demonstration of performance study meeting the criteria in this paragraph. This treatment credit may be greater than or less than the prescribed treatment credits in </w:t>
      </w:r>
      <w:hyperlink r:id="rId521">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 xml:space="preserve"> or </w:t>
      </w:r>
      <w:hyperlink r:id="rId522">
        <w:r>
          <w:rPr>
            <w:rStyle w:val="Hyperlink"/>
            <w:rFonts w:ascii="Times New Roman" w:hAnsi="Times New Roman"/>
            <w:b w:val="false"/>
            <w:i w:val="false"/>
            <w:color w:val="000000"/>
            <w:sz w:val="22"/>
          </w:rPr>
          <w:t>43.11(10)</w:t>
        </w:r>
      </w:hyperlink>
      <w:r>
        <w:rPr>
          <w:rFonts w:ascii="Times New Roman" w:hAnsi="Times New Roman"/>
          <w:b w:val="false"/>
          <w:i w:val="false"/>
          <w:color w:val="000000"/>
          <w:sz w:val="22"/>
        </w:rPr>
        <w:t xml:space="preserve"> through </w:t>
      </w:r>
      <w:hyperlink r:id="rId523">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and may be awarded to treatment processes that do not meet the criteria for the prescribed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cannot receive the prescribed treatment credit for any toolbox option in </w:t>
      </w:r>
      <w:hyperlink r:id="rId524">
        <w:r>
          <w:rPr>
            <w:rStyle w:val="Hyperlink"/>
            <w:rFonts w:ascii="Times New Roman" w:hAnsi="Times New Roman"/>
            <w:b w:val="false"/>
            <w:i w:val="false"/>
            <w:color w:val="000000"/>
            <w:sz w:val="22"/>
          </w:rPr>
          <w:t>43.11(10)</w:t>
        </w:r>
      </w:hyperlink>
      <w:r>
        <w:rPr>
          <w:rFonts w:ascii="Times New Roman" w:hAnsi="Times New Roman"/>
          <w:b w:val="false"/>
          <w:i w:val="false"/>
          <w:color w:val="000000"/>
          <w:sz w:val="22"/>
        </w:rPr>
        <w:t xml:space="preserve"> through </w:t>
      </w:r>
      <w:hyperlink r:id="rId525">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if that toolbox option is included in a demonstration of performance study for which treatment credit is awarded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demonstration of performance study must follow a department-approved protocol and must demonstrate the level of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reduction the treatment process will achieve under the full range of expected operating conditions for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 approval must be in writing and may include monitoring and treatment performance criteria that the system must demonstrate and report on an ongoing basis to remain eligible for the treatment credit. The department may designate such criteria where necessary to verify that the conditions under which the demonstration of performance credit was approved are maintained during routine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43.11(12)</w:t>
      </w:r>
      <w:r>
        <w:rPr>
          <w:rFonts w:ascii="Times New Roman" w:hAnsi="Times New Roman"/>
          <w:b w:val="false"/>
          <w:i w:val="false"/>
          <w:color w:val="000000"/>
          <w:sz w:val="22"/>
        </w:rPr>
        <w:t> </w:t>
      </w:r>
      <w:r>
        <w:rPr>
          <w:rFonts w:ascii="Times New Roman" w:hAnsi="Times New Roman"/>
          <w:b w:val="false"/>
          <w:i/>
          <w:color w:val="000000"/>
          <w:sz w:val="22"/>
        </w:rPr>
        <w:t xml:space="preserve">Additional filtration toolbox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Bag and cartridge filters. </w:t>
      </w:r>
      <w:r>
        <w:rPr>
          <w:rFonts w:ascii="Times New Roman" w:hAnsi="Times New Roman"/>
          <w:b w:val="false"/>
          <w:i w:val="false"/>
          <w:color w:val="000000"/>
          <w:sz w:val="22"/>
        </w:rPr>
        <w:t xml:space="preserve">By meeting the criteria in this paragraph, systems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of up to 2.0-log for the use of individual bag or cartridge filters and up to 2.5-log for the use of bag or cartridge filters operated in series. To be eligible for this credit, systems must report the results of challenge testing that meets the requirements of </w:t>
      </w:r>
      <w:hyperlink r:id="rId526">
        <w:r>
          <w:rPr>
            <w:rStyle w:val="Hyperlink"/>
            <w:rFonts w:ascii="Times New Roman" w:hAnsi="Times New Roman"/>
            <w:b w:val="false"/>
            <w:i w:val="false"/>
            <w:color w:val="000000"/>
            <w:sz w:val="22"/>
          </w:rPr>
          <w:t>43.11(12)</w:t>
        </w:r>
      </w:hyperlink>
      <w:r>
        <w:rPr>
          <w:rFonts w:ascii="Times New Roman" w:hAnsi="Times New Roman"/>
          <w:b w:val="false"/>
          <w:i/>
          <w:color w:val="000000"/>
          <w:sz w:val="22"/>
        </w:rPr>
        <w:t>“a”</w:t>
      </w:r>
      <w:r>
        <w:rPr>
          <w:rFonts w:ascii="Times New Roman" w:hAnsi="Times New Roman"/>
          <w:b w:val="false"/>
          <w:i w:val="false"/>
          <w:color w:val="000000"/>
          <w:sz w:val="22"/>
        </w:rPr>
        <w:t xml:space="preserve">(2) through </w:t>
      </w:r>
      <w:r>
        <w:rPr>
          <w:rFonts w:ascii="Times New Roman" w:hAnsi="Times New Roman"/>
          <w:b w:val="false"/>
          <w:i/>
          <w:color w:val="000000"/>
          <w:sz w:val="22"/>
        </w:rPr>
        <w:t>“a”</w:t>
      </w:r>
      <w:r>
        <w:rPr>
          <w:rFonts w:ascii="Times New Roman" w:hAnsi="Times New Roman"/>
          <w:b w:val="false"/>
          <w:i w:val="false"/>
          <w:color w:val="000000"/>
          <w:sz w:val="22"/>
        </w:rPr>
        <w:t>(9) to the department. The filters must treat the entire plant flow taken from a SW or IGW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awarded for use of bag or cartridge filters must be based on the removal efficiency demonstrated during challenge testing conducted in accordance with the criteria in </w:t>
      </w:r>
      <w:hyperlink r:id="rId527">
        <w:r>
          <w:rPr>
            <w:rStyle w:val="Hyperlink"/>
            <w:rFonts w:ascii="Times New Roman" w:hAnsi="Times New Roman"/>
            <w:b w:val="false"/>
            <w:i w:val="false"/>
            <w:color w:val="000000"/>
            <w:sz w:val="22"/>
          </w:rPr>
          <w:t>43.11(12)</w:t>
        </w:r>
      </w:hyperlink>
      <w:r>
        <w:rPr>
          <w:rFonts w:ascii="Times New Roman" w:hAnsi="Times New Roman"/>
          <w:b w:val="false"/>
          <w:i/>
          <w:color w:val="000000"/>
          <w:sz w:val="22"/>
        </w:rPr>
        <w:t>“a”</w:t>
      </w:r>
      <w:r>
        <w:rPr>
          <w:rFonts w:ascii="Times New Roman" w:hAnsi="Times New Roman"/>
          <w:b w:val="false"/>
          <w:i w:val="false"/>
          <w:color w:val="000000"/>
          <w:sz w:val="22"/>
        </w:rPr>
        <w:t xml:space="preserve">(2) through </w:t>
      </w:r>
      <w:r>
        <w:rPr>
          <w:rFonts w:ascii="Times New Roman" w:hAnsi="Times New Roman"/>
          <w:b w:val="false"/>
          <w:i/>
          <w:color w:val="000000"/>
          <w:sz w:val="22"/>
        </w:rPr>
        <w:t>“a”</w:t>
      </w:r>
      <w:r>
        <w:rPr>
          <w:rFonts w:ascii="Times New Roman" w:hAnsi="Times New Roman"/>
          <w:b w:val="false"/>
          <w:i w:val="false"/>
          <w:color w:val="000000"/>
          <w:sz w:val="22"/>
        </w:rPr>
        <w:t xml:space="preserve">(9). A safety factor equal to 1-log for individual bag or cartridge filters and 0.5-log for bag or cartridge filters in series must be applied to challenge testing results to determine removal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challenge testing on full-scale bag or cartridge filters and associated filter housing or pressure vessels that are identical in material and construction to the filters and housings the system will use for removal of </w:t>
      </w:r>
      <w:r>
        <w:rPr>
          <w:rFonts w:ascii="Times New Roman" w:hAnsi="Times New Roman"/>
          <w:b w:val="false"/>
          <w:i/>
          <w:color w:val="000000"/>
          <w:sz w:val="22"/>
        </w:rPr>
        <w:t>Cryptosporidium</w:t>
      </w:r>
      <w:r>
        <w:rPr>
          <w:rFonts w:ascii="Times New Roman" w:hAnsi="Times New Roman"/>
          <w:b w:val="false"/>
          <w:i w:val="false"/>
          <w:color w:val="000000"/>
          <w:sz w:val="22"/>
        </w:rPr>
        <w:t>. Bag or cartridge filters must be challenge tested in the same configuration that the system will use, either as individual filters or as a series configuration of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challenge testing using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or a surrogate that is removed no more efficiently than </w:t>
      </w:r>
      <w:r>
        <w:rPr>
          <w:rFonts w:ascii="Times New Roman" w:hAnsi="Times New Roman"/>
          <w:b w:val="false"/>
          <w:i/>
          <w:color w:val="000000"/>
          <w:sz w:val="22"/>
        </w:rPr>
        <w:t>Cryptosporidium</w:t>
      </w:r>
      <w:r>
        <w:rPr>
          <w:rFonts w:ascii="Times New Roman" w:hAnsi="Times New Roman"/>
          <w:b w:val="false"/>
          <w:i w:val="false"/>
          <w:color w:val="000000"/>
          <w:sz w:val="22"/>
        </w:rPr>
        <w:t>. The microorganism or surrogate used during challenge testing is referred to as the challenge particulate. The challenge particulate concentration must be determined using a method capable of discretely quantifying the specific microorganisms or surrogate used in the test; gross measurements such as turbidity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feed water concentration that can be used during a challenge test must be based on the detection limit of the challenge particulate in the filtrate (i.e., filtrate detection limit) and must be calculated using this equation:</w:t>
      </w:r>
    </w:p>
    <w:p>
      <w:pPr>
        <w:spacing w:before="0" w:after="0"/>
        <w:ind w:left="120"/>
        <w:jc w:val="both"/>
      </w:pPr>
      <w:r>
        <w:rPr>
          <w:rFonts w:ascii="Times New Roman" w:hAnsi="Times New Roman"/>
          <w:b w:val="false"/>
          <w:i w:val="false"/>
          <w:color w:val="000000"/>
          <w:sz w:val="22"/>
        </w:rPr>
        <w:t xml:space="preserve"> Maximum Feed Water Concentration = 10,000 × Filtrate Detection Limit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Conduct challenge testing at the maximum design flow rate for the filter specified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filter evaluated must be tested for a duration sufficient to reach 100 percent of the terminal pressure drop, which thereby establishes the maximum pressure drop under which the filter may be used to comply with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 Removal efficiency of a filter must be determined from the results of the challenge test and expressed in terms of log removal values (LRV) using the following equation: </w:t>
      </w:r>
    </w:p>
    <w:p>
      <w:pPr>
        <w:spacing w:before="0" w:after="0"/>
        <w:ind w:left="120"/>
        <w:jc w:val="both"/>
      </w:pPr>
      <w:r>
        <w:rPr>
          <w:rFonts w:ascii="Times New Roman" w:hAnsi="Times New Roman"/>
          <w:b w:val="false"/>
          <w:i w:val="false"/>
          <w:color w:val="000000"/>
          <w:sz w:val="22"/>
        </w:rPr>
        <w:t>LRV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 xml:space="preserve">LRV = log removal value demonstrated during challenge test; </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xml:space="preserve"> = feed concentration measured during challenge test; and </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 filtrate concentration measured during challenge test. </w:t>
      </w:r>
    </w:p>
    <w:p>
      <w:pPr>
        <w:spacing w:before="0" w:after="0"/>
        <w:ind w:left="120"/>
        <w:jc w:val="both"/>
      </w:pPr>
      <w:r>
        <w:rPr>
          <w:rFonts w:ascii="Times New Roman" w:hAnsi="Times New Roman"/>
          <w:b w:val="false"/>
          <w:i w:val="false"/>
          <w:color w:val="000000"/>
          <w:sz w:val="22"/>
        </w:rPr>
        <w:t>Equivalent units must be used for the feed and filtrate concentrations. If the challenge particulate is not detected in the filtrate, the term 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must be set equal to the detection limit.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filter tested must be challenged with the challenge particulate during three periods over the filtration cycle: within two hours of start-up of a new filter; when the pressure drop is between 45 and 55 percent of the terminal pressure drop; and at the end of the cycle after the pressure drop has reached 100 percent of the terminal pressure drop. An LRV must be calculated for each of these challenge periods for each filter tested. The LRV for the filter (LRV</w:t>
      </w:r>
      <w:r>
        <w:rPr>
          <w:rFonts w:ascii="Times New Roman" w:hAnsi="Times New Roman"/>
          <w:b w:val="false"/>
          <w:i w:val="false"/>
          <w:color w:val="000000"/>
          <w:sz w:val="18"/>
          <w:vertAlign w:val="subscript"/>
        </w:rPr>
        <w:t>filter</w:t>
      </w:r>
      <w:r>
        <w:rPr>
          <w:rFonts w:ascii="Times New Roman" w:hAnsi="Times New Roman"/>
          <w:b w:val="false"/>
          <w:i w:val="false"/>
          <w:color w:val="000000"/>
          <w:sz w:val="22"/>
        </w:rPr>
        <w:t>) must be assigned the value of the minimum LRV observed during the three challenge periods for that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fewer than 20 filters are tested, the overall removal efficiency for the filter product line must be set equal to the lowest LRV</w:t>
      </w:r>
      <w:r>
        <w:rPr>
          <w:rFonts w:ascii="Times New Roman" w:hAnsi="Times New Roman"/>
          <w:b w:val="false"/>
          <w:i w:val="false"/>
          <w:color w:val="000000"/>
          <w:sz w:val="18"/>
          <w:vertAlign w:val="subscript"/>
        </w:rPr>
        <w:t>filter</w:t>
      </w:r>
      <w:r>
        <w:rPr>
          <w:rFonts w:ascii="Times New Roman" w:hAnsi="Times New Roman"/>
          <w:b w:val="false"/>
          <w:i w:val="false"/>
          <w:color w:val="000000"/>
          <w:sz w:val="22"/>
        </w:rPr>
        <w:t xml:space="preserve"> among the filters tested. If 20 or more filters are tested, the overall removal efficiency for the filter product line must be set equal to the tenth percentile of the set of LRV</w:t>
      </w:r>
      <w:r>
        <w:rPr>
          <w:rFonts w:ascii="Times New Roman" w:hAnsi="Times New Roman"/>
          <w:b w:val="false"/>
          <w:i w:val="false"/>
          <w:color w:val="000000"/>
          <w:sz w:val="18"/>
          <w:vertAlign w:val="subscript"/>
        </w:rPr>
        <w:t>filter</w:t>
      </w:r>
      <w:r>
        <w:rPr>
          <w:rFonts w:ascii="Times New Roman" w:hAnsi="Times New Roman"/>
          <w:b w:val="false"/>
          <w:i w:val="false"/>
          <w:color w:val="000000"/>
          <w:sz w:val="22"/>
        </w:rPr>
        <w:t xml:space="preserve"> values for the various filters tested. The percentile is defined by [i/(n+1)] where “i” is the rank of “n” individual data points ordered lowest to highest. If necessary, the tenth percentile may be calculated using linear interpolation.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 previously tested filter is modified in a manner that could change the removal efficiency of the filter product line, conduct challenge testing to demonstrate the removal efficiency of the modified filter and submit the results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Membrane filtration.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using membrane filtration that meets the criteria of this paragraph. Systems using membrane cartridge filters that meet the definition of membrane filtration in </w:t>
      </w:r>
      <w:hyperlink r:id="rId528">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are eligible for this credit. The level of treatment credit a system receives is equal to the lower of the values determined under the following two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removal efficiency demonstrated during challenge testing conducted under the criteria in </w:t>
      </w:r>
      <w:hyperlink r:id="rId529">
        <w:r>
          <w:rPr>
            <w:rStyle w:val="Hyperlink"/>
            <w:rFonts w:ascii="Times New Roman" w:hAnsi="Times New Roman"/>
            <w:b w:val="false"/>
            <w:i w:val="false"/>
            <w:color w:val="000000"/>
            <w:sz w:val="22"/>
          </w:rPr>
          <w:t>43.11(12)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removal efficiency that can be verified through DIT used with the membrane filtration process under the conditions in </w:t>
      </w:r>
      <w:hyperlink r:id="rId530">
        <w:r>
          <w:rPr>
            <w:rStyle w:val="Hyperlink"/>
            <w:rFonts w:ascii="Times New Roman" w:hAnsi="Times New Roman"/>
            <w:b w:val="false"/>
            <w:i w:val="false"/>
            <w:color w:val="000000"/>
            <w:sz w:val="22"/>
          </w:rPr>
          <w:t>43.11(12)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Challenge testing. The membrane used by the system must undergo challenge testing to evaluate removal efficiency, and the system must report the challenge testing results to the department. Conduct challenge testing according to the criteria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 challenge testing on either a full-scale membrane module, identical in material and construction to the membrane modules used in the system’s treatment facility, or a smaller-scale membrane module, identical in material and similar in construction to the full-scale module. A module is defined as the smallest component of a membrane unit in which a specific membrane surface area is housed in a device with a filtrate outlet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challenge testing using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 or a surrogate that is removed no more efficiently than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oocysts. The organisms or surrogate used during challenge testing is referred to as the challenge particulate. The concentration of the challenge particulate, in both the feed and filtrate water, must be determined using a method capable of discretely quantifying the specific challenge particulate used in the test; gross measurements such as turbidity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maximum feed water concentration that can be used during a challenge test is based on the detection limit of the challenge particulate in the filtrate and must be determined according to the following equation:</w:t>
      </w:r>
    </w:p>
    <w:p>
      <w:pPr>
        <w:spacing w:before="0" w:after="0"/>
        <w:ind w:left="120"/>
        <w:jc w:val="both"/>
      </w:pPr>
      <w:r>
        <w:rPr>
          <w:rFonts w:ascii="Times New Roman" w:hAnsi="Times New Roman"/>
          <w:b w:val="false"/>
          <w:i w:val="false"/>
          <w:color w:val="000000"/>
          <w:sz w:val="22"/>
        </w:rPr>
        <w:t xml:space="preserve">Maximum Feed Water Concentration = 3,160,000 × Filtrate Detection Limit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Conduct challenge testing under representative hydraulic conditions at the maximum design flux and maximum design process recovery specified by the manufacturer for the membrane module. Flux is defined as the throughput of a pressure-driven membrane process expressed as flow per unit of membrane area. Recovery is defined as the volumetric percent of feed water that is converted to filtrate over the course of an operating cycle uninterrupted by events such as chemical cleaning or a solids removal process (i.e., backwashing).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Calculate removal efficiency of a membrane module using the challenge test results expressed as a log removal value (LRV), according to the following equation:</w:t>
      </w:r>
    </w:p>
    <w:p>
      <w:pPr>
        <w:spacing w:before="0" w:after="0"/>
        <w:ind w:left="120"/>
        <w:jc w:val="both"/>
      </w:pPr>
      <w:r>
        <w:rPr>
          <w:rFonts w:ascii="Times New Roman" w:hAnsi="Times New Roman"/>
          <w:b w:val="false"/>
          <w:i w:val="false"/>
          <w:color w:val="000000"/>
          <w:sz w:val="22"/>
        </w:rPr>
        <w:t>LRV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Where: </w:t>
      </w:r>
    </w:p>
    <w:p>
      <w:pPr>
        <w:spacing w:before="0" w:after="0"/>
        <w:ind w:left="120"/>
        <w:jc w:val="both"/>
      </w:pPr>
      <w:r>
        <w:rPr>
          <w:rFonts w:ascii="Times New Roman" w:hAnsi="Times New Roman"/>
          <w:b w:val="false"/>
          <w:i w:val="false"/>
          <w:color w:val="000000"/>
          <w:sz w:val="22"/>
        </w:rPr>
        <w:t xml:space="preserve">LRV = log removal value demonstrated during challenge test; </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xml:space="preserve"> = feed concentration measured during challenge test; and </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 filtrate concentration measured during challenge test. </w:t>
      </w:r>
    </w:p>
    <w:p>
      <w:pPr>
        <w:spacing w:before="0" w:after="0"/>
        <w:ind w:left="120"/>
        <w:jc w:val="both"/>
      </w:pPr>
      <w:r>
        <w:rPr>
          <w:rFonts w:ascii="Times New Roman" w:hAnsi="Times New Roman"/>
          <w:b w:val="false"/>
          <w:i w:val="false"/>
          <w:color w:val="000000"/>
          <w:sz w:val="22"/>
        </w:rPr>
        <w:t>Use equivalent units for the feed and filtrate concentrations. If the challenge particulate is not detected in the filtrate, the term 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must be set equal to the detection limit for the purpose of calculating the LRV. An LRV must be calculated for each membrane module evaluated during the challenge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removal efficiency of a membrane filtration process demonstrated during challenge testing must be expressed as a log removal value (LRV</w:t>
      </w:r>
      <w:r>
        <w:rPr>
          <w:rFonts w:ascii="Times New Roman" w:hAnsi="Times New Roman"/>
          <w:b w:val="false"/>
          <w:i w:val="false"/>
          <w:color w:val="000000"/>
          <w:sz w:val="18"/>
          <w:vertAlign w:val="subscript"/>
        </w:rPr>
        <w:t>C-Test</w:t>
      </w:r>
      <w:r>
        <w:rPr>
          <w:rFonts w:ascii="Times New Roman" w:hAnsi="Times New Roman"/>
          <w:b w:val="false"/>
          <w:i w:val="false"/>
          <w:color w:val="000000"/>
          <w:sz w:val="22"/>
        </w:rPr>
        <w:t>). If fewer than 20 modules are tested, then LRV</w:t>
      </w:r>
      <w:r>
        <w:rPr>
          <w:rFonts w:ascii="Times New Roman" w:hAnsi="Times New Roman"/>
          <w:b w:val="false"/>
          <w:i w:val="false"/>
          <w:color w:val="000000"/>
          <w:sz w:val="18"/>
          <w:vertAlign w:val="subscript"/>
        </w:rPr>
        <w:t>C-Test</w:t>
      </w:r>
      <w:r>
        <w:rPr>
          <w:rFonts w:ascii="Times New Roman" w:hAnsi="Times New Roman"/>
          <w:b w:val="false"/>
          <w:i w:val="false"/>
          <w:color w:val="000000"/>
          <w:sz w:val="22"/>
        </w:rPr>
        <w:t xml:space="preserve"> is equal to the lowest of the representative LRVs among the modules tested. If 20 or more modules are tested, then LRV</w:t>
      </w:r>
      <w:r>
        <w:rPr>
          <w:rFonts w:ascii="Times New Roman" w:hAnsi="Times New Roman"/>
          <w:b w:val="false"/>
          <w:i w:val="false"/>
          <w:color w:val="000000"/>
          <w:sz w:val="18"/>
          <w:vertAlign w:val="subscript"/>
        </w:rPr>
        <w:t>C-Test</w:t>
      </w:r>
      <w:r>
        <w:rPr>
          <w:rFonts w:ascii="Times New Roman" w:hAnsi="Times New Roman"/>
          <w:b w:val="false"/>
          <w:i w:val="false"/>
          <w:color w:val="000000"/>
          <w:sz w:val="22"/>
        </w:rPr>
        <w:t xml:space="preserve"> is equal to the tenth percentile of the representative LRVs among the modules tested. The percentile is defined by [i/(n+1)] where “i” is the rank of “n” individual data points ordered lowest to highest. If necessary, the tenth percentile may be calculated using linear interpolation.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challenge test must establish a quality control release value (QCRV) for a nondestructive performance test that demonstrates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removal capability of the membrane filtration module. In order to verify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removal capability, this performance test must be applied to each production membrane module that was not directly challenge tested but was used by the system. Production modules that do not meet the established QCRV are not eligible for the treatment credit demonstrated during the challenge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 previously tested membrane is modified in a manner that could change the removal efficiency of the membrane or the applicability of the nondestructive performance test and associated QCRV, conduct additional challenge testing to demonstrate the removal efficiency of the modified membrane and submit the results to the department, along with determination of a new QCRV.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 integrity testing (DIT). Systems must conduct DITs in a manner that demonstrates a removal efficiency equal to or greater than the removal credit awarded for the membrane filtration process and meets the requirements of this subparagraph. A DIT is defined as a physical test applied to a membrane unit in order to identify and isolate integrity breaches (i.e., one or more leaks that could result in contamination of the filtrate).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DIT must be independently applied to each membrane unit in service. A membrane unit is defined as a group of membrane modules that share common valving that allows the unit to be isolated from the rest of the system for the purpose of integrity testing or other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DIT method must have a resolution of 3 micrometers or less, where resolution is defined as the size of the smallest integrity breach that contributes to a response from the 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DIT must have a sensitivity sufficient to verify the log treatment credit awarded by the department for the membrane filtration process, where sensitivity is defined as the maximum LRV that can be reliably verified by a DIT. Sensitivity must be determined using the approach applicable to the type of DIT the system uses,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DITs using applied pressure or vacuum, calculate test sensitivity using the following equation:</w:t>
      </w:r>
    </w:p>
    <w:p>
      <w:pPr>
        <w:spacing w:before="0" w:after="0"/>
        <w:ind w:left="120"/>
        <w:jc w:val="both"/>
      </w:pPr>
      <w:r>
        <w:rPr>
          <w:rFonts w:ascii="Times New Roman" w:hAnsi="Times New Roman"/>
          <w:b w:val="false"/>
          <w:i w:val="false"/>
          <w:color w:val="000000"/>
          <w:sz w:val="22"/>
        </w:rPr>
        <w:t>LRV</w:t>
      </w:r>
      <w:r>
        <w:rPr>
          <w:rFonts w:ascii="Times New Roman" w:hAnsi="Times New Roman"/>
          <w:b w:val="false"/>
          <w:i w:val="false"/>
          <w:color w:val="000000"/>
          <w:sz w:val="18"/>
          <w:vertAlign w:val="subscript"/>
        </w:rPr>
        <w:t>DIT</w:t>
      </w:r>
      <w:r>
        <w:rPr>
          <w:rFonts w:ascii="Times New Roman" w:hAnsi="Times New Roman"/>
          <w:b w:val="false"/>
          <w:i w:val="false"/>
          <w:color w:val="000000"/>
          <w:sz w:val="22"/>
        </w:rPr>
        <w:t xml:space="preserve">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[Q</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/(VCF × Q</w:t>
      </w:r>
      <w:r>
        <w:rPr>
          <w:rFonts w:ascii="Times New Roman" w:hAnsi="Times New Roman"/>
          <w:b w:val="false"/>
          <w:i w:val="false"/>
          <w:color w:val="000000"/>
          <w:sz w:val="18"/>
          <w:vertAlign w:val="subscript"/>
        </w:rPr>
        <w:t>breach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LRV</w:t>
      </w:r>
      <w:r>
        <w:rPr>
          <w:rFonts w:ascii="Times New Roman" w:hAnsi="Times New Roman"/>
          <w:b w:val="false"/>
          <w:i w:val="false"/>
          <w:color w:val="000000"/>
          <w:sz w:val="18"/>
          <w:vertAlign w:val="subscript"/>
        </w:rPr>
        <w:t>DIT</w:t>
      </w:r>
      <w:r>
        <w:rPr>
          <w:rFonts w:ascii="Times New Roman" w:hAnsi="Times New Roman"/>
          <w:b w:val="false"/>
          <w:i w:val="false"/>
          <w:color w:val="000000"/>
          <w:sz w:val="22"/>
        </w:rPr>
        <w:t xml:space="preserve"> = the sensitivity of the DIT;</w:t>
      </w:r>
    </w:p>
    <w:p>
      <w:pPr>
        <w:spacing w:before="0" w:after="0"/>
        <w:ind w:left="120"/>
        <w:jc w:val="both"/>
      </w:pPr>
      <w:r>
        <w:rPr>
          <w:rFonts w:ascii="Times New Roman" w:hAnsi="Times New Roman"/>
          <w:b w:val="false"/>
          <w:i w:val="false"/>
          <w:color w:val="000000"/>
          <w:sz w:val="22"/>
        </w:rPr>
        <w:t>Q</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 total design filtrate flow from the membrane unit;</w:t>
      </w:r>
    </w:p>
    <w:p>
      <w:pPr>
        <w:spacing w:before="0" w:after="0"/>
        <w:ind w:left="120"/>
        <w:jc w:val="both"/>
      </w:pPr>
      <w:r>
        <w:rPr>
          <w:rFonts w:ascii="Times New Roman" w:hAnsi="Times New Roman"/>
          <w:b w:val="false"/>
          <w:i w:val="false"/>
          <w:color w:val="000000"/>
          <w:sz w:val="22"/>
        </w:rPr>
        <w:t>Q</w:t>
      </w:r>
      <w:r>
        <w:rPr>
          <w:rFonts w:ascii="Times New Roman" w:hAnsi="Times New Roman"/>
          <w:b w:val="false"/>
          <w:i w:val="false"/>
          <w:color w:val="000000"/>
          <w:sz w:val="18"/>
          <w:vertAlign w:val="subscript"/>
        </w:rPr>
        <w:t>breach</w:t>
      </w:r>
      <w:r>
        <w:rPr>
          <w:rFonts w:ascii="Times New Roman" w:hAnsi="Times New Roman"/>
          <w:b w:val="false"/>
          <w:i w:val="false"/>
          <w:color w:val="000000"/>
          <w:sz w:val="22"/>
        </w:rPr>
        <w:t xml:space="preserve"> = flow of water from an integrity breach associated with the smallest integrity test response that can be reliably measured; and</w:t>
      </w:r>
    </w:p>
    <w:p>
      <w:pPr>
        <w:spacing w:before="0" w:after="0"/>
        <w:ind w:left="120"/>
        <w:jc w:val="both"/>
      </w:pPr>
      <w:r>
        <w:rPr>
          <w:rFonts w:ascii="Times New Roman" w:hAnsi="Times New Roman"/>
          <w:b w:val="false"/>
          <w:i w:val="false"/>
          <w:color w:val="000000"/>
          <w:sz w:val="22"/>
        </w:rPr>
        <w:t>VCF = volumetric concentration factor, which is the ratio of the suspended solids concentration on the high-pressure side of the membrane relative to that in the feed 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DITs using a particulate or molecular marker, calculate test sensitivity using the following equation:</w:t>
      </w:r>
    </w:p>
    <w:p>
      <w:pPr>
        <w:spacing w:before="0" w:after="0"/>
        <w:ind w:left="120"/>
        <w:jc w:val="both"/>
      </w:pPr>
      <w:r>
        <w:rPr>
          <w:rFonts w:ascii="Times New Roman" w:hAnsi="Times New Roman"/>
          <w:b w:val="false"/>
          <w:i w:val="false"/>
          <w:color w:val="000000"/>
          <w:sz w:val="22"/>
        </w:rPr>
        <w:t>LRV</w:t>
      </w:r>
      <w:r>
        <w:rPr>
          <w:rFonts w:ascii="Times New Roman" w:hAnsi="Times New Roman"/>
          <w:b w:val="false"/>
          <w:i w:val="false"/>
          <w:color w:val="000000"/>
          <w:sz w:val="18"/>
          <w:vertAlign w:val="subscript"/>
        </w:rPr>
        <w:t>DIT</w:t>
      </w:r>
      <w:r>
        <w:rPr>
          <w:rFonts w:ascii="Times New Roman" w:hAnsi="Times New Roman"/>
          <w:b w:val="false"/>
          <w:i w:val="false"/>
          <w:color w:val="000000"/>
          <w:sz w:val="22"/>
        </w:rPr>
        <w:t xml:space="preserve">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 LOG</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LRV</w:t>
      </w:r>
      <w:r>
        <w:rPr>
          <w:rFonts w:ascii="Times New Roman" w:hAnsi="Times New Roman"/>
          <w:b w:val="false"/>
          <w:i w:val="false"/>
          <w:color w:val="000000"/>
          <w:sz w:val="18"/>
          <w:vertAlign w:val="subscript"/>
        </w:rPr>
        <w:t>DIT</w:t>
      </w:r>
      <w:r>
        <w:rPr>
          <w:rFonts w:ascii="Times New Roman" w:hAnsi="Times New Roman"/>
          <w:b w:val="false"/>
          <w:i w:val="false"/>
          <w:color w:val="000000"/>
          <w:sz w:val="22"/>
        </w:rPr>
        <w:t xml:space="preserve"> = the sensitivity of the DIT;</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f</w:t>
      </w:r>
      <w:r>
        <w:rPr>
          <w:rFonts w:ascii="Times New Roman" w:hAnsi="Times New Roman"/>
          <w:b w:val="false"/>
          <w:i w:val="false"/>
          <w:color w:val="000000"/>
          <w:sz w:val="22"/>
        </w:rPr>
        <w:t xml:space="preserve"> = typical feed concentration of the marker used in the test; and</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p</w:t>
      </w:r>
      <w:r>
        <w:rPr>
          <w:rFonts w:ascii="Times New Roman" w:hAnsi="Times New Roman"/>
          <w:b w:val="false"/>
          <w:i w:val="false"/>
          <w:color w:val="000000"/>
          <w:sz w:val="22"/>
        </w:rPr>
        <w:t xml:space="preserve"> = filtrate concentration of the marker from an integral membrane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 a control limit within the sensitivity limits of the DIT that is indicative of an integral membrane unit capable of meeting the removal credit awarded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 of a DIT exceeds the control limit established under </w:t>
      </w:r>
      <w:hyperlink r:id="rId531">
        <w:r>
          <w:rPr>
            <w:rStyle w:val="Hyperlink"/>
            <w:rFonts w:ascii="Times New Roman" w:hAnsi="Times New Roman"/>
            <w:b w:val="false"/>
            <w:i w:val="false"/>
            <w:color w:val="000000"/>
            <w:sz w:val="22"/>
          </w:rPr>
          <w:t>43.11(12)</w:t>
        </w:r>
      </w:hyperlink>
      <w:r>
        <w:rPr>
          <w:rFonts w:ascii="Times New Roman" w:hAnsi="Times New Roman"/>
          <w:b w:val="false"/>
          <w:i/>
          <w:color w:val="000000"/>
          <w:sz w:val="22"/>
        </w:rPr>
        <w:t>“b”</w:t>
      </w:r>
      <w:r>
        <w:rPr>
          <w:rFonts w:ascii="Times New Roman" w:hAnsi="Times New Roman"/>
          <w:b w:val="false"/>
          <w:i w:val="false"/>
          <w:color w:val="000000"/>
          <w:sz w:val="22"/>
        </w:rPr>
        <w:t>(3)“4,” the system must remove the membrane unit from service. Systems must conduct a DIT to verify any repairs and may return the membrane unit to service only if the DIT is within the established control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a DIT on each membrane unit at a frequency of not less than once each day that the membrane unit is in operation. The department may approve less frequent testing, based on demonstrated process reliability, the use of multiple barriers effective for </w:t>
      </w:r>
      <w:r>
        <w:rPr>
          <w:rFonts w:ascii="Times New Roman" w:hAnsi="Times New Roman"/>
          <w:b w:val="false"/>
          <w:i/>
          <w:color w:val="000000"/>
          <w:sz w:val="22"/>
        </w:rPr>
        <w:t>Cryptosporidium</w:t>
      </w:r>
      <w:r>
        <w:rPr>
          <w:rFonts w:ascii="Times New Roman" w:hAnsi="Times New Roman"/>
          <w:b w:val="false"/>
          <w:i w:val="false"/>
          <w:color w:val="000000"/>
          <w:sz w:val="22"/>
        </w:rPr>
        <w:t>, or reliable process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Indirect integrity monitoring. Systems must conduct continuous indirect integrity monitoring on each membrane unit according to the following criteria. Indirect integrity monitoring is defined as monitoring some aspect of filtrate water quality that is indicative of the removal of particulate matter. A system that implements continuous DITs of membrane units in accordance with  </w:t>
      </w:r>
      <w:hyperlink r:id="rId532">
        <w:r>
          <w:rPr>
            <w:rStyle w:val="Hyperlink"/>
            <w:rFonts w:ascii="Times New Roman" w:hAnsi="Times New Roman"/>
            <w:b w:val="false"/>
            <w:i w:val="false"/>
            <w:color w:val="000000"/>
            <w:sz w:val="22"/>
          </w:rPr>
          <w:t>43.11(12)</w:t>
        </w:r>
      </w:hyperlink>
      <w:r>
        <w:rPr>
          <w:rFonts w:ascii="Times New Roman" w:hAnsi="Times New Roman"/>
          <w:b w:val="false"/>
          <w:i/>
          <w:color w:val="000000"/>
          <w:sz w:val="22"/>
        </w:rPr>
        <w:t>“b”</w:t>
      </w:r>
      <w:r>
        <w:rPr>
          <w:rFonts w:ascii="Times New Roman" w:hAnsi="Times New Roman"/>
          <w:b w:val="false"/>
          <w:i w:val="false"/>
          <w:color w:val="000000"/>
          <w:sz w:val="22"/>
        </w:rPr>
        <w:t>(3) is not subject to the continuous indirect integrity monitoring requirements. Systems must submit a monthly report to the department summarizing all continuous indirect integrity monitoring results triggering direct integrity testing and the corrective action that was taken in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Continuous indirect integrity monitoring must: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Include continuous filtrate turbidity monitoring, unless the department approves an alternative parameter;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conducted at a frequency of no less than once every 15 minutes;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separately conducted on each membrane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indirect integrity monitoring includes turbidity and if the filtrate turbidity readings are above 0.15 NTU for a period greater than 15 minutes (i.e., two consecutive 15-minute readings above 0.15 NTU), DIT must immediately be performed on the associated membrane unit as specified in </w:t>
      </w:r>
      <w:hyperlink r:id="rId533">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(3)“1”</w:t>
        </w:r>
      </w:hyperlink>
      <w:r>
        <w:rPr>
          <w:rFonts w:ascii="Times New Roman" w:hAnsi="Times New Roman"/>
          <w:b w:val="false"/>
          <w:i w:val="false"/>
          <w:color w:val="000000"/>
          <w:sz w:val="22"/>
        </w:rPr>
        <w:t xml:space="preserve">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indirect integrity monitoring includes a department-approved alternative parameter and if the alternative parameter exceeds a department-approved control limit for a period greater than 15 minutes, DIT must immediately be performed on the associated membrane units as specified in </w:t>
      </w:r>
      <w:hyperlink r:id="rId534">
        <w:r>
          <w:rPr>
            <w:rStyle w:val="Hyperlink"/>
            <w:rFonts w:ascii="Times New Roman" w:hAnsi="Times New Roman"/>
            <w:b w:val="false"/>
            <w:i w:val="false"/>
            <w:color w:val="000000"/>
            <w:sz w:val="22"/>
          </w:rPr>
          <w:t>43.11(12)</w:t>
        </w:r>
        <w:r>
          <w:rPr>
            <w:rFonts w:ascii="Times New Roman" w:hAnsi="Times New Roman"/>
            <w:b w:val="false"/>
            <w:i/>
            <w:color w:val="000000"/>
            <w:sz w:val="22"/>
          </w:rPr>
          <w:t>“b”</w:t>
        </w:r>
        <w:r>
          <w:rPr>
            <w:rFonts w:ascii="Times New Roman" w:hAnsi="Times New Roman"/>
            <w:b w:val="false"/>
            <w:i w:val="false"/>
            <w:color w:val="000000"/>
            <w:sz w:val="22"/>
          </w:rPr>
          <w:t>(3)“1”</w:t>
        </w:r>
      </w:hyperlink>
      <w:r>
        <w:rPr>
          <w:rFonts w:ascii="Times New Roman" w:hAnsi="Times New Roman"/>
          <w:b w:val="false"/>
          <w:i w:val="false"/>
          <w:color w:val="000000"/>
          <w:sz w:val="22"/>
        </w:rPr>
        <w:t xml:space="preserve">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Second-stage filtration. </w:t>
      </w:r>
      <w:r>
        <w:rPr>
          <w:rFonts w:ascii="Times New Roman" w:hAnsi="Times New Roman"/>
          <w:b w:val="false"/>
          <w:i w:val="false"/>
          <w:color w:val="000000"/>
          <w:sz w:val="22"/>
        </w:rPr>
        <w:t xml:space="preserve">Systems receive 0.5-log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using a separate second stage of filtration that consists of sand, dual media, GAC, or other fine-grain media following granular media filtration, if the department approves. To be eligible for this credit, the first stage of filtration must be preceded by a coagulation step and both filtration stages must treat the entire plant flow taken from a SW or IGW source. A cap, such as GAC, on a single stage of filtration is not eligible for this credit. The department must approve the treatment credit based on an assessment of the design characteristics of the filtration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Slow sand filtration (as secondary filter). </w:t>
      </w:r>
      <w:r>
        <w:rPr>
          <w:rFonts w:ascii="Times New Roman" w:hAnsi="Times New Roman"/>
          <w:b w:val="false"/>
          <w:i w:val="false"/>
          <w:color w:val="000000"/>
          <w:sz w:val="22"/>
        </w:rPr>
        <w:t xml:space="preserve">Systems are eligible to receive 2.5-log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for using a slow sand filtration process that follows a separate stage of filtration if both filtration stages treat the entire plant flow taken from a SW or IGW source and no disinfectant residual is present in the influent water to the slow sand filtration process. The department must approve the treatment credit based on an assessment of the design characteristics of the filtration process. This does not apply to treatment credit awarded for slow sand filtration used as a primary filtration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43.11(13)</w:t>
      </w:r>
      <w:r>
        <w:rPr>
          <w:rFonts w:ascii="Times New Roman" w:hAnsi="Times New Roman"/>
          <w:b w:val="false"/>
          <w:i w:val="false"/>
          <w:color w:val="000000"/>
          <w:sz w:val="22"/>
        </w:rPr>
        <w:t> </w:t>
      </w:r>
      <w:r>
        <w:rPr>
          <w:rFonts w:ascii="Times New Roman" w:hAnsi="Times New Roman"/>
          <w:b w:val="false"/>
          <w:i/>
          <w:color w:val="000000"/>
          <w:sz w:val="22"/>
        </w:rPr>
        <w:t xml:space="preserve">Inactivation toolbox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CT values.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CT is the product of the disinfectant contact time (T, in minutes) and disinfectant concentration (C, in milligrams per liter). Systems with treatment credit for chlorine dioxide or ozone under </w:t>
      </w:r>
      <w:hyperlink r:id="rId535">
        <w:r>
          <w:rPr>
            <w:rStyle w:val="Hyperlink"/>
            <w:rFonts w:ascii="Times New Roman" w:hAnsi="Times New Roman"/>
            <w:b w:val="false"/>
            <w:i w:val="false"/>
            <w:color w:val="000000"/>
            <w:sz w:val="22"/>
          </w:rPr>
          <w:t>43.11(13)</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must calculate CT at least once each day, with both C and T measured during peak hourly flow as specified in </w:t>
      </w:r>
      <w:hyperlink r:id="rId536">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with several disinfection segments in sequence may calculate CT for each segment, where a disinfection segment is defined as a treatment unit process with a measurable disinfectant residual level and a liquid volume. Under this approach, systems must add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CT values in each segment to determine the total CT for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CT values for chlorine dioxide and ozone. </w:t>
      </w:r>
      <w:r>
        <w:rPr>
          <w:rFonts w:ascii="Times New Roman" w:hAnsi="Times New Roman"/>
          <w:b w:val="false"/>
          <w:i w:val="false"/>
          <w:color w:val="000000"/>
          <w:sz w:val="22"/>
        </w:rPr>
        <w:t xml:space="preserve">As described in </w:t>
      </w:r>
      <w:hyperlink r:id="rId537">
        <w:r>
          <w:rPr>
            <w:rStyle w:val="Hyperlink"/>
            <w:rFonts w:ascii="Times New Roman" w:hAnsi="Times New Roman"/>
            <w:b w:val="false"/>
            <w:i w:val="false"/>
            <w:color w:val="000000"/>
            <w:sz w:val="22"/>
          </w:rPr>
          <w:t>43.11(13)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receive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in Table 1 of Appendix B by meeting the corresponding chlorine dioxide CT value for the applicable 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receive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credit in Table 2 of Appendix B by meeting the corresponding ozone CT value for the applicable 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Site-specific study. </w:t>
      </w:r>
      <w:r>
        <w:rPr>
          <w:rFonts w:ascii="Times New Roman" w:hAnsi="Times New Roman"/>
          <w:b w:val="false"/>
          <w:i w:val="false"/>
          <w:color w:val="000000"/>
          <w:sz w:val="22"/>
        </w:rPr>
        <w:t xml:space="preserve">The department may approve alternative chlorine dioxide or ozone CT values to those in </w:t>
      </w:r>
      <w:hyperlink r:id="rId538">
        <w:r>
          <w:rPr>
            <w:rStyle w:val="Hyperlink"/>
            <w:rFonts w:ascii="Times New Roman" w:hAnsi="Times New Roman"/>
            <w:b w:val="false"/>
            <w:i w:val="false"/>
            <w:color w:val="000000"/>
            <w:sz w:val="22"/>
          </w:rPr>
          <w:t>43.11(13)</w:t>
        </w:r>
      </w:hyperlink>
      <w:r>
        <w:rPr>
          <w:rFonts w:ascii="Times New Roman" w:hAnsi="Times New Roman"/>
          <w:b w:val="false"/>
          <w:i/>
          <w:color w:val="000000"/>
          <w:sz w:val="22"/>
        </w:rPr>
        <w:t>“b”</w:t>
      </w:r>
      <w:r>
        <w:rPr>
          <w:rFonts w:ascii="Times New Roman" w:hAnsi="Times New Roman"/>
          <w:b w:val="false"/>
          <w:i w:val="false"/>
          <w:color w:val="000000"/>
          <w:sz w:val="22"/>
        </w:rPr>
        <w:t xml:space="preserve"> on a site-specific basis. The department must base its approval on a site-specific study conducted by the system. The study must follow a department-approved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Ultraviolet light (UV). </w:t>
      </w:r>
      <w:r>
        <w:rPr>
          <w:rFonts w:ascii="Times New Roman" w:hAnsi="Times New Roman"/>
          <w:b w:val="false"/>
          <w:i w:val="false"/>
          <w:color w:val="000000"/>
          <w:sz w:val="22"/>
        </w:rPr>
        <w:t xml:space="preserve">Systems receive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t>
      </w:r>
      <w:r>
        <w:rPr>
          <w:rFonts w:ascii="Times New Roman" w:hAnsi="Times New Roman"/>
          <w:b w:val="false"/>
          <w:i/>
          <w:color w:val="000000"/>
          <w:sz w:val="22"/>
        </w:rPr>
        <w:t>Giardia lamblia</w:t>
      </w:r>
      <w:r>
        <w:rPr>
          <w:rFonts w:ascii="Times New Roman" w:hAnsi="Times New Roman"/>
          <w:b w:val="false"/>
          <w:i w:val="false"/>
          <w:color w:val="000000"/>
          <w:sz w:val="22"/>
        </w:rPr>
        <w:t>, and virus treatment credits for UV light reactors by achieving the corresponding UV dose values in Table 3 of Appendix B. Systems must use the following procedures to validate and monitor UV reactors in order to demonstrate that the reactors are achieving a particular UV dose value for treatment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Reactor validation testing. Systems must use UV reactors that have undergone validation testing to determine the operating conditions under which the reactor delivers the required UV dose (i.e., validated operating conditions). These operating conditions must include flow rate, UV intensity as measured by a UV sensor, and UV lamp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determining validated operating conditions, systems must account for the following factors: UV absorbance of the water; lamp fouling and aging; measurement uncertainty of on-line sensors; UV dose distributions arising from the velocity profiles through the reactor; failure of UV lamps or other critical system components; and UV reactor inlet and outlet piping or channel configurations.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Validation testing must include full-scale testing of a reactor that conforms uniformly to the UV reactors used by the system and inactivation of a test microorganism whose dose response characteristics have been quantified with a low-pressure mercury vapor lamp.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an alternative approach to validation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Reactor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monitor their UV reactors to determine if the reactors are operating within validated conditions, as determined under </w:t>
      </w:r>
      <w:hyperlink r:id="rId539">
        <w:r>
          <w:rPr>
            <w:rStyle w:val="Hyperlink"/>
            <w:rFonts w:ascii="Times New Roman" w:hAnsi="Times New Roman"/>
            <w:b w:val="false"/>
            <w:i w:val="false"/>
            <w:color w:val="000000"/>
            <w:sz w:val="22"/>
          </w:rPr>
          <w:t>43.11(13)</w:t>
        </w:r>
      </w:hyperlink>
      <w:r>
        <w:rPr>
          <w:rFonts w:ascii="Times New Roman" w:hAnsi="Times New Roman"/>
          <w:b w:val="false"/>
          <w:i/>
          <w:color w:val="000000"/>
          <w:sz w:val="22"/>
        </w:rPr>
        <w:t>“d”</w:t>
      </w:r>
      <w:r>
        <w:rPr>
          <w:rFonts w:ascii="Times New Roman" w:hAnsi="Times New Roman"/>
          <w:b w:val="false"/>
          <w:i w:val="false"/>
          <w:color w:val="000000"/>
          <w:sz w:val="22"/>
        </w:rPr>
        <w:t>(1). This monitoring must include UV sensor, flow rate, lamp status, and other parameters the department designates based on UV reactor operation. Systems must verify the calibration of UV sensors and recalibrate sensors in accordance with a department-approved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receive UV light treatment credit, systems must treat at least 95 percent of the water delivered to the public during each month by UV reactors operating within validated conditions for the required UV dose. Systems must demonstrate compliance with this condition by completing the monitoring required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Systems must report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 water sampling schedules and monitoring results under </w:t>
      </w:r>
      <w:hyperlink r:id="rId540">
        <w:r>
          <w:rPr>
            <w:rStyle w:val="Hyperlink"/>
            <w:rFonts w:ascii="Times New Roman" w:hAnsi="Times New Roman"/>
            <w:b w:val="false"/>
            <w:i w:val="false"/>
            <w:color w:val="000000"/>
            <w:sz w:val="22"/>
          </w:rPr>
          <w:t>43.11(3)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unless the systems notify the department that they will not conduct source water monitoring due to meeting the criteria of 5.5-log treatment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under </w:t>
      </w:r>
      <w:hyperlink r:id="rId541">
        <w:r>
          <w:rPr>
            <w:rStyle w:val="Hyperlink"/>
            <w:rFonts w:ascii="Times New Roman" w:hAnsi="Times New Roman"/>
            <w:b w:val="false"/>
            <w:i w:val="false"/>
            <w:color w:val="000000"/>
            <w:sz w:val="22"/>
          </w:rPr>
          <w:t>43.11(3)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bin classification determined under </w:t>
      </w:r>
      <w:hyperlink r:id="rId542">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Disinfection profiles and benchmarks as described in </w:t>
      </w:r>
      <w:hyperlink r:id="rId543">
        <w:r>
          <w:rPr>
            <w:rStyle w:val="Hyperlink"/>
            <w:rFonts w:ascii="Times New Roman" w:hAnsi="Times New Roman"/>
            <w:b w:val="false"/>
            <w:i w:val="false"/>
            <w:color w:val="000000"/>
            <w:sz w:val="22"/>
          </w:rPr>
          <w:t>43.11(4)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prior to making a significant change in disinfection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Table 7 for any microbial toolbox options used to comply with treatment requirements under </w:t>
      </w:r>
      <w:hyperlink r:id="rId544">
        <w:r>
          <w:rPr>
            <w:rStyle w:val="Hyperlink"/>
            <w:rFonts w:ascii="Times New Roman" w:hAnsi="Times New Roman"/>
            <w:b w:val="false"/>
            <w:i w:val="false"/>
            <w:color w:val="000000"/>
            <w:sz w:val="22"/>
          </w:rPr>
          <w:t>43.11(6)</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i w:val="false"/>
          <w:color w:val="000000"/>
          <w:sz w:val="22"/>
        </w:rPr>
        <w:t>Table 7: Microbial Toolbox Reporting Requirements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840"/>
        <w:gridCol w:w="3840"/>
      </w:tblGrid>
      <w:tr>
        <w:trPr>
          <w:trHeight w:val="615" w:hRule="atLeast"/>
        </w:trPr>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Toolbox Option</w:t>
            </w:r>
          </w:p>
        </w:tc>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Systems must submit this information</w:t>
            </w:r>
          </w:p>
        </w:tc>
        <w:tc>
          <w:tcPr>
            <w:tcW w:w="384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Submit information in accordance with the applicable treatment compliance dates in subrule 43.11(7), as noted</w:t>
            </w:r>
          </w:p>
        </w:tc>
      </w:tr>
      <w:tr>
        <w:trPr>
          <w:trHeight w:val="420"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Watershed control program (WCP)</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Notice of intention to develop a new or continue an existing WCP</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later than two years before applicable date</w:t>
            </w:r>
          </w:p>
        </w:tc>
      </w:tr>
      <w:tr>
        <w:trPr>
          <w:trHeight w:val="40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Watershed control plan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later than one year before applicable date</w:t>
            </w:r>
          </w:p>
        </w:tc>
      </w:tr>
      <w:tr>
        <w:trPr>
          <w:trHeight w:val="40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Annual WCP status report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Every 12 months, beginning one year after applicable date</w:t>
            </w:r>
          </w:p>
        </w:tc>
      </w:tr>
      <w:tr>
        <w:trPr>
          <w:trHeight w:val="76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Watershed sanitary survey report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For CWS, every 3 years, beginning 3 years after applicable date</w:t>
            </w:r>
            <w:r>
              <w:br/>
            </w:r>
            <w:r>
              <w:rPr>
                <w:rFonts w:ascii="Times New Roman" w:hAnsi="Times New Roman"/>
                <w:b w:val="false"/>
                <w:i w:val="false"/>
                <w:color w:val="000000"/>
                <w:sz w:val="16"/>
              </w:rPr>
              <w:t>- For NTNC or TNC, every 5 years, beginning 5 years after applicable date</w:t>
            </w:r>
          </w:p>
        </w:tc>
      </w:tr>
      <w:tr>
        <w:trPr>
          <w:trHeight w:val="58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Alternative source/intake</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management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Verification that system has relocated the intake or adopted the intake withdrawal procedure reflected in monitoring results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later than the applicable date</w:t>
            </w:r>
          </w:p>
        </w:tc>
      </w:tr>
      <w:tr>
        <w:trPr>
          <w:trHeight w:val="14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Presedimentation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w:t>
            </w:r>
            <w:r>
              <w:br/>
            </w:r>
            <w:r>
              <w:rPr>
                <w:rFonts w:ascii="Times New Roman" w:hAnsi="Times New Roman"/>
                <w:b w:val="false"/>
                <w:i w:val="false"/>
                <w:color w:val="000000"/>
                <w:sz w:val="16"/>
              </w:rPr>
              <w:t xml:space="preserve"> - Continuous basin operation;</w:t>
            </w:r>
            <w:r>
              <w:br/>
            </w:r>
            <w:r>
              <w:rPr>
                <w:rFonts w:ascii="Times New Roman" w:hAnsi="Times New Roman"/>
                <w:b w:val="false"/>
                <w:i w:val="false"/>
                <w:color w:val="000000"/>
                <w:sz w:val="16"/>
              </w:rPr>
              <w:t xml:space="preserve"> - Treatment of 100 percent of the flow;</w:t>
            </w:r>
            <w:r>
              <w:br/>
            </w:r>
            <w:r>
              <w:rPr>
                <w:rFonts w:ascii="Times New Roman" w:hAnsi="Times New Roman"/>
                <w:b w:val="false"/>
                <w:i w:val="false"/>
                <w:color w:val="000000"/>
                <w:sz w:val="16"/>
              </w:rPr>
              <w:t xml:space="preserve"> - Continuous coagulant addition; and</w:t>
            </w:r>
            <w:r>
              <w:br/>
            </w:r>
            <w:r>
              <w:rPr>
                <w:rFonts w:ascii="Times New Roman" w:hAnsi="Times New Roman"/>
                <w:b w:val="false"/>
                <w:i w:val="false"/>
                <w:color w:val="000000"/>
                <w:sz w:val="16"/>
              </w:rPr>
              <w:t xml:space="preserve"> - At least 0.5-log mean reduction of influent turbidity or compliance with alternative department-approved performance criteria</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reporting within 10 days following the month monitoring was conducted, beginning on applicable date</w:t>
            </w:r>
          </w:p>
        </w:tc>
      </w:tr>
      <w:tr>
        <w:trPr>
          <w:trHeight w:val="132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Two-stage lime softening</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w:t>
            </w:r>
            <w:r>
              <w:br/>
            </w:r>
            <w:r>
              <w:rPr>
                <w:rFonts w:ascii="Times New Roman" w:hAnsi="Times New Roman"/>
                <w:b w:val="false"/>
                <w:i w:val="false"/>
                <w:color w:val="000000"/>
                <w:sz w:val="16"/>
              </w:rPr>
              <w:t xml:space="preserve"> - Chemical addition and hardness precipitation occurred in two separate and sequential softening stages prior to filtration; and</w:t>
            </w:r>
            <w:r>
              <w:br/>
            </w:r>
            <w:r>
              <w:rPr>
                <w:rFonts w:ascii="Times New Roman" w:hAnsi="Times New Roman"/>
                <w:b w:val="false"/>
                <w:i w:val="false"/>
                <w:color w:val="000000"/>
                <w:sz w:val="16"/>
              </w:rPr>
              <w:t xml:space="preserve"> - Both stages treated 100 percent of plant flow</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reporting within 10 days following the month monitoring was conducted, beginning on applicable date</w:t>
            </w:r>
          </w:p>
        </w:tc>
      </w:tr>
      <w:tr>
        <w:trPr>
          <w:trHeight w:val="945"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Bank filtration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Initial demonstration of:</w:t>
            </w:r>
            <w:r>
              <w:br/>
            </w:r>
            <w:r>
              <w:rPr>
                <w:rFonts w:ascii="Times New Roman" w:hAnsi="Times New Roman"/>
                <w:b w:val="false"/>
                <w:i w:val="false"/>
                <w:color w:val="000000"/>
                <w:sz w:val="16"/>
              </w:rPr>
              <w:t xml:space="preserve"> - Unconsolidated, predominantly sandy aquifer; and</w:t>
            </w:r>
            <w:r>
              <w:br/>
            </w:r>
            <w:r>
              <w:rPr>
                <w:rFonts w:ascii="Times New Roman" w:hAnsi="Times New Roman"/>
                <w:b w:val="false"/>
                <w:i w:val="false"/>
                <w:color w:val="000000"/>
                <w:sz w:val="16"/>
              </w:rPr>
              <w:t xml:space="preserve"> - Setback distance of at least 25 feet for 0.5-log credit or 50 feet for 1.0-log credit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later than applicable date</w:t>
            </w:r>
          </w:p>
        </w:tc>
      </w:tr>
      <w:tr>
        <w:trPr>
          <w:trHeight w:val="76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monthly average of daily maximum turbidity is greater than 1 NTU, report result and submit an assessment of the cause.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Report within 30 days following the month monitoring was conducted, beginning on applicable date</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Combined filter performance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of CFE turbidity levels less than or equal to 0.15 NTU in at least 95 percent of the 4-hour CFE measurements taken each month</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reporting within 10 days following the month monitoring was conducted, beginning on applicable date</w:t>
            </w:r>
          </w:p>
        </w:tc>
      </w:tr>
      <w:tr>
        <w:trPr>
          <w:trHeight w:val="129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Individual filter performance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of:</w:t>
            </w:r>
            <w:r>
              <w:br/>
            </w:r>
            <w:r>
              <w:rPr>
                <w:rFonts w:ascii="Times New Roman" w:hAnsi="Times New Roman"/>
                <w:b w:val="false"/>
                <w:i w:val="false"/>
                <w:color w:val="000000"/>
                <w:sz w:val="16"/>
              </w:rPr>
              <w:t xml:space="preserve"> - IFE turbidity levels less than or equal to 0.15 NTU in at least 95 percent of samples each month in each filter; and</w:t>
            </w:r>
            <w:r>
              <w:br/>
            </w:r>
            <w:r>
              <w:rPr>
                <w:rFonts w:ascii="Times New Roman" w:hAnsi="Times New Roman"/>
                <w:b w:val="false"/>
                <w:i w:val="false"/>
                <w:color w:val="000000"/>
                <w:sz w:val="16"/>
              </w:rPr>
              <w:t xml:space="preserve"> - No IFE turbidity levels greater than 0.3 NTU in two consecutive readings 15 minutes apart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reporting within 10 days following the month monitoring was conducted, beginning on applicable date</w:t>
            </w:r>
          </w:p>
        </w:tc>
      </w:tr>
      <w:tr>
        <w:trPr>
          <w:trHeight w:val="405"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Demonstration of performance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Results from testing following a department-approved protocol</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later than applicable date</w:t>
            </w:r>
          </w:p>
        </w:tc>
      </w:tr>
      <w:tr>
        <w:trPr>
          <w:trHeight w:val="76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 required by the department, monthly verification of operation within conditions of department approval for demonstration of performance credit</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Within 10 days following the month monitoring was conducted, beginning on applicable date</w:t>
            </w:r>
          </w:p>
        </w:tc>
      </w:tr>
      <w:tr>
        <w:trPr>
          <w:trHeight w:val="945"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 Bag filters and cartridge filters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Demonstration that the:</w:t>
            </w:r>
            <w:r>
              <w:br/>
            </w:r>
            <w:r>
              <w:rPr>
                <w:rFonts w:ascii="Times New Roman" w:hAnsi="Times New Roman"/>
                <w:b w:val="false"/>
                <w:i w:val="false"/>
                <w:color w:val="000000"/>
                <w:sz w:val="16"/>
              </w:rPr>
              <w:t xml:space="preserve"> - Process meets the definition of bag or cartridge filtration, and</w:t>
            </w:r>
            <w:r>
              <w:br/>
            </w:r>
            <w:r>
              <w:rPr>
                <w:rFonts w:ascii="Times New Roman" w:hAnsi="Times New Roman"/>
                <w:b w:val="false"/>
                <w:i w:val="false"/>
                <w:color w:val="000000"/>
                <w:sz w:val="16"/>
              </w:rPr>
              <w:t xml:space="preserve"> - Removal efficiency established through challenge testing is meeting criteria</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later than applicable date</w:t>
            </w:r>
          </w:p>
        </w:tc>
      </w:tr>
      <w:tr>
        <w:trPr>
          <w:trHeight w:val="58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that 100 percent of plant flow was filtered</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Within 10 days following the month monitoring was conducted, beginning on applicable date</w:t>
            </w:r>
          </w:p>
        </w:tc>
      </w:tr>
      <w:tr>
        <w:trPr>
          <w:trHeight w:val="1470"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Membrane filtration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Results of verification testing demonstrating:</w:t>
            </w:r>
            <w:r>
              <w:br/>
            </w:r>
            <w:r>
              <w:rPr>
                <w:rFonts w:ascii="Times New Roman" w:hAnsi="Times New Roman"/>
                <w:b w:val="false"/>
                <w:i w:val="false"/>
                <w:color w:val="000000"/>
                <w:sz w:val="16"/>
              </w:rPr>
              <w:t xml:space="preserve"> - Removal efficiency established through challenge testing meets criteria; and</w:t>
            </w:r>
            <w:r>
              <w:br/>
            </w:r>
            <w:r>
              <w:rPr>
                <w:rFonts w:ascii="Times New Roman" w:hAnsi="Times New Roman"/>
                <w:b w:val="false"/>
                <w:i w:val="false"/>
                <w:color w:val="000000"/>
                <w:sz w:val="16"/>
              </w:rPr>
              <w:t xml:space="preserve"> - Integrity test method and parameters, including resolution, sensitivity, test frequency, control limits, and associated baseline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later than applicable date</w:t>
            </w:r>
          </w:p>
        </w:tc>
      </w:tr>
      <w:tr>
        <w:trPr>
          <w:trHeight w:val="112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report summarizing:</w:t>
            </w:r>
            <w:r>
              <w:br/>
            </w:r>
            <w:r>
              <w:rPr>
                <w:rFonts w:ascii="Times New Roman" w:hAnsi="Times New Roman"/>
                <w:b w:val="false"/>
                <w:i w:val="false"/>
                <w:color w:val="000000"/>
                <w:sz w:val="16"/>
              </w:rPr>
              <w:t xml:space="preserve"> - All DITs above the control limit, and</w:t>
            </w:r>
            <w:r>
              <w:br/>
            </w:r>
            <w:r>
              <w:rPr>
                <w:rFonts w:ascii="Times New Roman" w:hAnsi="Times New Roman"/>
                <w:b w:val="false"/>
                <w:i w:val="false"/>
                <w:color w:val="000000"/>
                <w:sz w:val="16"/>
              </w:rPr>
              <w:t xml:space="preserve"> - If applicable, any turbidity or alternative department-approved indirect integrity monitoring results triggering DITs and corrective action that was taken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Within 10 days following the month monitoring was conducted, beginning on applicable date</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Second-stage filtration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that 100 percent of flow was filtered through both stages and that first stage was preceded by coagulation step</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Within 10 days following the month monitoring was conducted, beginning on applicable date</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12. Slow sand filtration as a </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secondary filter</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verification that both a slow sand filter and a preceding separate stage of filtration treated 100 percent of the flow from surface or IGW sources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Within 10 days following the month monitoring was conducted, beginning on applicable date</w:t>
            </w:r>
          </w:p>
        </w:tc>
      </w:tr>
      <w:tr>
        <w:trPr>
          <w:trHeight w:val="58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Chlorine dioxide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Summary of CT values for each day as described in 43.11(13)</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Within 10 days following the month monitoring was conducted, beginning on applicable date</w:t>
            </w:r>
          </w:p>
        </w:tc>
      </w:tr>
      <w:tr>
        <w:trPr>
          <w:trHeight w:val="7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Ozone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Summary of CT values for each day as described in 43.11(13)</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Within 10 days following the month monitoring was conducted, beginning on applicable date</w:t>
            </w:r>
          </w:p>
        </w:tc>
      </w:tr>
      <w:tr>
        <w:trPr>
          <w:trHeight w:val="585" w:hRule="atLeast"/>
        </w:trPr>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UV</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Validation test results demonstrating operating conditions that achieve required UV dose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later than the applicable date</w:t>
            </w:r>
          </w:p>
        </w:tc>
      </w:tr>
      <w:tr>
        <w:trPr>
          <w:trHeight w:val="1125" w:hRule="atLeast"/>
        </w:trPr>
        <w:tc>
          <w:tcPr>
            <w:tcW w:w="0" w:type="auto"/>
            <w:vMerge/>
            <w:tcBorders>
              <w:top w:val="nil"/>
              <w:bottom w:val="single" w:color="000000" w:sz="8"/>
              <w:right w:val="single" w:color="000000" w:sz="8"/>
            </w:tcBorders>
          </w:tcP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report summarizing the percentage of water entering the distribution system that was not treated by UV reactors operating within validated conditions for the required dose as specified in 43.11(13)</w:t>
            </w:r>
            <w:r>
              <w:rPr>
                <w:rFonts w:ascii="Times New Roman" w:hAnsi="Times New Roman"/>
                <w:b w:val="false"/>
                <w:i/>
                <w:color w:val="000000"/>
                <w:sz w:val="16"/>
              </w:rPr>
              <w:t>“d”</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Within 10 days following the month monitoring was conducted, beginning on applicable date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43.11(15)</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 water monitoring. </w:t>
      </w:r>
      <w:r>
        <w:rPr>
          <w:rFonts w:ascii="Times New Roman" w:hAnsi="Times New Roman"/>
          <w:b w:val="false"/>
          <w:i w:val="false"/>
          <w:color w:val="000000"/>
          <w:sz w:val="22"/>
        </w:rPr>
        <w:t xml:space="preserve">Systems must keep results from the initial round of source water monitoring under </w:t>
      </w:r>
      <w:hyperlink r:id="rId545">
        <w:r>
          <w:rPr>
            <w:rStyle w:val="Hyperlink"/>
            <w:rFonts w:ascii="Times New Roman" w:hAnsi="Times New Roman"/>
            <w:b w:val="false"/>
            <w:i w:val="false"/>
            <w:color w:val="000000"/>
            <w:sz w:val="22"/>
          </w:rPr>
          <w:t>43.11(3)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second round of source water monitoring under </w:t>
      </w:r>
      <w:hyperlink r:id="rId546">
        <w:r>
          <w:rPr>
            <w:rStyle w:val="Hyperlink"/>
            <w:rFonts w:ascii="Times New Roman" w:hAnsi="Times New Roman"/>
            <w:b w:val="false"/>
            <w:i w:val="false"/>
            <w:color w:val="000000"/>
            <w:sz w:val="22"/>
          </w:rPr>
          <w:t>43.11(3)</w:t>
        </w:r>
      </w:hyperlink>
      <w:r>
        <w:rPr>
          <w:rFonts w:ascii="Times New Roman" w:hAnsi="Times New Roman"/>
          <w:b w:val="false"/>
          <w:i/>
          <w:color w:val="000000"/>
          <w:sz w:val="22"/>
        </w:rPr>
        <w:t>“b”</w:t>
      </w:r>
      <w:r>
        <w:rPr>
          <w:rFonts w:ascii="Times New Roman" w:hAnsi="Times New Roman"/>
          <w:b w:val="false"/>
          <w:i w:val="false"/>
          <w:color w:val="000000"/>
          <w:sz w:val="22"/>
        </w:rPr>
        <w:t xml:space="preserve"> until three years after bin classification under </w:t>
      </w:r>
      <w:hyperlink r:id="rId547">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for the particular round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Systems meeting 5.5-log Cryptosporidium treatment. </w:t>
      </w:r>
      <w:r>
        <w:rPr>
          <w:rFonts w:ascii="Times New Roman" w:hAnsi="Times New Roman"/>
          <w:b w:val="false"/>
          <w:i w:val="false"/>
          <w:color w:val="000000"/>
          <w:sz w:val="22"/>
        </w:rPr>
        <w:t xml:space="preserve">Systems must keep, for three years, records of any notification to the department that they will meet the 5.5-log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treatment requirements and avoid source water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Microbial toolbox treatment monitoring. </w:t>
      </w:r>
      <w:r>
        <w:rPr>
          <w:rFonts w:ascii="Times New Roman" w:hAnsi="Times New Roman"/>
          <w:b w:val="false"/>
          <w:i w:val="false"/>
          <w:color w:val="000000"/>
          <w:sz w:val="22"/>
        </w:rPr>
        <w:t xml:space="preserve">Systems must keep the results of treatment monitoring associated with microbial toolbox options under </w:t>
      </w:r>
      <w:hyperlink r:id="rId548">
        <w:r>
          <w:rPr>
            <w:rStyle w:val="Hyperlink"/>
            <w:rFonts w:ascii="Times New Roman" w:hAnsi="Times New Roman"/>
            <w:b w:val="false"/>
            <w:i w:val="false"/>
            <w:color w:val="000000"/>
            <w:sz w:val="22"/>
          </w:rPr>
          <w:t>43.11(8)</w:t>
        </w:r>
      </w:hyperlink>
      <w:r>
        <w:rPr>
          <w:rFonts w:ascii="Times New Roman" w:hAnsi="Times New Roman"/>
          <w:b w:val="false"/>
          <w:i w:val="false"/>
          <w:color w:val="000000"/>
          <w:sz w:val="22"/>
        </w:rPr>
        <w:t xml:space="preserve"> through </w:t>
      </w:r>
      <w:hyperlink r:id="rId549">
        <w:r>
          <w:rPr>
            <w:rStyle w:val="Hyperlink"/>
            <w:rFonts w:ascii="Times New Roman" w:hAnsi="Times New Roman"/>
            <w:b w:val="false"/>
            <w:i w:val="false"/>
            <w:color w:val="000000"/>
            <w:sz w:val="22"/>
          </w:rPr>
          <w:t>43.11(13)</w:t>
        </w:r>
      </w:hyperlink>
      <w:r>
        <w:rPr>
          <w:rFonts w:ascii="Times New Roman" w:hAnsi="Times New Roman"/>
          <w:b w:val="false"/>
          <w:i w:val="false"/>
          <w:color w:val="000000"/>
          <w:sz w:val="22"/>
        </w:rPr>
        <w:t xml:space="preserv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567—43.12</w:t>
      </w:r>
      <w:r>
        <w:rPr>
          <w:rFonts w:ascii="Times New Roman" w:hAnsi="Times New Roman"/>
          <w:b/>
          <w:i w:val="false"/>
          <w:color w:val="000000"/>
          <w:sz w:val="22"/>
        </w:rPr>
        <w:t xml:space="preserve">(455B) </w:t>
      </w:r>
      <w:r>
        <w:rPr>
          <w:rFonts w:ascii="Times New Roman" w:hAnsi="Times New Roman"/>
          <w:b/>
          <w:i w:val="false"/>
          <w:color w:val="000000"/>
          <w:sz w:val="22"/>
        </w:rPr>
        <w:t xml:space="preserve">Turbidity optimization goals. </w:t>
      </w:r>
      <w:r>
        <w:rPr>
          <w:rFonts w:ascii="Times New Roman" w:hAnsi="Times New Roman"/>
          <w:b w:val="false"/>
          <w:i w:val="false"/>
          <w:color w:val="000000"/>
          <w:sz w:val="22"/>
        </w:rPr>
        <w:t>SW and IGW systems must meet the requirements in this chapter. To encourage operational optimization, the department has adopted the following goals for systems using SW or IGW that wish to pursue the optimization of their existing treatment processes. These goals are voluntary. Data collected for optimization purposes will not be used to determine compliance with this chapter  unless the optimization data are identical to the compliance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color w:val="000000"/>
          <w:sz w:val="22"/>
        </w:rPr>
        <w:t xml:space="preserve">Sedimentation performance goals. </w:t>
      </w:r>
      <w:r>
        <w:rPr>
          <w:rFonts w:ascii="Times New Roman" w:hAnsi="Times New Roman"/>
          <w:b w:val="false"/>
          <w:i w:val="false"/>
          <w:color w:val="000000"/>
          <w:sz w:val="22"/>
        </w:rPr>
        <w:t>The sedimentation performance goals are based upon the average annual raw water turbidity levels. When the annual average raw water turbidity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Less than or equal to 10 NTU over the course of the calendar year, the turbidity should be less than or equal to 1 NTU in at least 95 percent of measurements based on the maximum daily value of readings taken at least once every four hours from each sedimentation basin while the plant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10 NTU over the course of the calendar year, the turbidity should be less than or equal to 2 NTU in at least 95 percent of measurements based on the maximum daily value of readings taken at least once every four hours from each sedimentation basin while the plant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color w:val="000000"/>
          <w:sz w:val="22"/>
        </w:rPr>
        <w:t xml:space="preserve">Individual filter performance goals. </w:t>
      </w:r>
      <w:r>
        <w:rPr>
          <w:rFonts w:ascii="Times New Roman" w:hAnsi="Times New Roman"/>
          <w:b w:val="false"/>
          <w:i w:val="false"/>
          <w:color w:val="000000"/>
          <w:sz w:val="22"/>
        </w:rPr>
        <w:t>Individual filter performance goals depend upon a system’s capability of filtering to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systems that have the capability of filtering to waste, the individual filter turbidity should be less than or equal to 0.10 NTU in at least 95 percent of measurements over the course of the calendar year, based on the daily maximum value of readings recorded at least once per minute while the plant is in operation. The maximum individual filter turbidity must not exceed 0.30 NTU at any time. The filter must return to service with a turbidity of 0.10 NTU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systems that do not have the capability of filtering to waste, the individual filter turbidity should be less than or equal to 0.10 NTU in at least 95 percent of measurements over the course of the calendar year, excepting the 15 minutes following the completion of the backwash process, based on the daily maximum value of readings recorded at least once per minute while the plant is in operation. The maximum individual filter turbidity must not exceed 0.30 NTU following backwash and must return to a level at or below 0.10 NTU within 15 minutes of returning the filter 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43.12(3)</w:t>
      </w:r>
      <w:r>
        <w:rPr>
          <w:rFonts w:ascii="Times New Roman" w:hAnsi="Times New Roman"/>
          <w:b w:val="false"/>
          <w:i w:val="false"/>
          <w:color w:val="000000"/>
          <w:sz w:val="22"/>
        </w:rPr>
        <w:t> </w:t>
      </w:r>
      <w:r>
        <w:rPr>
          <w:rFonts w:ascii="Times New Roman" w:hAnsi="Times New Roman"/>
          <w:b w:val="false"/>
          <w:i/>
          <w:color w:val="000000"/>
          <w:sz w:val="22"/>
        </w:rPr>
        <w:t xml:space="preserve">Combined filter performance goal. </w:t>
      </w:r>
      <w:r>
        <w:rPr>
          <w:rFonts w:ascii="Times New Roman" w:hAnsi="Times New Roman"/>
          <w:b w:val="false"/>
          <w:i w:val="false"/>
          <w:color w:val="000000"/>
          <w:sz w:val="22"/>
        </w:rPr>
        <w:t>The combined filter performance goal has two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CFE turbidity should be less than or equal to 0.10 NTU in at least 95 percent of measurements over the course of the calendar year, based on daily maximum value of readings recorded at least once per minute while the plant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CFE turbidity must not exceed 0.30 NTU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50">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through </w:t>
      </w:r>
      <w:hyperlink r:id="rId551">
        <w:r>
          <w:rPr>
            <w:rStyle w:val="Hyperlink"/>
            <w:rFonts w:ascii="Times New Roman" w:hAnsi="Times New Roman"/>
            <w:b w:val="false"/>
            <w:i w:val="false"/>
            <w:color w:val="000000"/>
            <w:sz w:val="22"/>
          </w:rPr>
          <w:t>455B.188</w:t>
        </w:r>
      </w:hyperlink>
      <w:r>
        <w:rPr>
          <w:rFonts w:ascii="Times New Roman" w:hAnsi="Times New Roman"/>
          <w:b w:val="false"/>
          <w:i w:val="false"/>
          <w:color w:val="000000"/>
          <w:sz w:val="22"/>
        </w:rPr>
        <w:t xml:space="preserve"> and </w:t>
      </w:r>
      <w:hyperlink r:id="rId552">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through </w:t>
      </w:r>
      <w:hyperlink r:id="rId553">
        <w:r>
          <w:rPr>
            <w:rStyle w:val="Hyperlink"/>
            <w:rFonts w:ascii="Times New Roman" w:hAnsi="Times New Roman"/>
            <w:b w:val="false"/>
            <w:i w:val="false"/>
            <w:color w:val="000000"/>
            <w:sz w:val="22"/>
          </w:rPr>
          <w:t>455B.192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i w:val="false"/>
          <w:color w:val="000000"/>
          <w:sz w:val="22"/>
        </w:rPr>
        <w:t>APPENDIX A: Disinfection Profiling - CT Values (CT</w:t>
      </w:r>
      <w:r>
        <w:rPr>
          <w:rFonts w:ascii="Times New Roman" w:hAnsi="Times New Roman"/>
          <w:b/>
          <w:i w:val="false"/>
          <w:color w:val="000000"/>
          <w:sz w:val="18"/>
          <w:vertAlign w:val="subscript"/>
        </w:rPr>
        <w:t>99.9</w:t>
      </w:r>
      <w:r>
        <w:rPr>
          <w:rFonts w:ascii="Times New Roman" w:hAnsi="Times New Roman"/>
          <w:b/>
          <w:i w:val="false"/>
          <w:color w:val="000000"/>
          <w:sz w:val="22"/>
        </w:rPr>
        <w:t xml:space="preserve">) for 99.9 Percent Inactivation of </w:t>
      </w:r>
      <w:r>
        <w:rPr>
          <w:rFonts w:ascii="Times New Roman" w:hAnsi="Times New Roman"/>
          <w:b/>
          <w:i/>
          <w:color w:val="000000"/>
          <w:sz w:val="22"/>
        </w:rPr>
        <w:t>GIARDIA LAMBIA</w:t>
      </w:r>
      <w:r>
        <w:rPr>
          <w:rFonts w:ascii="Times New Roman" w:hAnsi="Times New Roman"/>
          <w:b/>
          <w:i w:val="false"/>
          <w:color w:val="000000"/>
          <w:sz w:val="22"/>
        </w:rPr>
        <w:t xml:space="preserve"> Cysts</w:t>
      </w:r>
    </w:p>
    <w:p>
      <w:pPr>
        <w:spacing w:before="0" w:after="0"/>
        <w:ind w:left="120"/>
        <w:jc w:val="both"/>
      </w:pPr>
      <w:r>
        <w:rPr>
          <w:rFonts w:ascii="Times New Roman" w:hAnsi="Times New Roman"/>
          <w:b w:val="false"/>
          <w:i w:val="false"/>
          <w:color w:val="000000"/>
          <w:sz w:val="22"/>
        </w:rPr>
        <w:t xml:space="preserve"> These tables provide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values in mg-min/L for 99.9 percent (3-log) inactivation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cysts using the indicated disinfectant at the indicated temperature in degrees Celsius (°C). The CT values in the tables achieve greater than a 99.99 percent (4-log) inactivation of viruses. Any CT values between the indicated pH values in each table and any CT values between the indicated temperatures of different tables may be determined by linear interpolation. If no interpolation is used, use the CT</w:t>
      </w:r>
      <w:r>
        <w:rPr>
          <w:rFonts w:ascii="Times New Roman" w:hAnsi="Times New Roman"/>
          <w:b w:val="false"/>
          <w:i w:val="false"/>
          <w:color w:val="000000"/>
          <w:sz w:val="18"/>
          <w:vertAlign w:val="subscript"/>
        </w:rPr>
        <w:t>99.9</w:t>
      </w:r>
      <w:r>
        <w:rPr>
          <w:rFonts w:ascii="Times New Roman" w:hAnsi="Times New Roman"/>
          <w:b w:val="false"/>
          <w:i w:val="false"/>
          <w:color w:val="000000"/>
          <w:sz w:val="22"/>
        </w:rPr>
        <w:t xml:space="preserve"> value at the lower temperature and at the higher pH. </w:t>
      </w:r>
    </w:p>
    <w:p>
      <w:pPr>
        <w:spacing w:before="60" w:after="0"/>
        <w:ind w:left="120"/>
        <w:jc w:val="center"/>
      </w:pPr>
      <w:r>
        <w:rPr>
          <w:rFonts w:ascii="Times New Roman" w:hAnsi="Times New Roman"/>
          <w:b/>
          <w:i w:val="false"/>
          <w:color w:val="000000"/>
          <w:sz w:val="22"/>
        </w:rPr>
        <w:t>TABLE 1: Inactivation by Free Chlorine at 0.5°C or Lower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50"/>
        <w:gridCol w:w="1268"/>
        <w:gridCol w:w="1267"/>
        <w:gridCol w:w="1267"/>
        <w:gridCol w:w="1267"/>
        <w:gridCol w:w="1267"/>
        <w:gridCol w:w="1267"/>
        <w:gridCol w:w="1267"/>
      </w:tblGrid>
      <w:tr>
        <w:trPr>
          <w:trHeight w:val="28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pH, standard units</w:t>
            </w:r>
          </w:p>
        </w:tc>
      </w:tr>
      <w:tr>
        <w:trPr>
          <w:trHeight w:val="300" w:hRule="atLeast"/>
        </w:trPr>
        <w:tc>
          <w:tcPr>
            <w:tcW w:w="265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Chlorine, mg/L</w:t>
            </w:r>
          </w:p>
        </w:tc>
        <w:tc>
          <w:tcPr>
            <w:tcW w:w="12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&gt;6.0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6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&gt;9.0</w:t>
            </w:r>
          </w:p>
        </w:tc>
      </w:tr>
      <w:tr>
        <w:trPr>
          <w:trHeight w:val="270"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329</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342</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407</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422</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437</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376</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464</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477</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489</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426</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522</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533</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452</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543</w:t>
            </w:r>
          </w:p>
        </w:tc>
      </w:tr>
      <w:tr>
        <w:trPr>
          <w:trHeight w:val="25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181</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217</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261</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316</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382</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460</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552</w:t>
            </w:r>
          </w:p>
        </w:tc>
      </w:tr>
    </w:tbl>
    <w:p>
      <w:pPr>
        <w:pageBreakBefore/>
        <w:spacing w:before="0" w:after="0"/>
        <w:ind w:left="120"/>
        <w:jc w:val="both"/>
      </w:pPr>
    </w:p>
    <w:p>
      <w:pPr>
        <w:spacing w:before="60" w:after="0"/>
        <w:ind w:left="120"/>
        <w:jc w:val="center"/>
      </w:pPr>
      <w:r>
        <w:rPr>
          <w:rFonts w:ascii="Times New Roman" w:hAnsi="Times New Roman"/>
          <w:b/>
          <w:i w:val="false"/>
          <w:color w:val="000000"/>
          <w:sz w:val="22"/>
        </w:rPr>
        <w:t>TABLE 2: Inactivation by Free Chlorine at 5.0°C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50"/>
        <w:gridCol w:w="1268"/>
        <w:gridCol w:w="1267"/>
        <w:gridCol w:w="1267"/>
        <w:gridCol w:w="1267"/>
        <w:gridCol w:w="1267"/>
        <w:gridCol w:w="1267"/>
        <w:gridCol w:w="1267"/>
      </w:tblGrid>
      <w:tr>
        <w:trPr>
          <w:trHeight w:val="28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pH, standard units</w:t>
            </w:r>
          </w:p>
        </w:tc>
      </w:tr>
      <w:tr>
        <w:trPr>
          <w:trHeight w:val="300" w:hRule="atLeast"/>
        </w:trPr>
        <w:tc>
          <w:tcPr>
            <w:tcW w:w="265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Chlorine, mg/L</w:t>
            </w:r>
          </w:p>
        </w:tc>
        <w:tc>
          <w:tcPr>
            <w:tcW w:w="12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&gt;6.0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6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&gt;9.0</w:t>
            </w:r>
          </w:p>
        </w:tc>
      </w:tr>
      <w:tr>
        <w:trPr>
          <w:trHeight w:val="270"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236</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279</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252</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312</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329</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281</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337</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345</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353</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306</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368</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312</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375</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318</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382</w:t>
            </w:r>
          </w:p>
        </w:tc>
      </w:tr>
      <w:tr>
        <w:trPr>
          <w:trHeight w:val="25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126</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151</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182</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221</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268</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324</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389</w:t>
            </w:r>
          </w:p>
        </w:tc>
      </w:tr>
    </w:tbl>
    <w:p>
      <w:pPr>
        <w:spacing w:before="0" w:after="0"/>
        <w:ind w:left="120"/>
        <w:jc w:val="both"/>
      </w:pPr>
      <w:r>
        <w:rPr>
          <w:rFonts w:ascii="Times New Roman" w:hAnsi="Times New Roman"/>
          <w:b w:val="false"/>
          <w:i w:val="false"/>
          <w:color w:val="000000"/>
          <w:sz w:val="22"/>
        </w:rPr>
        <w:t> </w:t>
      </w:r>
    </w:p>
    <w:p>
      <w:pPr>
        <w:spacing w:before="60" w:after="0"/>
        <w:ind w:left="120"/>
        <w:jc w:val="center"/>
      </w:pPr>
      <w:r>
        <w:rPr>
          <w:rFonts w:ascii="Times New Roman" w:hAnsi="Times New Roman"/>
          <w:b/>
          <w:i w:val="false"/>
          <w:color w:val="000000"/>
          <w:sz w:val="22"/>
        </w:rPr>
        <w:t>TABLE 3: Inactivation by Free Chlorine at 10.0°C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50"/>
        <w:gridCol w:w="1268"/>
        <w:gridCol w:w="1267"/>
        <w:gridCol w:w="1267"/>
        <w:gridCol w:w="1267"/>
        <w:gridCol w:w="1267"/>
        <w:gridCol w:w="1267"/>
        <w:gridCol w:w="1267"/>
      </w:tblGrid>
      <w:tr>
        <w:trPr>
          <w:trHeight w:val="28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pH, standard units</w:t>
            </w:r>
          </w:p>
        </w:tc>
      </w:tr>
      <w:tr>
        <w:trPr>
          <w:trHeight w:val="300" w:hRule="atLeast"/>
        </w:trPr>
        <w:tc>
          <w:tcPr>
            <w:tcW w:w="265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Chlorine, mg/L</w:t>
            </w:r>
          </w:p>
        </w:tc>
        <w:tc>
          <w:tcPr>
            <w:tcW w:w="12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&gt;6.0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6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&gt;9.0</w:t>
            </w:r>
          </w:p>
        </w:tc>
      </w:tr>
      <w:tr>
        <w:trPr>
          <w:trHeight w:val="270"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209</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183</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218</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189</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226</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234</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206</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247</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211</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253</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259</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221</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265</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276</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239</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287</w:t>
            </w:r>
          </w:p>
        </w:tc>
      </w:tr>
      <w:tr>
        <w:trPr>
          <w:trHeight w:val="25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113</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137</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166</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201</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243</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292</w:t>
            </w:r>
          </w:p>
        </w:tc>
      </w:tr>
    </w:tbl>
    <w:p>
      <w:pPr>
        <w:pageBreakBefore/>
        <w:spacing w:before="0" w:after="0"/>
        <w:ind w:left="120"/>
        <w:jc w:val="both"/>
      </w:pPr>
    </w:p>
    <w:p>
      <w:pPr>
        <w:spacing w:before="60" w:after="0"/>
        <w:ind w:left="120"/>
        <w:jc w:val="center"/>
      </w:pPr>
      <w:r>
        <w:rPr>
          <w:rFonts w:ascii="Times New Roman" w:hAnsi="Times New Roman"/>
          <w:b/>
          <w:i w:val="false"/>
          <w:color w:val="000000"/>
          <w:sz w:val="22"/>
        </w:rPr>
        <w:t>TABLE 4: Inactivation by Free Chlorine at 15.0°C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50"/>
        <w:gridCol w:w="1268"/>
        <w:gridCol w:w="1267"/>
        <w:gridCol w:w="1267"/>
        <w:gridCol w:w="1267"/>
        <w:gridCol w:w="1267"/>
        <w:gridCol w:w="1267"/>
        <w:gridCol w:w="1267"/>
      </w:tblGrid>
      <w:tr>
        <w:trPr>
          <w:trHeight w:val="28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pH, standard units</w:t>
            </w:r>
          </w:p>
        </w:tc>
      </w:tr>
      <w:tr>
        <w:trPr>
          <w:trHeight w:val="300" w:hRule="atLeast"/>
        </w:trPr>
        <w:tc>
          <w:tcPr>
            <w:tcW w:w="265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Chlorine, mg/L</w:t>
            </w:r>
          </w:p>
        </w:tc>
        <w:tc>
          <w:tcPr>
            <w:tcW w:w="12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&gt;6.0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6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&gt;9.0</w:t>
            </w:r>
          </w:p>
        </w:tc>
      </w:tr>
      <w:tr>
        <w:trPr>
          <w:trHeight w:val="270"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118</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146</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126</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156</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165</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141</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169</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173</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177</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153</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184</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156</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188</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159</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191</w:t>
            </w:r>
          </w:p>
        </w:tc>
      </w:tr>
      <w:tr>
        <w:trPr>
          <w:trHeight w:val="25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91</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134</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162</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195</w:t>
            </w:r>
          </w:p>
        </w:tc>
      </w:tr>
    </w:tbl>
    <w:p>
      <w:pPr>
        <w:spacing w:before="0" w:after="0"/>
        <w:ind w:left="120"/>
        <w:jc w:val="both"/>
      </w:pPr>
      <w:r>
        <w:rPr>
          <w:rFonts w:ascii="Times New Roman" w:hAnsi="Times New Roman"/>
          <w:b w:val="false"/>
          <w:i w:val="false"/>
          <w:color w:val="000000"/>
          <w:sz w:val="22"/>
        </w:rPr>
        <w:t> </w:t>
      </w:r>
    </w:p>
    <w:p>
      <w:pPr>
        <w:spacing w:before="60" w:after="0"/>
        <w:ind w:left="120"/>
        <w:jc w:val="center"/>
      </w:pPr>
      <w:r>
        <w:rPr>
          <w:rFonts w:ascii="Times New Roman" w:hAnsi="Times New Roman"/>
          <w:b/>
          <w:i w:val="false"/>
          <w:color w:val="000000"/>
          <w:sz w:val="22"/>
        </w:rPr>
        <w:t>TABLE 5: Inactivation by Free Chlorine at 20.0°C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50"/>
        <w:gridCol w:w="1268"/>
        <w:gridCol w:w="1267"/>
        <w:gridCol w:w="1267"/>
        <w:gridCol w:w="1267"/>
        <w:gridCol w:w="1267"/>
        <w:gridCol w:w="1267"/>
        <w:gridCol w:w="1267"/>
      </w:tblGrid>
      <w:tr>
        <w:trPr>
          <w:trHeight w:val="28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pH, standard units</w:t>
            </w:r>
          </w:p>
        </w:tc>
      </w:tr>
      <w:tr>
        <w:trPr>
          <w:trHeight w:val="300" w:hRule="atLeast"/>
        </w:trPr>
        <w:tc>
          <w:tcPr>
            <w:tcW w:w="265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Chlorine, mg/L</w:t>
            </w:r>
          </w:p>
        </w:tc>
        <w:tc>
          <w:tcPr>
            <w:tcW w:w="12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&gt;6.0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6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&gt;9.0</w:t>
            </w:r>
          </w:p>
        </w:tc>
      </w:tr>
      <w:tr>
        <w:trPr>
          <w:trHeight w:val="270"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109</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113</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98</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117</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103</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123</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126</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108</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129</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132</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113</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135</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138</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141</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119</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143</w:t>
            </w:r>
          </w:p>
        </w:tc>
      </w:tr>
      <w:tr>
        <w:trPr>
          <w:trHeight w:val="25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68</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101</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146</w:t>
            </w:r>
          </w:p>
        </w:tc>
      </w:tr>
    </w:tbl>
    <w:p>
      <w:pPr>
        <w:pageBreakBefore/>
        <w:spacing w:before="0" w:after="0"/>
        <w:ind w:left="120"/>
        <w:jc w:val="both"/>
      </w:pPr>
    </w:p>
    <w:p>
      <w:pPr>
        <w:spacing w:before="60" w:after="0"/>
        <w:ind w:left="120"/>
        <w:jc w:val="center"/>
      </w:pPr>
      <w:r>
        <w:rPr>
          <w:rFonts w:ascii="Times New Roman" w:hAnsi="Times New Roman"/>
          <w:b/>
          <w:i w:val="false"/>
          <w:color w:val="000000"/>
          <w:sz w:val="22"/>
        </w:rPr>
        <w:t>TABLE 6: Inactivation by Free Chlorine at 25.0°C and Higher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50"/>
        <w:gridCol w:w="1268"/>
        <w:gridCol w:w="1267"/>
        <w:gridCol w:w="1267"/>
        <w:gridCol w:w="1267"/>
        <w:gridCol w:w="1267"/>
        <w:gridCol w:w="1267"/>
        <w:gridCol w:w="1267"/>
      </w:tblGrid>
      <w:tr>
        <w:trPr>
          <w:trHeight w:val="28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Free Residual</w:t>
            </w:r>
          </w:p>
        </w:tc>
        <w:tc>
          <w:tcPr>
            <w:tcW w:w="0" w:type="auto"/>
            <w:gridSpan w:val="7"/>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pH, standard units</w:t>
            </w:r>
          </w:p>
        </w:tc>
      </w:tr>
      <w:tr>
        <w:trPr>
          <w:trHeight w:val="300" w:hRule="atLeast"/>
        </w:trPr>
        <w:tc>
          <w:tcPr>
            <w:tcW w:w="265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Chlorine, mg/L</w:t>
            </w:r>
          </w:p>
        </w:tc>
        <w:tc>
          <w:tcPr>
            <w:tcW w:w="12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&gt;6.0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8.5</w:t>
            </w:r>
          </w:p>
        </w:tc>
        <w:tc>
          <w:tcPr>
            <w:tcW w:w="126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&gt;9.0</w:t>
            </w:r>
          </w:p>
        </w:tc>
      </w:tr>
      <w:tr>
        <w:trPr>
          <w:trHeight w:val="270"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82</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84</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86</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88</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77</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92</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w:t>
            </w:r>
          </w:p>
        </w:tc>
      </w:tr>
      <w:tr>
        <w:trPr>
          <w:trHeight w:val="255" w:hRule="atLeast"/>
        </w:trPr>
        <w:tc>
          <w:tcPr>
            <w:tcW w:w="26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80</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96</w:t>
            </w:r>
          </w:p>
        </w:tc>
      </w:tr>
      <w:tr>
        <w:trPr>
          <w:trHeight w:val="255" w:hRule="atLeast"/>
        </w:trPr>
        <w:tc>
          <w:tcPr>
            <w:tcW w:w="2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12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67</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81</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97</w:t>
            </w:r>
          </w:p>
        </w:tc>
      </w:tr>
    </w:tbl>
    <w:p>
      <w:pPr>
        <w:spacing w:before="0" w:after="0"/>
        <w:ind w:left="120"/>
        <w:jc w:val="both"/>
      </w:pPr>
      <w:r>
        <w:rPr>
          <w:rFonts w:ascii="Times New Roman" w:hAnsi="Times New Roman"/>
          <w:b w:val="false"/>
          <w:i w:val="false"/>
          <w:color w:val="000000"/>
          <w:sz w:val="22"/>
        </w:rPr>
        <w:t> </w:t>
      </w:r>
    </w:p>
    <w:p>
      <w:pPr>
        <w:spacing w:before="60" w:after="0"/>
        <w:ind w:left="120"/>
        <w:jc w:val="center"/>
      </w:pPr>
      <w:r>
        <w:rPr>
          <w:rFonts w:ascii="Times New Roman" w:hAnsi="Times New Roman"/>
          <w:b/>
          <w:i w:val="false"/>
          <w:color w:val="000000"/>
          <w:sz w:val="22"/>
        </w:rPr>
        <w:t>TABLE 7: Inactivation by Chlorine Dioxide and Ozone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17"/>
        <w:gridCol w:w="1268"/>
        <w:gridCol w:w="1267"/>
        <w:gridCol w:w="1267"/>
        <w:gridCol w:w="1267"/>
        <w:gridCol w:w="1267"/>
        <w:gridCol w:w="1267"/>
      </w:tblGrid>
      <w:tr>
        <w:trPr>
          <w:trHeight w:val="285" w:hRule="atLeast"/>
        </w:trPr>
        <w:tc>
          <w:tcPr>
            <w:tcW w:w="3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6"/>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Water Temperature, °C</w:t>
            </w:r>
          </w:p>
        </w:tc>
      </w:tr>
      <w:tr>
        <w:trPr>
          <w:trHeight w:val="300" w:hRule="atLeast"/>
        </w:trPr>
        <w:tc>
          <w:tcPr>
            <w:tcW w:w="391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Disinfectant</w:t>
            </w:r>
          </w:p>
        </w:tc>
        <w:tc>
          <w:tcPr>
            <w:tcW w:w="12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&lt;1</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w:t>
            </w:r>
          </w:p>
        </w:tc>
        <w:tc>
          <w:tcPr>
            <w:tcW w:w="126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&gt;25</w:t>
            </w:r>
          </w:p>
        </w:tc>
      </w:tr>
      <w:tr>
        <w:trPr>
          <w:trHeight w:val="270" w:hRule="atLeast"/>
        </w:trPr>
        <w:tc>
          <w:tcPr>
            <w:tcW w:w="3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 Dioxide</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12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w:t>
            </w:r>
          </w:p>
        </w:tc>
      </w:tr>
      <w:tr>
        <w:trPr>
          <w:trHeight w:val="255" w:hRule="atLeast"/>
        </w:trPr>
        <w:tc>
          <w:tcPr>
            <w:tcW w:w="3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Ozone</w:t>
            </w:r>
          </w:p>
        </w:tc>
        <w:tc>
          <w:tcPr>
            <w:tcW w:w="12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0.95</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0.72</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0.48</w:t>
            </w:r>
          </w:p>
        </w:tc>
      </w:tr>
    </w:tbl>
    <w:p>
      <w:pPr>
        <w:spacing w:before="0" w:after="0"/>
        <w:ind w:left="120"/>
        <w:jc w:val="both"/>
      </w:pPr>
      <w:r>
        <w:rPr>
          <w:rFonts w:ascii="Times New Roman" w:hAnsi="Times New Roman"/>
          <w:b w:val="false"/>
          <w:i w:val="false"/>
          <w:color w:val="000000"/>
          <w:sz w:val="22"/>
        </w:rPr>
        <w:t> </w:t>
      </w:r>
    </w:p>
    <w:p>
      <w:pPr>
        <w:spacing w:before="60" w:after="0"/>
        <w:ind w:left="120"/>
        <w:jc w:val="center"/>
      </w:pPr>
      <w:r>
        <w:rPr>
          <w:rFonts w:ascii="Times New Roman" w:hAnsi="Times New Roman"/>
          <w:b/>
          <w:i w:val="false"/>
          <w:color w:val="000000"/>
          <w:sz w:val="22"/>
        </w:rPr>
        <w:t>TABLE 8: Inactivation by Chloramines</w:t>
      </w:r>
      <w:r>
        <w:rPr>
          <w:rFonts w:ascii="Times New Roman" w:hAnsi="Times New Roman"/>
          <w:b/>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11"/>
        <w:gridCol w:w="1383"/>
        <w:gridCol w:w="1383"/>
        <w:gridCol w:w="1382"/>
        <w:gridCol w:w="1382"/>
        <w:gridCol w:w="1382"/>
        <w:gridCol w:w="1497"/>
      </w:tblGrid>
      <w:tr>
        <w:trPr>
          <w:trHeight w:val="285" w:hRule="atLeast"/>
        </w:trPr>
        <w:tc>
          <w:tcPr>
            <w:tcW w:w="311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21"/>
              </w:rPr>
              <w:t>Disinfectant</w:t>
            </w:r>
          </w:p>
        </w:tc>
        <w:tc>
          <w:tcPr>
            <w:tcW w:w="0" w:type="auto"/>
            <w:gridSpan w:val="6"/>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Water Temperature, °C</w:t>
            </w:r>
          </w:p>
        </w:tc>
      </w:tr>
      <w:tr>
        <w:trPr>
          <w:trHeight w:val="300" w:hRule="atLeast"/>
        </w:trPr>
        <w:tc>
          <w:tcPr>
            <w:tcW w:w="0" w:type="auto"/>
            <w:vMerge/>
            <w:tcBorders>
              <w:top w:val="nil"/>
              <w:bottom w:val="single" w:color="000000" w:sz="8"/>
              <w:right w:val="single" w:color="000000" w:sz="8"/>
            </w:tcBorders>
          </w:tcPr>
          <w:p/>
        </w:tc>
        <w:tc>
          <w:tcPr>
            <w:tcW w:w="13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&lt;1</w:t>
            </w:r>
          </w:p>
        </w:tc>
        <w:tc>
          <w:tcPr>
            <w:tcW w:w="13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w:t>
            </w:r>
          </w:p>
        </w:tc>
        <w:tc>
          <w:tcPr>
            <w:tcW w:w="138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w:t>
            </w:r>
          </w:p>
        </w:tc>
        <w:tc>
          <w:tcPr>
            <w:tcW w:w="138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w:t>
            </w:r>
          </w:p>
        </w:tc>
        <w:tc>
          <w:tcPr>
            <w:tcW w:w="138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w:t>
            </w:r>
          </w:p>
        </w:tc>
        <w:tc>
          <w:tcPr>
            <w:tcW w:w="149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w:t>
            </w:r>
          </w:p>
        </w:tc>
      </w:tr>
      <w:tr>
        <w:trPr>
          <w:trHeight w:val="270" w:hRule="atLeast"/>
        </w:trPr>
        <w:tc>
          <w:tcPr>
            <w:tcW w:w="311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Chloramines</w:t>
            </w:r>
          </w:p>
        </w:tc>
        <w:tc>
          <w:tcPr>
            <w:tcW w:w="13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3800</w:t>
            </w:r>
          </w:p>
        </w:tc>
        <w:tc>
          <w:tcPr>
            <w:tcW w:w="138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2200</w:t>
            </w:r>
          </w:p>
        </w:tc>
        <w:tc>
          <w:tcPr>
            <w:tcW w:w="138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1850</w:t>
            </w:r>
          </w:p>
        </w:tc>
        <w:tc>
          <w:tcPr>
            <w:tcW w:w="138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1500</w:t>
            </w:r>
          </w:p>
        </w:tc>
        <w:tc>
          <w:tcPr>
            <w:tcW w:w="138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1100</w:t>
            </w:r>
          </w:p>
        </w:tc>
        <w:tc>
          <w:tcPr>
            <w:tcW w:w="1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750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These values are for pH values of 6 to 9 standard units. These CT values may be assumed to achieve greater than 99.99 percent (4-log) inactivation of viruses only if chlorine is added and mixed in the water prior to the addition of ammonia. If this condition is not met, the system must demonstrate, based on on-site studies or other department-approved information, that the system is achieving at least 99.99 percent(4-log) inactivation of viruses. </w:t>
      </w:r>
    </w:p>
    <w:p>
      <w:pPr>
        <w:spacing w:before="60" w:after="0"/>
        <w:ind w:left="120"/>
        <w:jc w:val="center"/>
      </w:pPr>
      <w:r>
        <w:rPr>
          <w:rFonts w:ascii="Times New Roman" w:hAnsi="Times New Roman"/>
          <w:b/>
          <w:i w:val="false"/>
          <w:color w:val="000000"/>
          <w:sz w:val="22"/>
        </w:rPr>
        <w:t xml:space="preserve">APPENDIX B: CT TABLES FOR </w:t>
      </w:r>
      <w:r>
        <w:rPr>
          <w:rFonts w:ascii="Times New Roman" w:hAnsi="Times New Roman"/>
          <w:b/>
          <w:i/>
          <w:color w:val="000000"/>
          <w:sz w:val="22"/>
        </w:rPr>
        <w:t>CRYPTOSPORIDIUM</w:t>
      </w:r>
      <w:r>
        <w:rPr>
          <w:rFonts w:ascii="Times New Roman" w:hAnsi="Times New Roman"/>
          <w:b/>
          <w:i w:val="false"/>
          <w:color w:val="000000"/>
          <w:sz w:val="22"/>
        </w:rPr>
        <w:t xml:space="preserve"> INACTIVATION</w:t>
      </w:r>
    </w:p>
    <w:p>
      <w:pPr>
        <w:spacing w:before="60" w:after="0"/>
        <w:ind w:left="120"/>
        <w:jc w:val="center"/>
      </w:pPr>
      <w:r>
        <w:rPr>
          <w:rFonts w:ascii="Times New Roman" w:hAnsi="Times New Roman"/>
          <w:b/>
          <w:i w:val="false"/>
          <w:color w:val="000000"/>
          <w:sz w:val="22"/>
        </w:rPr>
        <w:t xml:space="preserve">TABLE 1: CT Values (mg-min/L) for </w:t>
      </w:r>
      <w:r>
        <w:rPr>
          <w:rFonts w:ascii="Times New Roman" w:hAnsi="Times New Roman"/>
          <w:b/>
          <w:i/>
          <w:color w:val="000000"/>
          <w:sz w:val="22"/>
        </w:rPr>
        <w:t>Cryptosporidium</w:t>
      </w:r>
      <w:r>
        <w:rPr>
          <w:rFonts w:ascii="Times New Roman" w:hAnsi="Times New Roman"/>
          <w:b/>
          <w:i w:val="false"/>
          <w:color w:val="000000"/>
          <w:sz w:val="22"/>
        </w:rPr>
        <w:t xml:space="preserve"> Inactivation by Chlorine Dioxide</w:t>
      </w:r>
      <w:r>
        <w:rPr>
          <w:rFonts w:ascii="Times New Roman" w:hAnsi="Times New Roman"/>
          <w:b/>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0"/>
        <w:gridCol w:w="960"/>
        <w:gridCol w:w="960"/>
        <w:gridCol w:w="960"/>
        <w:gridCol w:w="960"/>
        <w:gridCol w:w="960"/>
        <w:gridCol w:w="960"/>
        <w:gridCol w:w="960"/>
        <w:gridCol w:w="960"/>
        <w:gridCol w:w="960"/>
        <w:gridCol w:w="960"/>
        <w:gridCol w:w="960"/>
      </w:tblGrid>
      <w:tr>
        <w:trPr>
          <w:trHeight w:val="285" w:hRule="atLeast"/>
        </w:trPr>
        <w:tc>
          <w:tcPr>
            <w:tcW w:w="96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Log Credit</w:t>
            </w:r>
          </w:p>
        </w:tc>
        <w:tc>
          <w:tcPr>
            <w:tcW w:w="0" w:type="auto"/>
            <w:gridSpan w:val="11"/>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Water Temperature, °C</w:t>
            </w:r>
          </w:p>
        </w:tc>
      </w:tr>
      <w:tr>
        <w:trPr>
          <w:trHeight w:val="300" w:hRule="atLeast"/>
        </w:trPr>
        <w:tc>
          <w:tcPr>
            <w:tcW w:w="0" w:type="auto"/>
            <w:vMerge/>
            <w:tcBorders>
              <w:top w:val="nil"/>
              <w:bottom w:val="single" w:color="000000" w:sz="8"/>
              <w:right w:val="single" w:color="000000" w:sz="8"/>
            </w:tcBorders>
          </w:tcP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&gt;0.5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w:t>
            </w:r>
          </w:p>
        </w:tc>
        <w:tc>
          <w:tcPr>
            <w:tcW w:w="96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30</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511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643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174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73</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1275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1117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1023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98</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1594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1396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1278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899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122</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1675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1534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1286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1079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536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347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147</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Systems may use this equation to determine log credit between the indicated values:</w:t>
      </w:r>
    </w:p>
    <w:p>
      <w:pPr>
        <w:spacing w:before="0" w:after="0"/>
        <w:ind w:left="120"/>
        <w:jc w:val="both"/>
      </w:pPr>
      <w:r>
        <w:rPr>
          <w:rFonts w:ascii="Times New Roman" w:hAnsi="Times New Roman"/>
          <w:b w:val="false"/>
          <w:i w:val="false"/>
          <w:color w:val="000000"/>
          <w:sz w:val="16"/>
        </w:rPr>
        <w:t>Log credit = [0.001506 × (1.09116)</w:t>
      </w:r>
      <w:r>
        <w:rPr>
          <w:rFonts w:ascii="Times New Roman" w:hAnsi="Times New Roman"/>
          <w:b w:val="false"/>
          <w:i w:val="false"/>
          <w:color w:val="000000"/>
          <w:sz w:val="18"/>
          <w:vertAlign w:val="superscript"/>
        </w:rPr>
        <w:t>Temp</w:t>
      </w:r>
      <w:r>
        <w:rPr>
          <w:rFonts w:ascii="Times New Roman" w:hAnsi="Times New Roman"/>
          <w:b w:val="false"/>
          <w:i w:val="false"/>
          <w:color w:val="000000"/>
          <w:sz w:val="16"/>
        </w:rPr>
        <w:t>] × CT</w:t>
      </w:r>
    </w:p>
    <w:p>
      <w:pPr>
        <w:spacing w:before="0" w:after="0"/>
        <w:ind w:left="120"/>
        <w:jc w:val="both"/>
      </w:pPr>
      <w:r>
        <w:rPr>
          <w:rFonts w:ascii="Times New Roman" w:hAnsi="Times New Roman"/>
          <w:b w:val="false"/>
          <w:i w:val="false"/>
          <w:color w:val="000000"/>
          <w:sz w:val="22"/>
        </w:rPr>
        <w:t> </w:t>
      </w:r>
    </w:p>
    <w:p>
      <w:pPr>
        <w:spacing w:before="60" w:after="0"/>
        <w:ind w:left="120"/>
        <w:jc w:val="center"/>
      </w:pPr>
      <w:r>
        <w:rPr>
          <w:rFonts w:ascii="Times New Roman" w:hAnsi="Times New Roman"/>
          <w:b/>
          <w:i w:val="false"/>
          <w:color w:val="000000"/>
          <w:sz w:val="22"/>
        </w:rPr>
        <w:t xml:space="preserve">TABLE 2: CT Values (mg-min/L) for </w:t>
      </w:r>
      <w:r>
        <w:rPr>
          <w:rFonts w:ascii="Times New Roman" w:hAnsi="Times New Roman"/>
          <w:b/>
          <w:i/>
          <w:color w:val="000000"/>
          <w:sz w:val="22"/>
        </w:rPr>
        <w:t xml:space="preserve">Cryptosporidium </w:t>
      </w:r>
      <w:r>
        <w:rPr>
          <w:rFonts w:ascii="Times New Roman" w:hAnsi="Times New Roman"/>
          <w:b/>
          <w:i w:val="false"/>
          <w:color w:val="000000"/>
          <w:sz w:val="22"/>
        </w:rPr>
        <w:t>Inactivation by Ozone</w:t>
      </w:r>
      <w:r>
        <w:rPr>
          <w:rFonts w:ascii="Times New Roman" w:hAnsi="Times New Roman"/>
          <w:b/>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0"/>
        <w:gridCol w:w="960"/>
        <w:gridCol w:w="960"/>
        <w:gridCol w:w="960"/>
        <w:gridCol w:w="960"/>
        <w:gridCol w:w="960"/>
        <w:gridCol w:w="960"/>
        <w:gridCol w:w="960"/>
        <w:gridCol w:w="960"/>
        <w:gridCol w:w="960"/>
        <w:gridCol w:w="960"/>
        <w:gridCol w:w="960"/>
      </w:tblGrid>
      <w:tr>
        <w:trPr>
          <w:trHeight w:val="285" w:hRule="atLeast"/>
        </w:trPr>
        <w:tc>
          <w:tcPr>
            <w:tcW w:w="96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Log Credit</w:t>
            </w:r>
          </w:p>
        </w:tc>
        <w:tc>
          <w:tcPr>
            <w:tcW w:w="0" w:type="auto"/>
            <w:gridSpan w:val="11"/>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Water Temperature, °C</w:t>
            </w:r>
          </w:p>
        </w:tc>
      </w:tr>
      <w:tr>
        <w:trPr>
          <w:trHeight w:val="300" w:hRule="atLeast"/>
        </w:trPr>
        <w:tc>
          <w:tcPr>
            <w:tcW w:w="0" w:type="auto"/>
            <w:vMerge/>
            <w:tcBorders>
              <w:top w:val="nil"/>
              <w:bottom w:val="single" w:color="000000" w:sz="8"/>
              <w:right w:val="single" w:color="000000" w:sz="8"/>
            </w:tcBorders>
          </w:tcP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&gt;0.5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7</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w:t>
            </w:r>
          </w:p>
        </w:tc>
        <w:tc>
          <w:tcPr>
            <w:tcW w:w="96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30</w:t>
            </w:r>
          </w:p>
        </w:tc>
      </w:tr>
      <w:tr>
        <w:trPr>
          <w:trHeight w:val="2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0.39</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0.78</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2.4</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3.1</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9.8</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r>
      <w:tr>
        <w:trPr>
          <w:trHeight w:val="25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19</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Systems may use this equation to determine log credit between the indicated values:</w:t>
      </w:r>
    </w:p>
    <w:p>
      <w:pPr>
        <w:spacing w:before="0" w:after="0"/>
        <w:ind w:left="120"/>
        <w:jc w:val="both"/>
      </w:pPr>
      <w:r>
        <w:rPr>
          <w:rFonts w:ascii="Times New Roman" w:hAnsi="Times New Roman"/>
          <w:b w:val="false"/>
          <w:i w:val="false"/>
          <w:color w:val="000000"/>
          <w:sz w:val="16"/>
        </w:rPr>
        <w:t>Log credit = [0.0397 × (1.09757)</w:t>
      </w:r>
      <w:r>
        <w:rPr>
          <w:rFonts w:ascii="Times New Roman" w:hAnsi="Times New Roman"/>
          <w:b w:val="false"/>
          <w:i w:val="false"/>
          <w:color w:val="000000"/>
          <w:sz w:val="18"/>
          <w:vertAlign w:val="superscript"/>
        </w:rPr>
        <w:t>Temp</w:t>
      </w:r>
      <w:r>
        <w:rPr>
          <w:rFonts w:ascii="Times New Roman" w:hAnsi="Times New Roman"/>
          <w:b w:val="false"/>
          <w:i w:val="false"/>
          <w:color w:val="000000"/>
          <w:sz w:val="16"/>
        </w:rPr>
        <w:t>] × CT</w:t>
      </w:r>
    </w:p>
    <w:p>
      <w:pPr>
        <w:pageBreakBefore/>
        <w:spacing w:before="0" w:after="0"/>
        <w:ind w:left="120"/>
        <w:jc w:val="both"/>
      </w:pPr>
    </w:p>
    <w:p>
      <w:pPr>
        <w:spacing w:before="60" w:after="0"/>
        <w:ind w:left="120"/>
        <w:jc w:val="center"/>
      </w:pPr>
      <w:r>
        <w:rPr>
          <w:rFonts w:ascii="Times New Roman" w:hAnsi="Times New Roman"/>
          <w:b/>
          <w:i w:val="false"/>
          <w:color w:val="000000"/>
          <w:sz w:val="22"/>
        </w:rPr>
        <w:t xml:space="preserve">TABLE 3: UV Dose for </w:t>
      </w:r>
      <w:r>
        <w:rPr>
          <w:rFonts w:ascii="Times New Roman" w:hAnsi="Times New Roman"/>
          <w:b/>
          <w:i/>
          <w:color w:val="000000"/>
          <w:sz w:val="22"/>
        </w:rPr>
        <w:t>Cryptosporidium</w:t>
      </w:r>
      <w:r>
        <w:rPr>
          <w:rFonts w:ascii="Times New Roman" w:hAnsi="Times New Roman"/>
          <w:b/>
          <w:i w:val="false"/>
          <w:color w:val="000000"/>
          <w:sz w:val="22"/>
        </w:rPr>
        <w:t xml:space="preserve">, </w:t>
      </w:r>
      <w:r>
        <w:rPr>
          <w:rFonts w:ascii="Times New Roman" w:hAnsi="Times New Roman"/>
          <w:b/>
          <w:i/>
          <w:color w:val="000000"/>
          <w:sz w:val="22"/>
        </w:rPr>
        <w:t>Giardia lamblia</w:t>
      </w:r>
      <w:r>
        <w:rPr>
          <w:rFonts w:ascii="Times New Roman" w:hAnsi="Times New Roman"/>
          <w:b/>
          <w:i w:val="false"/>
          <w:color w:val="000000"/>
          <w:sz w:val="22"/>
        </w:rPr>
        <w:t>, and Virus Inactivation Credit</w:t>
      </w:r>
      <w:r>
        <w:rPr>
          <w:rFonts w:ascii="Times New Roman" w:hAnsi="Times New Roman"/>
          <w:b/>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2880"/>
        <w:gridCol w:w="2880"/>
      </w:tblGrid>
      <w:tr>
        <w:trPr>
          <w:trHeight w:val="600" w:hRule="atLeast"/>
        </w:trPr>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21"/>
              </w:rPr>
              <w:t>Log Credit</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21"/>
              </w:rPr>
              <w:t>Cryptosporidium</w:t>
            </w:r>
            <w:r>
              <w:rPr>
                <w:rFonts w:ascii="Times New Roman" w:hAnsi="Times New Roman"/>
                <w:b/>
                <w:i w:val="false"/>
                <w:color w:val="000000"/>
                <w:sz w:val="21"/>
              </w:rPr>
              <w:t xml:space="preserve"> UV dose (mJ/cm</w:t>
            </w:r>
            <w:r>
              <w:rPr>
                <w:rFonts w:ascii="Times New Roman" w:hAnsi="Times New Roman"/>
                <w:b/>
                <w:i w:val="false"/>
                <w:color w:val="000000"/>
                <w:sz w:val="18"/>
                <w:vertAlign w:val="superscript"/>
              </w:rPr>
              <w:t>2</w:t>
            </w:r>
            <w:r>
              <w:rPr>
                <w:rFonts w:ascii="Times New Roman" w:hAnsi="Times New Roman"/>
                <w:b/>
                <w:i w:val="false"/>
                <w:color w:val="000000"/>
                <w:sz w:val="21"/>
              </w:rPr>
              <w:t>)</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21"/>
              </w:rPr>
              <w:t>Giardia lamblia</w:t>
            </w:r>
            <w:r>
              <w:rPr>
                <w:rFonts w:ascii="Times New Roman" w:hAnsi="Times New Roman"/>
                <w:b/>
                <w:i w:val="false"/>
                <w:color w:val="000000"/>
                <w:sz w:val="21"/>
              </w:rPr>
              <w:t xml:space="preserve"> UV dose (mJ/cm</w:t>
            </w:r>
            <w:r>
              <w:rPr>
                <w:rFonts w:ascii="Times New Roman" w:hAnsi="Times New Roman"/>
                <w:b/>
                <w:i w:val="false"/>
                <w:color w:val="000000"/>
                <w:sz w:val="18"/>
                <w:vertAlign w:val="superscript"/>
              </w:rPr>
              <w:t>2</w:t>
            </w:r>
            <w:r>
              <w:rPr>
                <w:rFonts w:ascii="Times New Roman" w:hAnsi="Times New Roman"/>
                <w:b/>
                <w:i w:val="false"/>
                <w:color w:val="000000"/>
                <w:sz w:val="21"/>
              </w:rPr>
              <w:t>)</w:t>
            </w:r>
          </w:p>
        </w:tc>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Virus UV dose (mJ/cm</w:t>
            </w:r>
            <w:r>
              <w:rPr>
                <w:rFonts w:ascii="Times New Roman" w:hAnsi="Times New Roman"/>
                <w:b/>
                <w:i w:val="false"/>
                <w:color w:val="000000"/>
                <w:sz w:val="18"/>
                <w:vertAlign w:val="superscript"/>
              </w:rPr>
              <w:t>2</w:t>
            </w:r>
            <w:r>
              <w:rPr>
                <w:rFonts w:ascii="Times New Roman" w:hAnsi="Times New Roman"/>
                <w:b/>
                <w:i w:val="false"/>
                <w:color w:val="000000"/>
                <w:sz w:val="21"/>
              </w:rPr>
              <w:t>)</w:t>
            </w:r>
          </w:p>
        </w:tc>
      </w:tr>
      <w:tr>
        <w:trPr>
          <w:trHeight w:val="27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79</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5.8</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7.7</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121</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143</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163</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186</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The treatment credits listed in Table 3 are for UV light at a wavelength of 254 nm as produced by a low-pressure mercury vapor lamp. To receive treatment credit for other lamp types, systems must demonstrate an equivalent germicidal dose through reactor validation testing. The UV dose values in this table are applicable only to post-filter applications of UV in filtered systems. </w:t>
      </w:r>
    </w:p>
    <w:p>
      <w:pPr>
        <w:spacing w:before="60" w:after="0"/>
        <w:ind w:left="120"/>
        <w:jc w:val="center"/>
      </w:pPr>
      <w:r>
        <w:rPr>
          <w:rFonts w:ascii="Times New Roman" w:hAnsi="Times New Roman"/>
          <w:b/>
          <w:i w:val="false"/>
          <w:color w:val="000000"/>
          <w:sz w:val="22"/>
        </w:rPr>
        <w:t>APPENDIX C: CT TABLES FOR VIRUS INACTIVATION UNDER THE GROUNDWATER RULE, 567—41.7(455B)</w:t>
      </w:r>
    </w:p>
    <w:p>
      <w:pPr>
        <w:spacing w:before="60" w:after="0"/>
        <w:ind w:left="120"/>
        <w:jc w:val="center"/>
      </w:pPr>
      <w:r>
        <w:rPr>
          <w:rFonts w:ascii="Times New Roman" w:hAnsi="Times New Roman"/>
          <w:b/>
          <w:i w:val="false"/>
          <w:color w:val="000000"/>
          <w:sz w:val="22"/>
        </w:rPr>
        <w:t>TABLE 1: CT Values (mg-min/L) for Inactivation of Viruses by Free Chlorine, pH 6.0-9.0</w:t>
      </w:r>
    </w:p>
    <w:p>
      <w:pPr>
        <w:spacing w:before="60" w:after="0"/>
        <w:ind w:left="120"/>
        <w:jc w:val="center"/>
      </w:pPr>
      <w:r>
        <w:rPr>
          <w:rFonts w:ascii="Times New Roman" w:hAnsi="Times New Roman"/>
          <w:b/>
          <w:i w:val="false"/>
          <w:color w:val="000000"/>
          <w:sz w:val="18"/>
          <w:vertAlign w:val="superscript"/>
        </w:rPr>
        <w:t>(CT values provided are modified by linear interpolation between 0.5° Celsius (C) increments)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85"/>
        <w:gridCol w:w="749"/>
        <w:gridCol w:w="749"/>
        <w:gridCol w:w="749"/>
        <w:gridCol w:w="749"/>
        <w:gridCol w:w="749"/>
        <w:gridCol w:w="749"/>
        <w:gridCol w:w="749"/>
        <w:gridCol w:w="749"/>
        <w:gridCol w:w="749"/>
        <w:gridCol w:w="749"/>
        <w:gridCol w:w="749"/>
        <w:gridCol w:w="748"/>
        <w:gridCol w:w="748"/>
      </w:tblGrid>
      <w:tr>
        <w:trPr>
          <w:trHeight w:val="225" w:hRule="atLeast"/>
        </w:trPr>
        <w:tc>
          <w:tcPr>
            <w:tcW w:w="17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Inactivation</w:t>
            </w:r>
          </w:p>
        </w:tc>
        <w:tc>
          <w:tcPr>
            <w:tcW w:w="0" w:type="auto"/>
            <w:gridSpan w:val="1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Water Temperature, °C</w:t>
            </w:r>
          </w:p>
        </w:tc>
      </w:tr>
      <w:tr>
        <w:trPr>
          <w:trHeight w:val="240" w:hRule="atLeast"/>
        </w:trPr>
        <w:tc>
          <w:tcPr>
            <w:tcW w:w="17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Log Credit</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4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4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40" w:hRule="atLeast"/>
        </w:trPr>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7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7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r>
      <w:tr>
        <w:trPr>
          <w:trHeight w:val="225" w:hRule="atLeast"/>
        </w:trPr>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7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r>
      <w:tr>
        <w:trPr>
          <w:trHeight w:val="225" w:hRule="atLeast"/>
        </w:trPr>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11.6</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7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7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24"/>
        <w:gridCol w:w="833"/>
        <w:gridCol w:w="833"/>
        <w:gridCol w:w="833"/>
        <w:gridCol w:w="833"/>
        <w:gridCol w:w="833"/>
        <w:gridCol w:w="833"/>
        <w:gridCol w:w="833"/>
        <w:gridCol w:w="833"/>
        <w:gridCol w:w="833"/>
        <w:gridCol w:w="833"/>
        <w:gridCol w:w="833"/>
        <w:gridCol w:w="833"/>
      </w:tblGrid>
      <w:tr>
        <w:trPr>
          <w:trHeight w:val="225" w:hRule="atLeast"/>
        </w:trPr>
        <w:tc>
          <w:tcPr>
            <w:tcW w:w="15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Inactivation</w:t>
            </w:r>
          </w:p>
        </w:tc>
        <w:tc>
          <w:tcPr>
            <w:tcW w:w="0" w:type="auto"/>
            <w:gridSpan w:val="1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Water Temperature, °C</w:t>
            </w:r>
          </w:p>
        </w:tc>
      </w:tr>
      <w:tr>
        <w:trPr>
          <w:trHeight w:val="240" w:hRule="atLeast"/>
        </w:trPr>
        <w:tc>
          <w:tcPr>
            <w:tcW w:w="15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Log Credit</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40"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bl>
    <w:p>
      <w:pPr>
        <w:spacing w:before="0" w:after="0"/>
        <w:ind w:left="120"/>
        <w:jc w:val="both"/>
      </w:pPr>
      <w:r>
        <w:rPr>
          <w:rFonts w:ascii="Times New Roman" w:hAnsi="Times New Roman"/>
          <w:b w:val="false"/>
          <w:i w:val="false"/>
          <w:color w:val="000000"/>
          <w:sz w:val="22"/>
        </w:rPr>
        <w:t> </w:t>
      </w:r>
    </w:p>
    <w:p>
      <w:pPr>
        <w:spacing w:before="60" w:after="0"/>
        <w:ind w:left="120"/>
        <w:jc w:val="center"/>
      </w:pPr>
      <w:r>
        <w:rPr>
          <w:rFonts w:ascii="Times New Roman" w:hAnsi="Times New Roman"/>
          <w:b/>
          <w:i w:val="false"/>
          <w:color w:val="000000"/>
          <w:sz w:val="22"/>
        </w:rPr>
        <w:t>TABLE 2: CT Values (mg-min/L) for Inactivation of Viruses by Free Chlorine, pH 9.1-10.0</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32"/>
        <w:gridCol w:w="1465"/>
        <w:gridCol w:w="1465"/>
        <w:gridCol w:w="1465"/>
        <w:gridCol w:w="1465"/>
        <w:gridCol w:w="1464"/>
        <w:gridCol w:w="1464"/>
      </w:tblGrid>
      <w:tr>
        <w:trPr>
          <w:trHeight w:val="225" w:hRule="atLeast"/>
        </w:trPr>
        <w:tc>
          <w:tcPr>
            <w:tcW w:w="273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Inactivation</w:t>
            </w:r>
          </w:p>
        </w:tc>
        <w:tc>
          <w:tcPr>
            <w:tcW w:w="0" w:type="auto"/>
            <w:gridSpan w:val="6"/>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Water Temperature, °C</w:t>
            </w:r>
          </w:p>
        </w:tc>
      </w:tr>
      <w:tr>
        <w:trPr>
          <w:trHeight w:val="240" w:hRule="atLeast"/>
        </w:trPr>
        <w:tc>
          <w:tcPr>
            <w:tcW w:w="273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Log Credit</w:t>
            </w:r>
          </w:p>
        </w:tc>
        <w:tc>
          <w:tcPr>
            <w:tcW w:w="14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14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4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4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46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46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40" w:hRule="atLeast"/>
        </w:trPr>
        <w:tc>
          <w:tcPr>
            <w:tcW w:w="27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4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4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r>
      <w:tr>
        <w:trPr>
          <w:trHeight w:val="225" w:hRule="atLeast"/>
        </w:trPr>
        <w:tc>
          <w:tcPr>
            <w:tcW w:w="27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4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4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25" w:hRule="atLeast"/>
        </w:trPr>
        <w:tc>
          <w:tcPr>
            <w:tcW w:w="27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4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4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bl>
    <w:p>
      <w:pPr>
        <w:spacing w:before="0" w:after="0"/>
        <w:ind w:left="120"/>
        <w:jc w:val="both"/>
      </w:pPr>
      <w:r>
        <w:rPr>
          <w:rFonts w:ascii="Times New Roman" w:hAnsi="Times New Roman"/>
          <w:b w:val="false"/>
          <w:i w:val="false"/>
          <w:color w:val="000000"/>
          <w:sz w:val="22"/>
        </w:rPr>
        <w:t> </w:t>
      </w:r>
    </w:p>
    <w:p>
      <w:pPr>
        <w:spacing w:before="60" w:after="0"/>
        <w:ind w:left="120"/>
        <w:jc w:val="center"/>
      </w:pPr>
      <w:r>
        <w:rPr>
          <w:rFonts w:ascii="Times New Roman" w:hAnsi="Times New Roman"/>
          <w:b/>
          <w:i w:val="false"/>
          <w:color w:val="000000"/>
          <w:sz w:val="22"/>
        </w:rPr>
        <w:t>TABLE 3: CT Values (mg-min/L) for Inactivation of Viruses by Chlorine Dioxide, pH 6.0-9.0</w:t>
      </w:r>
    </w:p>
    <w:p>
      <w:pPr>
        <w:spacing w:before="60" w:after="0"/>
        <w:ind w:left="120"/>
        <w:jc w:val="center"/>
      </w:pPr>
      <w:r>
        <w:rPr>
          <w:rFonts w:ascii="Times New Roman" w:hAnsi="Times New Roman"/>
          <w:b/>
          <w:i w:val="false"/>
          <w:color w:val="000000"/>
          <w:sz w:val="18"/>
        </w:rPr>
        <w:t>(CT values provided are modified by linear interpolation between 0.5°C increments)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5"/>
        <w:gridCol w:w="774"/>
        <w:gridCol w:w="774"/>
        <w:gridCol w:w="774"/>
        <w:gridCol w:w="774"/>
        <w:gridCol w:w="774"/>
        <w:gridCol w:w="774"/>
        <w:gridCol w:w="773"/>
        <w:gridCol w:w="773"/>
        <w:gridCol w:w="773"/>
        <w:gridCol w:w="773"/>
        <w:gridCol w:w="773"/>
        <w:gridCol w:w="773"/>
        <w:gridCol w:w="773"/>
      </w:tblGrid>
      <w:tr>
        <w:trPr>
          <w:trHeight w:val="225" w:hRule="atLeast"/>
        </w:trPr>
        <w:tc>
          <w:tcPr>
            <w:tcW w:w="146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Inactivation</w:t>
            </w:r>
          </w:p>
        </w:tc>
        <w:tc>
          <w:tcPr>
            <w:tcW w:w="0" w:type="auto"/>
            <w:gridSpan w:val="1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Water Temperature, °C</w:t>
            </w:r>
          </w:p>
        </w:tc>
      </w:tr>
      <w:tr>
        <w:trPr>
          <w:trHeight w:val="240" w:hRule="atLeast"/>
        </w:trPr>
        <w:tc>
          <w:tcPr>
            <w:tcW w:w="14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Log Credit</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40" w:hRule="atLeast"/>
        </w:trPr>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r>
      <w:tr>
        <w:trPr>
          <w:trHeight w:val="225" w:hRule="atLeast"/>
        </w:trPr>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25.6</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23.5</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19.2</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16.2</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14.5</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13.7</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r>
      <w:tr>
        <w:trPr>
          <w:trHeight w:val="225" w:hRule="atLeast"/>
        </w:trPr>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50.1</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45.9</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41.8</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37.6</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33.4</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31.7</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30.1</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28.4</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26.8</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25.1</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23.4</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21.7</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24"/>
        <w:gridCol w:w="833"/>
        <w:gridCol w:w="833"/>
        <w:gridCol w:w="833"/>
        <w:gridCol w:w="833"/>
        <w:gridCol w:w="833"/>
        <w:gridCol w:w="833"/>
        <w:gridCol w:w="833"/>
        <w:gridCol w:w="833"/>
        <w:gridCol w:w="833"/>
        <w:gridCol w:w="833"/>
        <w:gridCol w:w="833"/>
        <w:gridCol w:w="833"/>
      </w:tblGrid>
      <w:tr>
        <w:trPr>
          <w:trHeight w:val="225" w:hRule="atLeast"/>
        </w:trPr>
        <w:tc>
          <w:tcPr>
            <w:tcW w:w="15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Inactivation</w:t>
            </w:r>
          </w:p>
        </w:tc>
        <w:tc>
          <w:tcPr>
            <w:tcW w:w="0" w:type="auto"/>
            <w:gridSpan w:val="1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Water Temperature, °C</w:t>
            </w:r>
          </w:p>
        </w:tc>
      </w:tr>
      <w:tr>
        <w:trPr>
          <w:trHeight w:val="240" w:hRule="atLeast"/>
        </w:trPr>
        <w:tc>
          <w:tcPr>
            <w:tcW w:w="15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Log Credit</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40"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25"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r>
      <w:tr>
        <w:trPr>
          <w:trHeight w:val="225"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15.9</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r>
    </w:tbl>
    <w:p>
      <w:pPr>
        <w:pageBreakBefore/>
        <w:spacing w:before="0" w:after="0"/>
        <w:ind w:left="120"/>
        <w:jc w:val="both"/>
      </w:pPr>
    </w:p>
    <w:p>
      <w:pPr>
        <w:spacing w:before="60" w:after="0"/>
        <w:ind w:left="120"/>
        <w:jc w:val="center"/>
      </w:pPr>
      <w:r>
        <w:rPr>
          <w:rFonts w:ascii="Times New Roman" w:hAnsi="Times New Roman"/>
          <w:b/>
          <w:i w:val="false"/>
          <w:color w:val="000000"/>
          <w:sz w:val="22"/>
        </w:rPr>
        <w:t>TABLE 4: CT Values (mg-min/L) for Inactivation of Viruses by Ozone</w:t>
      </w:r>
    </w:p>
    <w:p>
      <w:pPr>
        <w:spacing w:before="60" w:after="0"/>
        <w:ind w:left="120"/>
        <w:jc w:val="center"/>
      </w:pPr>
      <w:r>
        <w:rPr>
          <w:rFonts w:ascii="Times New Roman" w:hAnsi="Times New Roman"/>
          <w:b/>
          <w:i w:val="false"/>
          <w:color w:val="000000"/>
          <w:sz w:val="18"/>
        </w:rPr>
        <w:t>(CT values provided are modified by linear interpolation between 0.5°C increments)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5"/>
        <w:gridCol w:w="774"/>
        <w:gridCol w:w="774"/>
        <w:gridCol w:w="774"/>
        <w:gridCol w:w="774"/>
        <w:gridCol w:w="774"/>
        <w:gridCol w:w="774"/>
        <w:gridCol w:w="773"/>
        <w:gridCol w:w="773"/>
        <w:gridCol w:w="773"/>
        <w:gridCol w:w="773"/>
        <w:gridCol w:w="773"/>
        <w:gridCol w:w="773"/>
        <w:gridCol w:w="773"/>
      </w:tblGrid>
      <w:tr>
        <w:trPr>
          <w:trHeight w:val="225" w:hRule="atLeast"/>
        </w:trPr>
        <w:tc>
          <w:tcPr>
            <w:tcW w:w="146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Inactivation</w:t>
            </w:r>
          </w:p>
        </w:tc>
        <w:tc>
          <w:tcPr>
            <w:tcW w:w="0" w:type="auto"/>
            <w:gridSpan w:val="1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Water Temperature, °C</w:t>
            </w:r>
          </w:p>
        </w:tc>
      </w:tr>
      <w:tr>
        <w:trPr>
          <w:trHeight w:val="240" w:hRule="atLeast"/>
        </w:trPr>
        <w:tc>
          <w:tcPr>
            <w:tcW w:w="14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Log Credit</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40" w:hRule="atLeast"/>
        </w:trPr>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0.58</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0.54</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0.46</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0.42</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w:t>
            </w:r>
          </w:p>
        </w:tc>
      </w:tr>
      <w:tr>
        <w:trPr>
          <w:trHeight w:val="225" w:hRule="atLeast"/>
        </w:trPr>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1.15</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0.86</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0.82</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0.80</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0.74</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0.62</w:t>
            </w:r>
          </w:p>
        </w:tc>
      </w:tr>
      <w:tr>
        <w:trPr>
          <w:trHeight w:val="225" w:hRule="atLeast"/>
        </w:trPr>
        <w:tc>
          <w:tcPr>
            <w:tcW w:w="1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1.65</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1.35</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w:t>
            </w:r>
          </w:p>
        </w:tc>
        <w:tc>
          <w:tcPr>
            <w:tcW w:w="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1.16</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w:t>
            </w:r>
          </w:p>
        </w:tc>
        <w:tc>
          <w:tcPr>
            <w:tcW w:w="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0.76</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24"/>
        <w:gridCol w:w="833"/>
        <w:gridCol w:w="833"/>
        <w:gridCol w:w="833"/>
        <w:gridCol w:w="833"/>
        <w:gridCol w:w="833"/>
        <w:gridCol w:w="833"/>
        <w:gridCol w:w="833"/>
        <w:gridCol w:w="833"/>
        <w:gridCol w:w="833"/>
        <w:gridCol w:w="833"/>
        <w:gridCol w:w="833"/>
        <w:gridCol w:w="833"/>
      </w:tblGrid>
      <w:tr>
        <w:trPr>
          <w:trHeight w:val="225" w:hRule="atLeast"/>
        </w:trPr>
        <w:tc>
          <w:tcPr>
            <w:tcW w:w="15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Inactivation</w:t>
            </w:r>
          </w:p>
        </w:tc>
        <w:tc>
          <w:tcPr>
            <w:tcW w:w="0" w:type="auto"/>
            <w:gridSpan w:val="1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Water Temperature, °C</w:t>
            </w:r>
          </w:p>
        </w:tc>
      </w:tr>
      <w:tr>
        <w:trPr>
          <w:trHeight w:val="240" w:hRule="atLeast"/>
        </w:trPr>
        <w:tc>
          <w:tcPr>
            <w:tcW w:w="15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Log Credit</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83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40"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0.29</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0.19</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r>
      <w:tr>
        <w:trPr>
          <w:trHeight w:val="225"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w:t>
            </w:r>
          </w:p>
        </w:tc>
      </w:tr>
      <w:tr>
        <w:trPr>
          <w:trHeight w:val="225" w:hRule="atLeast"/>
        </w:trPr>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0.46</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0.42</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w:t>
            </w:r>
          </w:p>
        </w:tc>
        <w:tc>
          <w:tcPr>
            <w:tcW w:w="83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w:t>
            </w:r>
          </w:p>
        </w:tc>
      </w:tr>
    </w:tbl>
    <w:p>
      <w:pPr>
        <w:spacing w:before="0" w:after="0"/>
        <w:ind w:left="120"/>
        <w:jc w:val="both"/>
      </w:pPr>
      <w:r>
        <w:rPr>
          <w:rFonts w:ascii="Times New Roman" w:hAnsi="Times New Roman"/>
          <w:b w:val="false"/>
          <w:i w:val="false"/>
          <w:color w:val="000000"/>
          <w:sz w:val="22"/>
        </w:rPr>
        <w:t xml:space="preserve"> No CT table is provided for chloramines or total chlorine because the CT values would be prohibitively high for GW systems. Tables are from the EPA Groundwater Rule Implementation Guidance, EPA 816-R-09-004, January 2009, pages 97-98. </w:t>
      </w:r>
    </w:p>
    <w:p>
      <w:pPr>
        <w:spacing w:before="0" w:after="0"/>
        <w:ind w:left="120"/>
        <w:jc w:val="center"/>
      </w:pPr>
      <w:r>
        <w:rPr>
          <w:rFonts w:ascii="Times New Roman" w:hAnsi="Times New Roman"/>
          <w:b w:val="false"/>
          <w:i w:val="false"/>
          <w:color w:val="000000"/>
          <w:sz w:val="21"/>
        </w:rPr>
        <w:t>[Filed 11/26/90, Notice 6/13/90—published 12/12/90, effective 1/16/91]</w:t>
      </w:r>
    </w:p>
    <w:p>
      <w:pPr>
        <w:spacing w:before="0" w:after="0"/>
        <w:ind w:left="120"/>
        <w:jc w:val="center"/>
      </w:pPr>
      <w:r>
        <w:rPr>
          <w:rFonts w:ascii="Times New Roman" w:hAnsi="Times New Roman"/>
          <w:b w:val="false"/>
          <w:i w:val="false"/>
          <w:color w:val="000000"/>
          <w:sz w:val="21"/>
        </w:rPr>
        <w:t>[Filed 9/25/92, Notice 6/10/92—published 10/14/92, effective 11/18/92]</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[Filed 1/27/95, Notice 10/12/94—published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8/25/95—published 9/13/95, effective 8/25/95]</w:t>
      </w:r>
    </w:p>
    <w:p>
      <w:pPr>
        <w:spacing w:before="0" w:after="0"/>
        <w:ind w:left="120"/>
        <w:jc w:val="center"/>
      </w:pPr>
      <w:r>
        <w:rPr>
          <w:rFonts w:ascii="Times New Roman" w:hAnsi="Times New Roman"/>
          <w:b w:val="false"/>
          <w:i w:val="false"/>
          <w:color w:val="000000"/>
          <w:sz w:val="21"/>
        </w:rPr>
        <w:t>[Filed 3/22/96, Notice 11/8/95—published 4/10/96, effective 5/15/96]</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12/12/06, Notice 10/11/06—published 1/3/07, effective 2/7/07]</w:t>
      </w:r>
    </w:p>
    <w:p>
      <w:pPr>
        <w:spacing w:before="0" w:after="0"/>
        <w:ind w:left="120"/>
        <w:jc w:val="center"/>
      </w:pPr>
      <w:r>
        <w:rPr>
          <w:rFonts w:ascii="Times New Roman" w:hAnsi="Times New Roman"/>
          <w:b w:val="false"/>
          <w:i w:val="false"/>
          <w:color w:val="000000"/>
          <w:sz w:val="21"/>
        </w:rPr>
        <w:t>[Filed 7/6/07, Notice 3/28/07—published 8/1/07, effective 9/5/07]</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6190C</w:t>
      </w:r>
      <w:r>
        <w:rPr>
          <w:rFonts w:ascii="Times New Roman" w:hAnsi="Times New Roman"/>
          <w:b w:val="false"/>
          <w:i w:val="false"/>
          <w:color w:val="000000"/>
          <w:sz w:val="21"/>
        </w:rPr>
        <w:t xml:space="preserve"> (Notice ARC 6037C,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9397C</w:t>
      </w:r>
      <w:r>
        <w:rPr>
          <w:rFonts w:ascii="Times New Roman" w:hAnsi="Times New Roman"/>
          <w:b w:val="false"/>
          <w:i w:val="false"/>
          <w:color w:val="000000"/>
          <w:sz w:val="21"/>
        </w:rPr>
        <w:t xml:space="preserve"> (Notice ARC 8617C, IAB 1/8/25)</w:t>
      </w:r>
      <w:r>
        <w:rPr>
          <w:rFonts w:ascii="Times New Roman" w:hAnsi="Times New Roman"/>
          <w:b w:val="false"/>
          <w:i w:val="false"/>
          <w:color w:val="000000"/>
          <w:sz w:val="21"/>
        </w:rPr>
        <w:t>, IAB 7/9/25, effective 8/13/25]</w:t>
      </w:r>
    </w:p>
    <w:p>
      <w:pPr>
        <w:pBdr>
          <w:bottom w:space="2"/>
        </w:pBdr>
        <w:spacing w:before="0" w:after="0"/>
        <w:ind w:left="120"/>
        <w:jc w:val="both"/>
      </w:pPr>
      <w:r>
        <w:rPr>
          <w:rFonts w:ascii="Times New Roman" w:hAnsi="Times New Roman"/>
          <w:b w:val="false"/>
          <w:i w:val="false"/>
          <w:color w:val="000000"/>
          <w:sz w:val="22"/>
        </w:rPr>
        <w:t>Effective date of 43.2(3)</w:t>
      </w:r>
      <w:r>
        <w:rPr>
          <w:rFonts w:ascii="Times New Roman" w:hAnsi="Times New Roman"/>
          <w:b w:val="false"/>
          <w:i/>
          <w:color w:val="000000"/>
          <w:sz w:val="22"/>
        </w:rPr>
        <w:t>“b”</w:t>
      </w:r>
      <w:r>
        <w:rPr>
          <w:rFonts w:ascii="Times New Roman" w:hAnsi="Times New Roman"/>
          <w:b w:val="false"/>
          <w:i w:val="false"/>
          <w:color w:val="000000"/>
          <w:sz w:val="22"/>
        </w:rPr>
        <w:t>(1) to (9) and 43.3(3)</w:t>
      </w:r>
      <w:r>
        <w:rPr>
          <w:rFonts w:ascii="Times New Roman" w:hAnsi="Times New Roman"/>
          <w:b w:val="false"/>
          <w:i/>
          <w:color w:val="000000"/>
          <w:sz w:val="22"/>
        </w:rPr>
        <w:t>“b”</w:t>
      </w:r>
      <w:r>
        <w:rPr>
          <w:rFonts w:ascii="Times New Roman" w:hAnsi="Times New Roman"/>
          <w:b w:val="false"/>
          <w:i w:val="false"/>
          <w:color w:val="000000"/>
          <w:sz w:val="22"/>
        </w:rPr>
        <w:t>(1) and (2) delayed until adjournment of the 1995 General Assembly by the Administrative Rules Review Committee at its meeting held March 13, 1995.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40.pdf" Type="http://schemas.openxmlformats.org/officeDocument/2006/relationships/hyperlink" Id="rId5"/>
    <Relationship TargetMode="External" Target="https://www.legis.iowa.gov/docs/iac/chapter/567.43.pdf" Type="http://schemas.openxmlformats.org/officeDocument/2006/relationships/hyperlink" Id="rId6"/>
    <Relationship TargetMode="External" Target="https://www.legis.iowa.gov/docs/iac/rule/567.40.2.pdf" Type="http://schemas.openxmlformats.org/officeDocument/2006/relationships/hyperlink" Id="rId7"/>
    <Relationship TargetMode="External" Target="https://www.legis.iowa.gov/docs/iac/chapter/567.41.pdf" Type="http://schemas.openxmlformats.org/officeDocument/2006/relationships/hyperlink" Id="rId8"/>
    <Relationship TargetMode="External" Target="https://www.legis.iowa.gov/docs/iac/chapter/567.43.pdf" Type="http://schemas.openxmlformats.org/officeDocument/2006/relationships/hyperlink" Id="rId9"/>
    <Relationship TargetMode="External" Target="https://www.legis.iowa.gov/docs/iac/chapter/567.41.pdf" Type="http://schemas.openxmlformats.org/officeDocument/2006/relationships/hyperlink" Id="rId10"/>
    <Relationship TargetMode="External" Target="https://www.legis.iowa.gov/docs/iac/chapter/567.43.pdf" Type="http://schemas.openxmlformats.org/officeDocument/2006/relationships/hyperlink" Id="rId11"/>
    <Relationship TargetMode="External" Target="https://www.legis.iowa.gov/docs/iac/chapter/567.41.pdf" Type="http://schemas.openxmlformats.org/officeDocument/2006/relationships/hyperlink" Id="rId12"/>
    <Relationship TargetMode="External" Target="https://www.legis.iowa.gov/docs/iac/chapter/567.43.pdf" Type="http://schemas.openxmlformats.org/officeDocument/2006/relationships/hyperlink" Id="rId13"/>
    <Relationship TargetMode="External" Target="https://www.legis.iowa.gov/docs/iac/chapter/567.41.pdf" Type="http://schemas.openxmlformats.org/officeDocument/2006/relationships/hyperlink" Id="rId14"/>
    <Relationship TargetMode="External" Target="https://www.legis.iowa.gov/docs/iac/chapter/567.43.pdf" Type="http://schemas.openxmlformats.org/officeDocument/2006/relationships/hyperlink" Id="rId15"/>
    <Relationship TargetMode="External" Target="https://www.legis.iowa.gov/docs/iac/chapter/567.41.pdf" Type="http://schemas.openxmlformats.org/officeDocument/2006/relationships/hyperlink" Id="rId16"/>
    <Relationship TargetMode="External" Target="https://www.legis.iowa.gov/docs/iac/chapter/567.43.pdf" Type="http://schemas.openxmlformats.org/officeDocument/2006/relationships/hyperlink" Id="rId17"/>
    <Relationship TargetMode="External" Target="https://www.legis.iowa.gov/docs/iac/rule/567.43.1.pdf" Type="http://schemas.openxmlformats.org/officeDocument/2006/relationships/hyperlink" Id="rId18"/>
    <Relationship TargetMode="External" Target="https://www.legis.iowa.gov/docs/iac/chapter/567.41.pdf" Type="http://schemas.openxmlformats.org/officeDocument/2006/relationships/hyperlink" Id="rId19"/>
    <Relationship TargetMode="External" Target="https://www.legis.iowa.gov/docs/iac/chapter/567.43.pdf" Type="http://schemas.openxmlformats.org/officeDocument/2006/relationships/hyperlink" Id="rId20"/>
    <Relationship TargetMode="External" Target="https://www.legis.iowa.gov/docs/iac/rule/567.43.1.pdf" Type="http://schemas.openxmlformats.org/officeDocument/2006/relationships/hyperlink" Id="rId21"/>
    <Relationship TargetMode="External" Target="https://www.legis.iowa.gov/docs/iac/chapter/567.81.pdf" Type="http://schemas.openxmlformats.org/officeDocument/2006/relationships/hyperlink" Id="rId22"/>
    <Relationship TargetMode="External" Target="https://www.legis.iowa.gov/docs/iac/chapter/567.40.pdf" Type="http://schemas.openxmlformats.org/officeDocument/2006/relationships/hyperlink" Id="rId23"/>
    <Relationship TargetMode="External" Target="https://www.legis.iowa.gov/docs/iac/chapter/567.44.pdf" Type="http://schemas.openxmlformats.org/officeDocument/2006/relationships/hyperlink" Id="rId24"/>
    <Relationship TargetMode="External" Target="https://www.legis.iowa.gov/docs/iac/chapter/567.81.pdf" Type="http://schemas.openxmlformats.org/officeDocument/2006/relationships/hyperlink" Id="rId25"/>
    <Relationship TargetMode="External" Target="https://www.legis.iowa.gov/docs/iac/chapter/567.40.pdf" Type="http://schemas.openxmlformats.org/officeDocument/2006/relationships/hyperlink" Id="rId26"/>
    <Relationship TargetMode="External" Target="https://www.legis.iowa.gov/docs/iac/chapter/567.44.pdf" Type="http://schemas.openxmlformats.org/officeDocument/2006/relationships/hyperlink" Id="rId27"/>
    <Relationship TargetMode="External" Target="https://www.legis.iowa.gov/docs/iac/chapter/567.81.pdf" Type="http://schemas.openxmlformats.org/officeDocument/2006/relationships/hyperlink" Id="rId28"/>
    <Relationship TargetMode="External" Target="https://www.legis.iowa.gov/docs/iac/chapter/567.81.pdf" Type="http://schemas.openxmlformats.org/officeDocument/2006/relationships/hyperlink" Id="rId29"/>
    <Relationship TargetMode="External" Target="https://www.legis.iowa.gov/docs/ico/chapter/455B.183A.pdf" Type="http://schemas.openxmlformats.org/officeDocument/2006/relationships/hyperlink" Id="rId30"/>
    <Relationship TargetMode="External" Target="https://www.legis.iowa.gov/docs/ico/chapter/455B.175.pdf" Type="http://schemas.openxmlformats.org/officeDocument/2006/relationships/hyperlink" Id="rId31"/>
    <Relationship TargetMode="External" Target="https://www.legis.iowa.gov/docs/ico/chapter/455B.175.pdf" Type="http://schemas.openxmlformats.org/officeDocument/2006/relationships/hyperlink" Id="rId32"/>
    <Relationship TargetMode="External" Target="https://www.legis.iowa.gov/docs/iac/rule/567.43.2.pdf" Type="http://schemas.openxmlformats.org/officeDocument/2006/relationships/hyperlink" Id="rId33"/>
    <Relationship TargetMode="External" Target="https://www.legis.iowa.gov/docs/ico/chapter/455B.175.pdf" Type="http://schemas.openxmlformats.org/officeDocument/2006/relationships/hyperlink" Id="rId34"/>
    <Relationship TargetMode="External" Target="https://www.legis.iowa.gov/docs/ico/chapter/455B.175.pdf" Type="http://schemas.openxmlformats.org/officeDocument/2006/relationships/hyperlink" Id="rId35"/>
    <Relationship TargetMode="External" Target="https://www.legis.iowa.gov/docs/iac/rule/567.43.3.pdf" Type="http://schemas.openxmlformats.org/officeDocument/2006/relationships/hyperlink" Id="rId36"/>
    <Relationship TargetMode="External" Target="https://www.legis.iowa.gov/docs/iac/rule/567.43.3.pdf" Type="http://schemas.openxmlformats.org/officeDocument/2006/relationships/hyperlink" Id="rId37"/>
    <Relationship TargetMode="External" Target="https://www.legis.iowa.gov/docs/iac/rule/567.43.3.pdf" Type="http://schemas.openxmlformats.org/officeDocument/2006/relationships/hyperlink" Id="rId38"/>
    <Relationship TargetMode="External" Target="https://www.legis.iowa.gov/docs/iac/rule/567.43.2.pdf" Type="http://schemas.openxmlformats.org/officeDocument/2006/relationships/hyperlink" Id="rId39"/>
    <Relationship TargetMode="External" Target="https://www.legis.iowa.gov/docs/iac/rule/567.43.3.pdf" Type="http://schemas.openxmlformats.org/officeDocument/2006/relationships/hyperlink" Id="rId40"/>
    <Relationship TargetMode="External" Target="https://www.legis.iowa.gov/docs/iac/rule/567.43.2.pdf" Type="http://schemas.openxmlformats.org/officeDocument/2006/relationships/hyperlink" Id="rId41"/>
    <Relationship TargetMode="External" Target="https://www.legis.iowa.gov/docs/iac/chapter/567.7.pdf" Type="http://schemas.openxmlformats.org/officeDocument/2006/relationships/hyperlink" Id="rId42"/>
    <Relationship TargetMode="External" Target="https://www.legis.iowa.gov/docs/iac/chapter/567.7.pdf" Type="http://schemas.openxmlformats.org/officeDocument/2006/relationships/hyperlink" Id="rId43"/>
    <Relationship TargetMode="External" Target="https://www.legis.iowa.gov/docs/iac/rule/567.43.2.pdf" Type="http://schemas.openxmlformats.org/officeDocument/2006/relationships/hyperlink" Id="rId44"/>
    <Relationship TargetMode="External" Target="https://www.legis.iowa.gov/docs/iac/chapter/567.40.pdf" Type="http://schemas.openxmlformats.org/officeDocument/2006/relationships/hyperlink" Id="rId45"/>
    <Relationship TargetMode="External" Target="https://www.legis.iowa.gov/docs/iac/chapter/567.43.pdf" Type="http://schemas.openxmlformats.org/officeDocument/2006/relationships/hyperlink" Id="rId46"/>
    <Relationship TargetMode="External" Target="https://www.legis.iowa.gov/docs/iac/rule/567.43.8.pdf" Type="http://schemas.openxmlformats.org/officeDocument/2006/relationships/hyperlink" Id="rId47"/>
    <Relationship TargetMode="External" Target="https://www.legis.iowa.gov/docs/iac/chapter/567.41.pdf" Type="http://schemas.openxmlformats.org/officeDocument/2006/relationships/hyperlink" Id="rId48"/>
    <Relationship TargetMode="External" Target="https://www.legis.iowa.gov/docs/iac/chapter/567.43.pdf" Type="http://schemas.openxmlformats.org/officeDocument/2006/relationships/hyperlink" Id="rId49"/>
    <Relationship TargetMode="External" Target="https://www.legis.iowa.gov/docs/iac/rule/567.43.3.pdf" Type="http://schemas.openxmlformats.org/officeDocument/2006/relationships/hyperlink" Id="rId50"/>
    <Relationship TargetMode="External" Target="https://www.legis.iowa.gov/docs/iac/rule/567.43.3.pdf" Type="http://schemas.openxmlformats.org/officeDocument/2006/relationships/hyperlink" Id="rId51"/>
    <Relationship TargetMode="External" Target="https://www.legis.iowa.gov/docs/iac/rule/567.43.3.pdf" Type="http://schemas.openxmlformats.org/officeDocument/2006/relationships/hyperlink" Id="rId52"/>
    <Relationship TargetMode="External" Target="https://www.legis.iowa.gov/docs/iac/rule/567.43.3.pdf" Type="http://schemas.openxmlformats.org/officeDocument/2006/relationships/hyperlink" Id="rId53"/>
    <Relationship TargetMode="External" Target="https://www.legis.iowa.gov/docs/iac/rule/567.43.3.pdf" Type="http://schemas.openxmlformats.org/officeDocument/2006/relationships/hyperlink" Id="rId54"/>
    <Relationship TargetMode="External" Target="https://www.legis.iowa.gov/docs/iac/rule/567.43.3.pdf" Type="http://schemas.openxmlformats.org/officeDocument/2006/relationships/hyperlink" Id="rId55"/>
    <Relationship TargetMode="External" Target="https://www.legis.iowa.gov/docs/iac/rule/567.43.3.pdf" Type="http://schemas.openxmlformats.org/officeDocument/2006/relationships/hyperlink" Id="rId56"/>
    <Relationship TargetMode="External" Target="https://www.legis.iowa.gov/docs/iac/chapter/567.7.pdf" Type="http://schemas.openxmlformats.org/officeDocument/2006/relationships/hyperlink" Id="rId57"/>
    <Relationship TargetMode="External" Target="https://www.legis.iowa.gov/docs/iac/rule/567.43.3.pdf" Type="http://schemas.openxmlformats.org/officeDocument/2006/relationships/hyperlink" Id="rId58"/>
    <Relationship TargetMode="External" Target="https://www.legis.iowa.gov/docs/ico/chapter/455B.183.pdf" Type="http://schemas.openxmlformats.org/officeDocument/2006/relationships/hyperlink" Id="rId59"/>
    <Relationship TargetMode="External" Target="https://www.legis.iowa.gov/docs/iac/chapter/567.41.pdf" Type="http://schemas.openxmlformats.org/officeDocument/2006/relationships/hyperlink" Id="rId60"/>
    <Relationship TargetMode="External" Target="https://www.legis.iowa.gov/docs/iac/chapter/567.43.pdf" Type="http://schemas.openxmlformats.org/officeDocument/2006/relationships/hyperlink" Id="rId61"/>
    <Relationship TargetMode="External" Target="https://www.legis.iowa.gov/docs/iac/rule/567.43.8.pdf" Type="http://schemas.openxmlformats.org/officeDocument/2006/relationships/hyperlink" Id="rId62"/>
    <Relationship TargetMode="External" Target="https://www.legis.iowa.gov/docs/iac/rule/567.43.3.pdf" Type="http://schemas.openxmlformats.org/officeDocument/2006/relationships/hyperlink" Id="rId63"/>
    <Relationship TargetMode="External" Target="https://www.legis.iowa.gov/docs/iac/rule/567.43.3.pdf" Type="http://schemas.openxmlformats.org/officeDocument/2006/relationships/hyperlink" Id="rId64"/>
    <Relationship TargetMode="External" Target="https://www.legis.iowa.gov/docs/iac/rule/567.43.3.pdf" Type="http://schemas.openxmlformats.org/officeDocument/2006/relationships/hyperlink" Id="rId65"/>
    <Relationship TargetMode="External" Target="https://www.legis.iowa.gov/docs/iac/rule/567.43.3.pdf" Type="http://schemas.openxmlformats.org/officeDocument/2006/relationships/hyperlink" Id="rId66"/>
    <Relationship TargetMode="External" Target="https://www.legis.iowa.gov/docs/iac/chapter/567.82.pdf" Type="http://schemas.openxmlformats.org/officeDocument/2006/relationships/hyperlink" Id="rId67"/>
    <Relationship TargetMode="External" Target="https://www.legis.iowa.gov/docs/iac/rule/567.43.3.pdf" Type="http://schemas.openxmlformats.org/officeDocument/2006/relationships/hyperlink" Id="rId68"/>
    <Relationship TargetMode="External" Target="https://www.legis.iowa.gov/docs/iac/rule/567.43.3.pdf" Type="http://schemas.openxmlformats.org/officeDocument/2006/relationships/hyperlink" Id="rId69"/>
    <Relationship TargetMode="External" Target="https://www.legis.iowa.gov/docs/iac/rule/567.40.4.pdf" Type="http://schemas.openxmlformats.org/officeDocument/2006/relationships/hyperlink" Id="rId70"/>
    <Relationship TargetMode="External" Target="https://www.legis.iowa.gov/docs/iac/rule/567.43.3.pdf" Type="http://schemas.openxmlformats.org/officeDocument/2006/relationships/hyperlink" Id="rId71"/>
    <Relationship TargetMode="External" Target="https://www.legis.iowa.gov/docs/iac/rule/567.43.3.pdf" Type="http://schemas.openxmlformats.org/officeDocument/2006/relationships/hyperlink" Id="rId72"/>
    <Relationship TargetMode="External" Target="https://www.legis.iowa.gov/docs/iac/rule/567.43.3.pdf" Type="http://schemas.openxmlformats.org/officeDocument/2006/relationships/hyperlink" Id="rId73"/>
    <Relationship TargetMode="External" Target="https://www.legis.iowa.gov/docs/iac/chapter/567.41.pdf" Type="http://schemas.openxmlformats.org/officeDocument/2006/relationships/hyperlink" Id="rId74"/>
    <Relationship TargetMode="External" Target="https://www.legis.iowa.gov/docs/iac/chapter/567.43.pdf" Type="http://schemas.openxmlformats.org/officeDocument/2006/relationships/hyperlink" Id="rId75"/>
    <Relationship TargetMode="External" Target="https://www.legis.iowa.gov/docs/iac/rule/567.43.3.pdf" Type="http://schemas.openxmlformats.org/officeDocument/2006/relationships/hyperlink" Id="rId76"/>
    <Relationship TargetMode="External" Target="https://www.legis.iowa.gov/docs/iac/rule/567.43.3.pdf" Type="http://schemas.openxmlformats.org/officeDocument/2006/relationships/hyperlink" Id="rId77"/>
    <Relationship TargetMode="External" Target="https://www.legis.iowa.gov/docs/iac/rule/567.43.3.pdf" Type="http://schemas.openxmlformats.org/officeDocument/2006/relationships/hyperlink" Id="rId78"/>
    <Relationship TargetMode="External" Target="https://www.legis.iowa.gov/docs/iac/chapter/567.41.pdf" Type="http://schemas.openxmlformats.org/officeDocument/2006/relationships/hyperlink" Id="rId79"/>
    <Relationship TargetMode="External" Target="https://www.legis.iowa.gov/docs/iac/chapter/567.43.pdf" Type="http://schemas.openxmlformats.org/officeDocument/2006/relationships/hyperlink" Id="rId80"/>
    <Relationship TargetMode="External" Target="https://www.legis.iowa.gov/docs/iac/rule/567.43.3.pdf" Type="http://schemas.openxmlformats.org/officeDocument/2006/relationships/hyperlink" Id="rId81"/>
    <Relationship TargetMode="External" Target="https://www.legis.iowa.gov/docs/iac/rule/567.43.3.pdf" Type="http://schemas.openxmlformats.org/officeDocument/2006/relationships/hyperlink" Id="rId82"/>
    <Relationship TargetMode="External" Target="https://www.legis.iowa.gov/docs/iac/chapter/567.41.pdf" Type="http://schemas.openxmlformats.org/officeDocument/2006/relationships/hyperlink" Id="rId83"/>
    <Relationship TargetMode="External" Target="https://www.legis.iowa.gov/docs/iac/chapter/567.41.pdf" Type="http://schemas.openxmlformats.org/officeDocument/2006/relationships/hyperlink" Id="rId84"/>
    <Relationship TargetMode="External" Target="https://www.legis.iowa.gov/docs/iac/rule/567.43.3.pdf" Type="http://schemas.openxmlformats.org/officeDocument/2006/relationships/hyperlink" Id="rId85"/>
    <Relationship TargetMode="External" Target="https://www.legis.iowa.gov/docs/iac/rule/567.43.3.pdf" Type="http://schemas.openxmlformats.org/officeDocument/2006/relationships/hyperlink" Id="rId86"/>
    <Relationship TargetMode="External" Target="https://www.legis.iowa.gov/docs/iac/rule/567.40.2.pdf" Type="http://schemas.openxmlformats.org/officeDocument/2006/relationships/hyperlink" Id="rId87"/>
    <Relationship TargetMode="External" Target="https://www.legis.iowa.gov/docs/iac/rule/567.49.2.pdf" Type="http://schemas.openxmlformats.org/officeDocument/2006/relationships/hyperlink" Id="rId88"/>
    <Relationship TargetMode="External" Target="https://www.legis.iowa.gov/docs/iac/chapter/567.67.pdf" Type="http://schemas.openxmlformats.org/officeDocument/2006/relationships/hyperlink" Id="rId89"/>
    <Relationship TargetMode="External" Target="https://www.legis.iowa.gov/docs/iac/chapter/567.68.pdf" Type="http://schemas.openxmlformats.org/officeDocument/2006/relationships/hyperlink" Id="rId90"/>
    <Relationship TargetMode="External" Target="https://www.legis.iowa.gov/docs/iac/rule/567.69.1.pdf" Type="http://schemas.openxmlformats.org/officeDocument/2006/relationships/hyperlink" Id="rId91"/>
    <Relationship TargetMode="External" Target="https://www.legis.iowa.gov/docs/iac/chapter/567.69.pdf" Type="http://schemas.openxmlformats.org/officeDocument/2006/relationships/hyperlink" Id="rId92"/>
    <Relationship TargetMode="External" Target="https://www.legis.iowa.gov/docs/iac/rule/567.81.1.pdf" Type="http://schemas.openxmlformats.org/officeDocument/2006/relationships/hyperlink" Id="rId93"/>
    <Relationship TargetMode="External" Target="https://www.legis.iowa.gov/docs/iac/rule/567.81.1.pdf" Type="http://schemas.openxmlformats.org/officeDocument/2006/relationships/hyperlink" Id="rId94"/>
    <Relationship TargetMode="External" Target="https://www.legis.iowa.gov/docs/iac/rule/567.41.2.pdf" Type="http://schemas.openxmlformats.org/officeDocument/2006/relationships/hyperlink" Id="rId95"/>
    <Relationship TargetMode="External" Target="https://www.legis.iowa.gov/docs/iac/rule/567.43.3.pdf" Type="http://schemas.openxmlformats.org/officeDocument/2006/relationships/hyperlink" Id="rId96"/>
    <Relationship TargetMode="External" Target="https://www.legis.iowa.gov/docs/iac/rule/567.41.5.pdf" Type="http://schemas.openxmlformats.org/officeDocument/2006/relationships/hyperlink" Id="rId97"/>
    <Relationship TargetMode="External" Target="https://www.legis.iowa.gov/docs/iac/rule/567.41.3.pdf" Type="http://schemas.openxmlformats.org/officeDocument/2006/relationships/hyperlink" Id="rId98"/>
    <Relationship TargetMode="External" Target="https://www.legis.iowa.gov/docs/iac/rule/567.41.5.pdf" Type="http://schemas.openxmlformats.org/officeDocument/2006/relationships/hyperlink" Id="rId99"/>
    <Relationship TargetMode="External" Target="https://www.legis.iowa.gov/docs/iac/rule/567.41.5.pdf" Type="http://schemas.openxmlformats.org/officeDocument/2006/relationships/hyperlink" Id="rId100"/>
    <Relationship TargetMode="External" Target="https://www.legis.iowa.gov/docs/iac/rule/567.43.3.pdf" Type="http://schemas.openxmlformats.org/officeDocument/2006/relationships/hyperlink" Id="rId101"/>
    <Relationship TargetMode="External" Target="https://www.legis.iowa.gov/docs/iac/rule/567.40.5.pdf" Type="http://schemas.openxmlformats.org/officeDocument/2006/relationships/hyperlink" Id="rId102"/>
    <Relationship TargetMode="External" Target="https://www.legis.iowa.gov/docs/iac/rule/567.43.2.pdf" Type="http://schemas.openxmlformats.org/officeDocument/2006/relationships/hyperlink" Id="rId103"/>
    <Relationship TargetMode="External" Target="https://www.legis.iowa.gov/docs/iac/rule/567.43.3.pdf" Type="http://schemas.openxmlformats.org/officeDocument/2006/relationships/hyperlink" Id="rId104"/>
    <Relationship TargetMode="External" Target="https://www.legis.iowa.gov/docs/iac/rule/567.43.3.pdf" Type="http://schemas.openxmlformats.org/officeDocument/2006/relationships/hyperlink" Id="rId105"/>
    <Relationship TargetMode="External" Target="https://www.legis.iowa.gov/docs/iac/rule/567.40.5.pdf" Type="http://schemas.openxmlformats.org/officeDocument/2006/relationships/hyperlink" Id="rId106"/>
    <Relationship TargetMode="External" Target="https://www.legis.iowa.gov/docs/iac/rule/567.43.2.pdf" Type="http://schemas.openxmlformats.org/officeDocument/2006/relationships/hyperlink" Id="rId107"/>
    <Relationship TargetMode="External" Target="https://www.legis.iowa.gov/docs/iac/rule/567.43.3.pdf" Type="http://schemas.openxmlformats.org/officeDocument/2006/relationships/hyperlink" Id="rId108"/>
    <Relationship TargetMode="External" Target="https://www.legis.iowa.gov/docs/iac/rule/567.43.3.pdf" Type="http://schemas.openxmlformats.org/officeDocument/2006/relationships/hyperlink" Id="rId109"/>
    <Relationship TargetMode="External" Target="https://www.legis.iowa.gov/docs/iac/rule/567.43.9.pdf" Type="http://schemas.openxmlformats.org/officeDocument/2006/relationships/hyperlink" Id="rId110"/>
    <Relationship TargetMode="External" Target="https://www.legis.iowa.gov/docs/iac/rule/567.43.10.pdf" Type="http://schemas.openxmlformats.org/officeDocument/2006/relationships/hyperlink" Id="rId111"/>
    <Relationship TargetMode="External" Target="https://www.legis.iowa.gov/docs/iac/rule/567.43.5.pdf" Type="http://schemas.openxmlformats.org/officeDocument/2006/relationships/hyperlink" Id="rId112"/>
    <Relationship TargetMode="External" Target="https://www.legis.iowa.gov/docs/iac/rule/567.43.5.pdf" Type="http://schemas.openxmlformats.org/officeDocument/2006/relationships/hyperlink" Id="rId113"/>
    <Relationship TargetMode="External" Target="https://www.legis.iowa.gov/docs/iac/rule/567.43.5.pdf" Type="http://schemas.openxmlformats.org/officeDocument/2006/relationships/hyperlink" Id="rId114"/>
    <Relationship TargetMode="External" Target="https://www.legis.iowa.gov/docs/iac/rule/567.43.5.pdf" Type="http://schemas.openxmlformats.org/officeDocument/2006/relationships/hyperlink" Id="rId115"/>
    <Relationship TargetMode="External" Target="https://www.legis.iowa.gov/docs/iac/rule/567.43.5.pdf" Type="http://schemas.openxmlformats.org/officeDocument/2006/relationships/hyperlink" Id="rId116"/>
    <Relationship TargetMode="External" Target="https://www.legis.iowa.gov/docs/iac/rule/567.43.5.pdf" Type="http://schemas.openxmlformats.org/officeDocument/2006/relationships/hyperlink" Id="rId117"/>
    <Relationship TargetMode="External" Target="https://www.legis.iowa.gov/docs/iac/rule/567.43.5.pdf" Type="http://schemas.openxmlformats.org/officeDocument/2006/relationships/hyperlink" Id="rId118"/>
    <Relationship TargetMode="External" Target="https://www.legis.iowa.gov/docs/iac/rule/567.43.5.pdf" Type="http://schemas.openxmlformats.org/officeDocument/2006/relationships/hyperlink" Id="rId119"/>
    <Relationship TargetMode="External" Target="https://www.legis.iowa.gov/docs/iac/rule/567.43.5.pdf" Type="http://schemas.openxmlformats.org/officeDocument/2006/relationships/hyperlink" Id="rId120"/>
    <Relationship TargetMode="External" Target="https://www.legis.iowa.gov/docs/iac/rule/567.43.5.pdf" Type="http://schemas.openxmlformats.org/officeDocument/2006/relationships/hyperlink" Id="rId121"/>
    <Relationship TargetMode="External" Target="https://www.legis.iowa.gov/docs/iac/rule/567.43.5.pdf" Type="http://schemas.openxmlformats.org/officeDocument/2006/relationships/hyperlink" Id="rId122"/>
    <Relationship TargetMode="External" Target="https://www.legis.iowa.gov/docs/iac/chapter/567.81.pdf" Type="http://schemas.openxmlformats.org/officeDocument/2006/relationships/hyperlink" Id="rId123"/>
    <Relationship TargetMode="External" Target="https://www.legis.iowa.gov/docs/iac/rule/567.43.5.pdf" Type="http://schemas.openxmlformats.org/officeDocument/2006/relationships/hyperlink" Id="rId124"/>
    <Relationship TargetMode="External" Target="https://www.legis.iowa.gov/docs/iac/rule/567.43.5.pdf" Type="http://schemas.openxmlformats.org/officeDocument/2006/relationships/hyperlink" Id="rId125"/>
    <Relationship TargetMode="External" Target="https://www.legis.iowa.gov/docs/iac/rule/567.43.5.pdf" Type="http://schemas.openxmlformats.org/officeDocument/2006/relationships/hyperlink" Id="rId126"/>
    <Relationship TargetMode="External" Target="https://www.legis.iowa.gov/docs/iac/rule/567.43.5.pdf" Type="http://schemas.openxmlformats.org/officeDocument/2006/relationships/hyperlink" Id="rId127"/>
    <Relationship TargetMode="External" Target="https://www.legis.iowa.gov/docs/iac/rule/567.43.5.pdf" Type="http://schemas.openxmlformats.org/officeDocument/2006/relationships/hyperlink" Id="rId128"/>
    <Relationship TargetMode="External" Target="https://www.legis.iowa.gov/docs/iac/rule/567.43.5.pdf" Type="http://schemas.openxmlformats.org/officeDocument/2006/relationships/hyperlink" Id="rId129"/>
    <Relationship TargetMode="External" Target="https://www.legis.iowa.gov/docs/iac/rule/567.41.2.pdf" Type="http://schemas.openxmlformats.org/officeDocument/2006/relationships/hyperlink" Id="rId130"/>
    <Relationship TargetMode="External" Target="https://www.legis.iowa.gov/docs/iac/rule/567.43.5.pdf" Type="http://schemas.openxmlformats.org/officeDocument/2006/relationships/hyperlink" Id="rId131"/>
    <Relationship TargetMode="External" Target="https://www.legis.iowa.gov/docs/iac/rule/567.43.5.pdf" Type="http://schemas.openxmlformats.org/officeDocument/2006/relationships/hyperlink" Id="rId132"/>
    <Relationship TargetMode="External" Target="https://www.legis.iowa.gov/docs/iac/rule/567.43.5.pdf" Type="http://schemas.openxmlformats.org/officeDocument/2006/relationships/hyperlink" Id="rId133"/>
    <Relationship TargetMode="External" Target="https://www.legis.iowa.gov/docs/iac/rule/567.43.5.pdf" Type="http://schemas.openxmlformats.org/officeDocument/2006/relationships/hyperlink" Id="rId134"/>
    <Relationship TargetMode="External" Target="https://www.legis.iowa.gov/docs/iac/rule/567.43.5.pdf" Type="http://schemas.openxmlformats.org/officeDocument/2006/relationships/hyperlink" Id="rId135"/>
    <Relationship TargetMode="External" Target="https://www.legis.iowa.gov/docs/iac/rule/567.43.5.pdf" Type="http://schemas.openxmlformats.org/officeDocument/2006/relationships/hyperlink" Id="rId136"/>
    <Relationship TargetMode="External" Target="https://www.legis.iowa.gov/docs/iac/rule/567.43.9.pdf" Type="http://schemas.openxmlformats.org/officeDocument/2006/relationships/hyperlink" Id="rId137"/>
    <Relationship TargetMode="External" Target="https://www.legis.iowa.gov/docs/iac/rule/567.43.10.pdf" Type="http://schemas.openxmlformats.org/officeDocument/2006/relationships/hyperlink" Id="rId138"/>
    <Relationship TargetMode="External" Target="https://www.legis.iowa.gov/docs/iac/rule/567.43.9.pdf" Type="http://schemas.openxmlformats.org/officeDocument/2006/relationships/hyperlink" Id="rId139"/>
    <Relationship TargetMode="External" Target="https://www.legis.iowa.gov/docs/iac/rule/567.43.10.pdf" Type="http://schemas.openxmlformats.org/officeDocument/2006/relationships/hyperlink" Id="rId140"/>
    <Relationship TargetMode="External" Target="https://www.legis.iowa.gov/docs/iac/rule/567.43.5.pdf" Type="http://schemas.openxmlformats.org/officeDocument/2006/relationships/hyperlink" Id="rId141"/>
    <Relationship TargetMode="External" Target="https://www.legis.iowa.gov/docs/iac/rule/567.43.5.pdf" Type="http://schemas.openxmlformats.org/officeDocument/2006/relationships/hyperlink" Id="rId142"/>
    <Relationship TargetMode="External" Target="https://www.legis.iowa.gov/docs/iac/rule/567.43.5.pdf" Type="http://schemas.openxmlformats.org/officeDocument/2006/relationships/hyperlink" Id="rId143"/>
    <Relationship TargetMode="External" Target="https://www.legis.iowa.gov/docs/iac/rule/567.43.9.pdf" Type="http://schemas.openxmlformats.org/officeDocument/2006/relationships/hyperlink" Id="rId144"/>
    <Relationship TargetMode="External" Target="https://www.legis.iowa.gov/docs/iac/rule/567.43.10.pdf" Type="http://schemas.openxmlformats.org/officeDocument/2006/relationships/hyperlink" Id="rId145"/>
    <Relationship TargetMode="External" Target="https://www.legis.iowa.gov/docs/iac/rule/567.43.5.pdf" Type="http://schemas.openxmlformats.org/officeDocument/2006/relationships/hyperlink" Id="rId146"/>
    <Relationship TargetMode="External" Target="https://www.legis.iowa.gov/docs/iac/rule/567.43.5.pdf" Type="http://schemas.openxmlformats.org/officeDocument/2006/relationships/hyperlink" Id="rId147"/>
    <Relationship TargetMode="External" Target="https://www.legis.iowa.gov/docs/iac/chapter/567.81.pdf" Type="http://schemas.openxmlformats.org/officeDocument/2006/relationships/hyperlink" Id="rId148"/>
    <Relationship TargetMode="External" Target="https://www.legis.iowa.gov/docs/iac/chapter/567.83.pdf" Type="http://schemas.openxmlformats.org/officeDocument/2006/relationships/hyperlink" Id="rId149"/>
    <Relationship TargetMode="External" Target="https://www.legis.iowa.gov/docs/iac/chapter/567.81.pdf" Type="http://schemas.openxmlformats.org/officeDocument/2006/relationships/hyperlink" Id="rId150"/>
    <Relationship TargetMode="External" Target="http://www.hach.com" Type="http://schemas.openxmlformats.org/officeDocument/2006/relationships/hyperlink" Id="rId151"/>
    <Relationship TargetMode="External" Target="http://www.nemi.gov" Type="http://schemas.openxmlformats.org/officeDocument/2006/relationships/hyperlink" Id="rId152"/>
    <Relationship TargetMode="External" Target="http://www.nemi.gov" Type="http://schemas.openxmlformats.org/officeDocument/2006/relationships/hyperlink" Id="rId153"/>
    <Relationship TargetMode="External" Target="http://www.thermo.com" Type="http://schemas.openxmlformats.org/officeDocument/2006/relationships/hyperlink" Id="rId154"/>
    <Relationship TargetMode="External" Target="http://www.nemi.gov" Type="http://schemas.openxmlformats.org/officeDocument/2006/relationships/hyperlink" Id="rId155"/>
    <Relationship TargetMode="External" Target="http://www.nemi.gov" Type="http://schemas.openxmlformats.org/officeDocument/2006/relationships/hyperlink" Id="rId156"/>
    <Relationship TargetMode="External" Target="http://www.hach.com" Type="http://schemas.openxmlformats.org/officeDocument/2006/relationships/hyperlink" Id="rId157"/>
    <Relationship TargetMode="External" Target="http://www.hach.com" Type="http://schemas.openxmlformats.org/officeDocument/2006/relationships/hyperlink" Id="rId158"/>
    <Relationship TargetMode="External" Target="https://www.legis.iowa.gov/docs/iac/rule/567.41.4.pdf" Type="http://schemas.openxmlformats.org/officeDocument/2006/relationships/hyperlink" Id="rId159"/>
    <Relationship TargetMode="External" Target="https://www.legis.iowa.gov/docs/iac/rule/567.41.2.pdf" Type="http://schemas.openxmlformats.org/officeDocument/2006/relationships/hyperlink" Id="rId160"/>
    <Relationship TargetMode="External" Target="https://www.legis.iowa.gov/docs/iac/rule/567.43.5.pdf" Type="http://schemas.openxmlformats.org/officeDocument/2006/relationships/hyperlink" Id="rId161"/>
    <Relationship TargetMode="External" Target="http://www.nemi.gov" Type="http://schemas.openxmlformats.org/officeDocument/2006/relationships/hyperlink" Id="rId162"/>
    <Relationship TargetMode="External" Target="http://www.standardmethods.org" Type="http://schemas.openxmlformats.org/officeDocument/2006/relationships/hyperlink" Id="rId163"/>
    <Relationship TargetMode="External" Target="http://www.nemi.gov" Type="http://schemas.openxmlformats.org/officeDocument/2006/relationships/hyperlink" Id="rId164"/>
    <Relationship TargetMode="External" Target="http://www.palintest.com" Type="http://schemas.openxmlformats.org/officeDocument/2006/relationships/hyperlink" Id="rId165"/>
    <Relationship TargetMode="External" Target="http://www.palintest.com" Type="http://schemas.openxmlformats.org/officeDocument/2006/relationships/hyperlink" Id="rId166"/>
    <Relationship TargetMode="External" Target="http://www.hach.com" Type="http://schemas.openxmlformats.org/officeDocument/2006/relationships/hyperlink" Id="rId167"/>
    <Relationship TargetMode="External" Target="http://www.hach.com" Type="http://schemas.openxmlformats.org/officeDocument/2006/relationships/hyperlink" Id="rId168"/>
    <Relationship TargetMode="External" Target="https://www.legis.iowa.gov/docs/iac/rule/567.40.5.pdf" Type="http://schemas.openxmlformats.org/officeDocument/2006/relationships/hyperlink" Id="rId169"/>
    <Relationship TargetMode="External" Target="https://www.legis.iowa.gov/docs/iac/rule/567.41.2.pdf" Type="http://schemas.openxmlformats.org/officeDocument/2006/relationships/hyperlink" Id="rId170"/>
    <Relationship TargetMode="External" Target="https://www.legis.iowa.gov/docs/iac/rule/567.41.2.pdf" Type="http://schemas.openxmlformats.org/officeDocument/2006/relationships/hyperlink" Id="rId171"/>
    <Relationship TargetMode="External" Target="https://www.legis.iowa.gov/docs/iac/rule/567.41.2.pdf" Type="http://schemas.openxmlformats.org/officeDocument/2006/relationships/hyperlink" Id="rId172"/>
    <Relationship TargetMode="External" Target="https://www.legis.iowa.gov/docs/iac/chapter/567.83.pdf" Type="http://schemas.openxmlformats.org/officeDocument/2006/relationships/hyperlink" Id="rId173"/>
    <Relationship TargetMode="External" Target="https://www.legis.iowa.gov/docs/iac/rule/567.43.5.pdf" Type="http://schemas.openxmlformats.org/officeDocument/2006/relationships/hyperlink" Id="rId174"/>
    <Relationship TargetMode="External" Target="https://www.legis.iowa.gov/docs/iac/rule/567.40.5.pdf" Type="http://schemas.openxmlformats.org/officeDocument/2006/relationships/hyperlink" Id="rId175"/>
    <Relationship TargetMode="External" Target="https://www.legis.iowa.gov/docs/iac/rule/567.40.3.pdf" Type="http://schemas.openxmlformats.org/officeDocument/2006/relationships/hyperlink" Id="rId176"/>
    <Relationship TargetMode="External" Target="https://www.legis.iowa.gov/docs/iac/rule/567.40.8.pdf" Type="http://schemas.openxmlformats.org/officeDocument/2006/relationships/hyperlink" Id="rId177"/>
    <Relationship TargetMode="External" Target="https://www.legis.iowa.gov/docs/iac/rule/567.43.5.pdf" Type="http://schemas.openxmlformats.org/officeDocument/2006/relationships/hyperlink" Id="rId178"/>
    <Relationship TargetMode="External" Target="https://www.legis.iowa.gov/docs/iac/rule/567.41.6.pdf" Type="http://schemas.openxmlformats.org/officeDocument/2006/relationships/hyperlink" Id="rId179"/>
    <Relationship TargetMode="External" Target="https://www.legis.iowa.gov/docs/iac/rule/567.43.6.pdf" Type="http://schemas.openxmlformats.org/officeDocument/2006/relationships/hyperlink" Id="rId180"/>
    <Relationship TargetMode="External" Target="https://www.legis.iowa.gov/docs/iac/rule/567.43.6.pdf" Type="http://schemas.openxmlformats.org/officeDocument/2006/relationships/hyperlink" Id="rId181"/>
    <Relationship TargetMode="External" Target="https://www.legis.iowa.gov/docs/iac/rule/567.43.6.pdf" Type="http://schemas.openxmlformats.org/officeDocument/2006/relationships/hyperlink" Id="rId182"/>
    <Relationship TargetMode="External" Target="https://www.legis.iowa.gov/docs/iac/rule/567.41.6.pdf" Type="http://schemas.openxmlformats.org/officeDocument/2006/relationships/hyperlink" Id="rId183"/>
    <Relationship TargetMode="External" Target="https://www.legis.iowa.gov/docs/iac/rule/567.41.6.pdf" Type="http://schemas.openxmlformats.org/officeDocument/2006/relationships/hyperlink" Id="rId184"/>
    <Relationship TargetMode="External" Target="https://www.legis.iowa.gov/docs/iac/rule/567.41.6.pdf" Type="http://schemas.openxmlformats.org/officeDocument/2006/relationships/hyperlink" Id="rId185"/>
    <Relationship TargetMode="External" Target="https://www.legis.iowa.gov/docs/iac/rule/567.41.2.pdf" Type="http://schemas.openxmlformats.org/officeDocument/2006/relationships/hyperlink" Id="rId186"/>
    <Relationship TargetMode="External" Target="https://www.legis.iowa.gov/docs/iac/rule/567.43.5.pdf" Type="http://schemas.openxmlformats.org/officeDocument/2006/relationships/hyperlink" Id="rId187"/>
    <Relationship TargetMode="External" Target="http://nepis.epa.gov" Type="http://schemas.openxmlformats.org/officeDocument/2006/relationships/hyperlink" Id="rId188"/>
    <Relationship TargetMode="External" Target="http://www.nemi.gov" Type="http://schemas.openxmlformats.org/officeDocument/2006/relationships/hyperlink" Id="rId189"/>
    <Relationship TargetMode="External" Target="http://www.palintest.com" Type="http://schemas.openxmlformats.org/officeDocument/2006/relationships/hyperlink" Id="rId190"/>
    <Relationship TargetMode="External" Target="http://www.hach.com" Type="http://schemas.openxmlformats.org/officeDocument/2006/relationships/hyperlink" Id="rId191"/>
    <Relationship TargetMode="External" Target="http://www.palintest.com" Type="http://schemas.openxmlformats.org/officeDocument/2006/relationships/hyperlink" Id="rId192"/>
    <Relationship TargetMode="External" Target="http://www.hach.com" Type="http://schemas.openxmlformats.org/officeDocument/2006/relationships/hyperlink" Id="rId193"/>
    <Relationship TargetMode="External" Target="https://www.legis.iowa.gov/docs/iac/rule/567.43.5.pdf" Type="http://schemas.openxmlformats.org/officeDocument/2006/relationships/hyperlink" Id="rId194"/>
    <Relationship TargetMode="External" Target="https://www.legis.iowa.gov/docs/iac/chapter/567.81.pdf" Type="http://schemas.openxmlformats.org/officeDocument/2006/relationships/hyperlink" Id="rId195"/>
    <Relationship TargetMode="External" Target="https://www.legis.iowa.gov/docs/iac/chapter/567.83.pdf" Type="http://schemas.openxmlformats.org/officeDocument/2006/relationships/hyperlink" Id="rId196"/>
    <Relationship TargetMode="External" Target="https://www.legis.iowa.gov/docs/iac/rule/567.43.6.pdf" Type="http://schemas.openxmlformats.org/officeDocument/2006/relationships/hyperlink" Id="rId197"/>
    <Relationship TargetMode="External" Target="https://www.legis.iowa.gov/docs/iac/rule/567.40.5.pdf" Type="http://schemas.openxmlformats.org/officeDocument/2006/relationships/hyperlink" Id="rId198"/>
    <Relationship TargetMode="External" Target="https://www.legis.iowa.gov/docs/iac/rule/567.40.8.pdf" Type="http://schemas.openxmlformats.org/officeDocument/2006/relationships/hyperlink" Id="rId199"/>
    <Relationship TargetMode="External" Target="https://www.legis.iowa.gov/docs/iac/rule/567.40.8.pdf" Type="http://schemas.openxmlformats.org/officeDocument/2006/relationships/hyperlink" Id="rId200"/>
    <Relationship TargetMode="External" Target="https://www.legis.iowa.gov/docs/iac/rule/567.43.6.pdf" Type="http://schemas.openxmlformats.org/officeDocument/2006/relationships/hyperlink" Id="rId201"/>
    <Relationship TargetMode="External" Target="https://www.legis.iowa.gov/docs/iac/rule/567.40.5.pdf" Type="http://schemas.openxmlformats.org/officeDocument/2006/relationships/hyperlink" Id="rId202"/>
    <Relationship TargetMode="External" Target="https://www.legis.iowa.gov/docs/iac/rule/567.40.8.pdf" Type="http://schemas.openxmlformats.org/officeDocument/2006/relationships/hyperlink" Id="rId203"/>
    <Relationship TargetMode="External" Target="https://www.legis.iowa.gov/docs/iac/rule/567.43.6.pdf" Type="http://schemas.openxmlformats.org/officeDocument/2006/relationships/hyperlink" Id="rId204"/>
    <Relationship TargetMode="External" Target="https://www.legis.iowa.gov/docs/iac/rule/567.40.5.pdf" Type="http://schemas.openxmlformats.org/officeDocument/2006/relationships/hyperlink" Id="rId205"/>
    <Relationship TargetMode="External" Target="https://www.legis.iowa.gov/docs/iac/rule/567.40.8.pdf" Type="http://schemas.openxmlformats.org/officeDocument/2006/relationships/hyperlink" Id="rId206"/>
    <Relationship TargetMode="External" Target="https://www.legis.iowa.gov/docs/iac/rule/567.40.5.pdf" Type="http://schemas.openxmlformats.org/officeDocument/2006/relationships/hyperlink" Id="rId207"/>
    <Relationship TargetMode="External" Target="https://www.legis.iowa.gov/docs/iac/rule/567.40.8.pdf" Type="http://schemas.openxmlformats.org/officeDocument/2006/relationships/hyperlink" Id="rId208"/>
    <Relationship TargetMode="External" Target="https://www.legis.iowa.gov/docs/iac/rule/567.41.6.pdf" Type="http://schemas.openxmlformats.org/officeDocument/2006/relationships/hyperlink" Id="rId209"/>
    <Relationship TargetMode="External" Target="https://www.legis.iowa.gov/docs/iac/rule/567.43.6.pdf" Type="http://schemas.openxmlformats.org/officeDocument/2006/relationships/hyperlink" Id="rId210"/>
    <Relationship TargetMode="External" Target="https://www.legis.iowa.gov/docs/iac/rule/567.41.6.pdf" Type="http://schemas.openxmlformats.org/officeDocument/2006/relationships/hyperlink" Id="rId211"/>
    <Relationship TargetMode="External" Target="https://www.legis.iowa.gov/docs/iac/rule/567.43.6.pdf" Type="http://schemas.openxmlformats.org/officeDocument/2006/relationships/hyperlink" Id="rId212"/>
    <Relationship TargetMode="External" Target="https://www.legis.iowa.gov/docs/iac/chapter/567.83.pdf" Type="http://schemas.openxmlformats.org/officeDocument/2006/relationships/hyperlink" Id="rId213"/>
    <Relationship TargetMode="External" Target="https://www.legis.iowa.gov/docs/iac/chapter/567.83.pdf" Type="http://schemas.openxmlformats.org/officeDocument/2006/relationships/hyperlink" Id="rId214"/>
    <Relationship TargetMode="External" Target="https://www.legis.iowa.gov/docs/iac/chapter/567.81.pdf" Type="http://schemas.openxmlformats.org/officeDocument/2006/relationships/hyperlink" Id="rId215"/>
    <Relationship TargetMode="External" Target="https://www.legis.iowa.gov/docs/iac/chapter/567.83.pdf" Type="http://schemas.openxmlformats.org/officeDocument/2006/relationships/hyperlink" Id="rId216"/>
    <Relationship TargetMode="External" Target="https://www.legis.iowa.gov/docs/iac/chapter/567.81.pdf" Type="http://schemas.openxmlformats.org/officeDocument/2006/relationships/hyperlink" Id="rId217"/>
    <Relationship TargetMode="External" Target="http://www.hach.com" Type="http://schemas.openxmlformats.org/officeDocument/2006/relationships/hyperlink" Id="rId218"/>
    <Relationship TargetMode="External" Target="http://www.hach.com" Type="http://schemas.openxmlformats.org/officeDocument/2006/relationships/hyperlink" Id="rId219"/>
    <Relationship TargetMode="External" Target="https://www.legis.iowa.gov/docs/iac/rule/567.43.6.pdf" Type="http://schemas.openxmlformats.org/officeDocument/2006/relationships/hyperlink" Id="rId220"/>
    <Relationship TargetMode="External" Target="https://www.legis.iowa.gov/docs/iac/rule/567.41.3.pdf" Type="http://schemas.openxmlformats.org/officeDocument/2006/relationships/hyperlink" Id="rId221"/>
    <Relationship TargetMode="External" Target="https://www.legis.iowa.gov/docs/iac/rule/567.43.6.pdf" Type="http://schemas.openxmlformats.org/officeDocument/2006/relationships/hyperlink" Id="rId222"/>
    <Relationship TargetMode="External" Target="https://www.legis.iowa.gov/docs/iac/rule/567.43.6.pdf" Type="http://schemas.openxmlformats.org/officeDocument/2006/relationships/hyperlink" Id="rId223"/>
    <Relationship TargetMode="External" Target="https://www.legis.iowa.gov/docs/iac/rule/567.43.6.pdf" Type="http://schemas.openxmlformats.org/officeDocument/2006/relationships/hyperlink" Id="rId224"/>
    <Relationship TargetMode="External" Target="https://www.legis.iowa.gov/docs/iac/rule/567.43.6.pdf" Type="http://schemas.openxmlformats.org/officeDocument/2006/relationships/hyperlink" Id="rId225"/>
    <Relationship TargetMode="External" Target="https://www.legis.iowa.gov/docs/iac/rule/567.40.5.pdf" Type="http://schemas.openxmlformats.org/officeDocument/2006/relationships/hyperlink" Id="rId226"/>
    <Relationship TargetMode="External" Target="https://www.legis.iowa.gov/docs/iac/rule/567.40.8.pdf" Type="http://schemas.openxmlformats.org/officeDocument/2006/relationships/hyperlink" Id="rId227"/>
    <Relationship TargetMode="External" Target="https://www.legis.iowa.gov/docs/iac/rule/567.40.5.pdf" Type="http://schemas.openxmlformats.org/officeDocument/2006/relationships/hyperlink" Id="rId228"/>
    <Relationship TargetMode="External" Target="https://www.legis.iowa.gov/docs/iac/rule/567.40.8.pdf" Type="http://schemas.openxmlformats.org/officeDocument/2006/relationships/hyperlink" Id="rId229"/>
    <Relationship TargetMode="External" Target="https://www.legis.iowa.gov/docs/iac/rule/567.43.6.pdf" Type="http://schemas.openxmlformats.org/officeDocument/2006/relationships/hyperlink" Id="rId230"/>
    <Relationship TargetMode="External" Target="https://www.legis.iowa.gov/docs/iac/rule/567.43.6.pdf" Type="http://schemas.openxmlformats.org/officeDocument/2006/relationships/hyperlink" Id="rId231"/>
    <Relationship TargetMode="External" Target="https://www.legis.iowa.gov/docs/iac/rule/567.43.6.pdf" Type="http://schemas.openxmlformats.org/officeDocument/2006/relationships/hyperlink" Id="rId232"/>
    <Relationship TargetMode="External" Target="https://www.legis.iowa.gov/docs/iac/rule/567.43.6.pdf" Type="http://schemas.openxmlformats.org/officeDocument/2006/relationships/hyperlink" Id="rId233"/>
    <Relationship TargetMode="External" Target="https://www.legis.iowa.gov/docs/iac/rule/567.43.6.pdf" Type="http://schemas.openxmlformats.org/officeDocument/2006/relationships/hyperlink" Id="rId234"/>
    <Relationship TargetMode="External" Target="https://www.legis.iowa.gov/docs/iac/rule/567.43.6.pdf" Type="http://schemas.openxmlformats.org/officeDocument/2006/relationships/hyperlink" Id="rId235"/>
    <Relationship TargetMode="External" Target="https://www.legis.iowa.gov/docs/iac/rule/567.41.6.pdf" Type="http://schemas.openxmlformats.org/officeDocument/2006/relationships/hyperlink" Id="rId236"/>
    <Relationship TargetMode="External" Target="https://www.legis.iowa.gov/docs/iac/rule/567.43.6.pdf" Type="http://schemas.openxmlformats.org/officeDocument/2006/relationships/hyperlink" Id="rId237"/>
    <Relationship TargetMode="External" Target="https://www.legis.iowa.gov/docs/iac/rule/567.41.6.pdf" Type="http://schemas.openxmlformats.org/officeDocument/2006/relationships/hyperlink" Id="rId238"/>
    <Relationship TargetMode="External" Target="https://www.legis.iowa.gov/docs/iac/rule/567.43.6.pdf" Type="http://schemas.openxmlformats.org/officeDocument/2006/relationships/hyperlink" Id="rId239"/>
    <Relationship TargetMode="External" Target="https://www.legis.iowa.gov/docs/iac/rule/567.43.6.pdf" Type="http://schemas.openxmlformats.org/officeDocument/2006/relationships/hyperlink" Id="rId240"/>
    <Relationship TargetMode="External" Target="https://www.legis.iowa.gov/docs/iac/rule/567.43.6.pdf" Type="http://schemas.openxmlformats.org/officeDocument/2006/relationships/hyperlink" Id="rId241"/>
    <Relationship TargetMode="External" Target="https://www.legis.iowa.gov/docs/iac/rule/567.43.6.pdf" Type="http://schemas.openxmlformats.org/officeDocument/2006/relationships/hyperlink" Id="rId242"/>
    <Relationship TargetMode="External" Target="https://www.legis.iowa.gov/docs/iac/rule/567.43.6.pdf" Type="http://schemas.openxmlformats.org/officeDocument/2006/relationships/hyperlink" Id="rId243"/>
    <Relationship TargetMode="External" Target="https://www.legis.iowa.gov/docs/iac/rule/567.43.6.pdf" Type="http://schemas.openxmlformats.org/officeDocument/2006/relationships/hyperlink" Id="rId244"/>
    <Relationship TargetMode="External" Target="https://www.legis.iowa.gov/docs/iac/rule/567.43.6.pdf" Type="http://schemas.openxmlformats.org/officeDocument/2006/relationships/hyperlink" Id="rId245"/>
    <Relationship TargetMode="External" Target="https://www.legis.iowa.gov/docs/iac/rule/567.43.6.pdf" Type="http://schemas.openxmlformats.org/officeDocument/2006/relationships/hyperlink" Id="rId246"/>
    <Relationship TargetMode="External" Target="https://www.legis.iowa.gov/docs/iac/rule/567.43.6.pdf" Type="http://schemas.openxmlformats.org/officeDocument/2006/relationships/hyperlink" Id="rId247"/>
    <Relationship TargetMode="External" Target="https://www.legis.iowa.gov/docs/iac/rule/567.43.6.pdf" Type="http://schemas.openxmlformats.org/officeDocument/2006/relationships/hyperlink" Id="rId248"/>
    <Relationship TargetMode="External" Target="https://www.legis.iowa.gov/docs/iac/rule/567.43.6.pdf" Type="http://schemas.openxmlformats.org/officeDocument/2006/relationships/hyperlink" Id="rId249"/>
    <Relationship TargetMode="External" Target="https://www.legis.iowa.gov/docs/iac/rule/567.43.6.pdf" Type="http://schemas.openxmlformats.org/officeDocument/2006/relationships/hyperlink" Id="rId250"/>
    <Relationship TargetMode="External" Target="https://www.legis.iowa.gov/docs/iac/rule/567.43.6.pdf" Type="http://schemas.openxmlformats.org/officeDocument/2006/relationships/hyperlink" Id="rId251"/>
    <Relationship TargetMode="External" Target="https://www.legis.iowa.gov/docs/iac/rule/567.43.6.pdf" Type="http://schemas.openxmlformats.org/officeDocument/2006/relationships/hyperlink" Id="rId252"/>
    <Relationship TargetMode="External" Target="https://www.legis.iowa.gov/docs/iac/rule/567.43.6.pdf" Type="http://schemas.openxmlformats.org/officeDocument/2006/relationships/hyperlink" Id="rId253"/>
    <Relationship TargetMode="External" Target="https://www.legis.iowa.gov/docs/iac/rule/567.43.6.pdf" Type="http://schemas.openxmlformats.org/officeDocument/2006/relationships/hyperlink" Id="rId254"/>
    <Relationship TargetMode="External" Target="https://www.legis.iowa.gov/docs/iac/rule/567.43.6.pdf" Type="http://schemas.openxmlformats.org/officeDocument/2006/relationships/hyperlink" Id="rId255"/>
    <Relationship TargetMode="External" Target="https://www.legis.iowa.gov/docs/iac/rule/567.43.6.pdf" Type="http://schemas.openxmlformats.org/officeDocument/2006/relationships/hyperlink" Id="rId256"/>
    <Relationship TargetMode="External" Target="https://www.legis.iowa.gov/docs/iac/rule/567.43.6.pdf" Type="http://schemas.openxmlformats.org/officeDocument/2006/relationships/hyperlink" Id="rId257"/>
    <Relationship TargetMode="External" Target="https://www.legis.iowa.gov/docs/iac/rule/567.43.6.pdf" Type="http://schemas.openxmlformats.org/officeDocument/2006/relationships/hyperlink" Id="rId258"/>
    <Relationship TargetMode="External" Target="https://www.legis.iowa.gov/docs/iac/rule/567.43.6.pdf" Type="http://schemas.openxmlformats.org/officeDocument/2006/relationships/hyperlink" Id="rId259"/>
    <Relationship TargetMode="External" Target="https://www.legis.iowa.gov/docs/iac/rule/567.43.6.pdf" Type="http://schemas.openxmlformats.org/officeDocument/2006/relationships/hyperlink" Id="rId260"/>
    <Relationship TargetMode="External" Target="https://www.legis.iowa.gov/docs/iac/rule/567.43.6.pdf" Type="http://schemas.openxmlformats.org/officeDocument/2006/relationships/hyperlink" Id="rId261"/>
    <Relationship TargetMode="External" Target="https://www.legis.iowa.gov/docs/iac/rule/567.43.6.pdf" Type="http://schemas.openxmlformats.org/officeDocument/2006/relationships/hyperlink" Id="rId262"/>
    <Relationship TargetMode="External" Target="https://www.legis.iowa.gov/docs/iac/rule/567.41.4.pdf" Type="http://schemas.openxmlformats.org/officeDocument/2006/relationships/hyperlink" Id="rId263"/>
    <Relationship TargetMode="External" Target="https://www.legis.iowa.gov/docs/iac/rule/567.41.4.pdf" Type="http://schemas.openxmlformats.org/officeDocument/2006/relationships/hyperlink" Id="rId264"/>
    <Relationship TargetMode="External" Target="https://www.legis.iowa.gov/docs/iac/rule/567.41.4.pdf" Type="http://schemas.openxmlformats.org/officeDocument/2006/relationships/hyperlink" Id="rId265"/>
    <Relationship TargetMode="External" Target="https://www.legis.iowa.gov/docs/iac/rule/567.41.4.pdf" Type="http://schemas.openxmlformats.org/officeDocument/2006/relationships/hyperlink" Id="rId266"/>
    <Relationship TargetMode="External" Target="https://www.legis.iowa.gov/docs/iac/rule/567.41.4.pdf" Type="http://schemas.openxmlformats.org/officeDocument/2006/relationships/hyperlink" Id="rId267"/>
    <Relationship TargetMode="External" Target="https://www.legis.iowa.gov/docs/iac/rule/567.41.4.pdf" Type="http://schemas.openxmlformats.org/officeDocument/2006/relationships/hyperlink" Id="rId268"/>
    <Relationship TargetMode="External" Target="https://www.legis.iowa.gov/docs/iac/rule/567.41.4.pdf" Type="http://schemas.openxmlformats.org/officeDocument/2006/relationships/hyperlink" Id="rId269"/>
    <Relationship TargetMode="External" Target="https://www.legis.iowa.gov/docs/iac/rule/567.41.4.pdf" Type="http://schemas.openxmlformats.org/officeDocument/2006/relationships/hyperlink" Id="rId270"/>
    <Relationship TargetMode="External" Target="https://www.legis.iowa.gov/docs/iac/rule/567.41.4.pdf" Type="http://schemas.openxmlformats.org/officeDocument/2006/relationships/hyperlink" Id="rId271"/>
    <Relationship TargetMode="External" Target="https://www.legis.iowa.gov/docs/iac/rule/567.40.8.pdf" Type="http://schemas.openxmlformats.org/officeDocument/2006/relationships/hyperlink" Id="rId272"/>
    <Relationship TargetMode="External" Target="https://www.legis.iowa.gov/docs/iac/rule/567.43.7.pdf" Type="http://schemas.openxmlformats.org/officeDocument/2006/relationships/hyperlink" Id="rId273"/>
    <Relationship TargetMode="External" Target="https://www.legis.iowa.gov/docs/iac/rule/567.43.7.pdf" Type="http://schemas.openxmlformats.org/officeDocument/2006/relationships/hyperlink" Id="rId274"/>
    <Relationship TargetMode="External" Target="https://www.legis.iowa.gov/docs/iac/rule/567.41.4.pdf" Type="http://schemas.openxmlformats.org/officeDocument/2006/relationships/hyperlink" Id="rId275"/>
    <Relationship TargetMode="External" Target="https://www.legis.iowa.gov/docs/iac/rule/567.43.7.pdf" Type="http://schemas.openxmlformats.org/officeDocument/2006/relationships/hyperlink" Id="rId276"/>
    <Relationship TargetMode="External" Target="https://www.legis.iowa.gov/docs/iac/rule/567.43.7.pdf" Type="http://schemas.openxmlformats.org/officeDocument/2006/relationships/hyperlink" Id="rId277"/>
    <Relationship TargetMode="External" Target="https://www.legis.iowa.gov/docs/iac/rule/567.43.7.pdf" Type="http://schemas.openxmlformats.org/officeDocument/2006/relationships/hyperlink" Id="rId278"/>
    <Relationship TargetMode="External" Target="https://www.legis.iowa.gov/docs/iac/rule/567.41.4.pdf" Type="http://schemas.openxmlformats.org/officeDocument/2006/relationships/hyperlink" Id="rId279"/>
    <Relationship TargetMode="External" Target="https://www.legis.iowa.gov/docs/iac/rule/567.41.4.pdf" Type="http://schemas.openxmlformats.org/officeDocument/2006/relationships/hyperlink" Id="rId280"/>
    <Relationship TargetMode="External" Target="https://www.legis.iowa.gov/docs/iac/rule/567.43.7.pdf" Type="http://schemas.openxmlformats.org/officeDocument/2006/relationships/hyperlink" Id="rId281"/>
    <Relationship TargetMode="External" Target="https://www.legis.iowa.gov/docs/iac/rule/567.41.4.pdf" Type="http://schemas.openxmlformats.org/officeDocument/2006/relationships/hyperlink" Id="rId282"/>
    <Relationship TargetMode="External" Target="https://www.legis.iowa.gov/docs/iac/rule/567.41.4.pdf" Type="http://schemas.openxmlformats.org/officeDocument/2006/relationships/hyperlink" Id="rId283"/>
    <Relationship TargetMode="External" Target="https://www.legis.iowa.gov/docs/iac/rule/567.43.7.pdf" Type="http://schemas.openxmlformats.org/officeDocument/2006/relationships/hyperlink" Id="rId284"/>
    <Relationship TargetMode="External" Target="https://www.legis.iowa.gov/docs/iac/rule/567.43.7.pdf" Type="http://schemas.openxmlformats.org/officeDocument/2006/relationships/hyperlink" Id="rId285"/>
    <Relationship TargetMode="External" Target="https://www.legis.iowa.gov/docs/iac/rule/567.41.4.pdf" Type="http://schemas.openxmlformats.org/officeDocument/2006/relationships/hyperlink" Id="rId286"/>
    <Relationship TargetMode="External" Target="https://www.legis.iowa.gov/docs/iac/rule/567.41.4.pdf" Type="http://schemas.openxmlformats.org/officeDocument/2006/relationships/hyperlink" Id="rId287"/>
    <Relationship TargetMode="External" Target="https://www.legis.iowa.gov/docs/iac/rule/567.41.4.pdf" Type="http://schemas.openxmlformats.org/officeDocument/2006/relationships/hyperlink" Id="rId288"/>
    <Relationship TargetMode="External" Target="https://www.legis.iowa.gov/docs/iac/rule/567.43.7.pdf" Type="http://schemas.openxmlformats.org/officeDocument/2006/relationships/hyperlink" Id="rId289"/>
    <Relationship TargetMode="External" Target="https://www.legis.iowa.gov/docs/iac/rule/567.43.7.pdf" Type="http://schemas.openxmlformats.org/officeDocument/2006/relationships/hyperlink" Id="rId290"/>
    <Relationship TargetMode="External" Target="https://www.legis.iowa.gov/docs/iac/rule/567.43.7.pdf" Type="http://schemas.openxmlformats.org/officeDocument/2006/relationships/hyperlink" Id="rId291"/>
    <Relationship TargetMode="External" Target="https://www.legis.iowa.gov/docs/iac/rule/567.43.7.pdf" Type="http://schemas.openxmlformats.org/officeDocument/2006/relationships/hyperlink" Id="rId292"/>
    <Relationship TargetMode="External" Target="https://www.legis.iowa.gov/docs/iac/rule/567.43.7.pdf" Type="http://schemas.openxmlformats.org/officeDocument/2006/relationships/hyperlink" Id="rId293"/>
    <Relationship TargetMode="External" Target="https://www.legis.iowa.gov/docs/iac/rule/567.41.4.pdf" Type="http://schemas.openxmlformats.org/officeDocument/2006/relationships/hyperlink" Id="rId294"/>
    <Relationship TargetMode="External" Target="https://www.legis.iowa.gov/docs/iac/rule/567.41.4.pdf" Type="http://schemas.openxmlformats.org/officeDocument/2006/relationships/hyperlink" Id="rId295"/>
    <Relationship TargetMode="External" Target="https://www.legis.iowa.gov/docs/iac/rule/567.43.7.pdf" Type="http://schemas.openxmlformats.org/officeDocument/2006/relationships/hyperlink" Id="rId296"/>
    <Relationship TargetMode="External" Target="https://www.legis.iowa.gov/docs/iac/rule/567.43.7.pdf" Type="http://schemas.openxmlformats.org/officeDocument/2006/relationships/hyperlink" Id="rId297"/>
    <Relationship TargetMode="External" Target="https://www.legis.iowa.gov/docs/iac/rule/567.41.4.pdf" Type="http://schemas.openxmlformats.org/officeDocument/2006/relationships/hyperlink" Id="rId298"/>
    <Relationship TargetMode="External" Target="https://www.legis.iowa.gov/docs/iac/rule/567.41.4.pdf" Type="http://schemas.openxmlformats.org/officeDocument/2006/relationships/hyperlink" Id="rId299"/>
    <Relationship TargetMode="External" Target="https://www.legis.iowa.gov/docs/iac/rule/567.43.7.pdf" Type="http://schemas.openxmlformats.org/officeDocument/2006/relationships/hyperlink" Id="rId300"/>
    <Relationship TargetMode="External" Target="https://www.legis.iowa.gov/docs/iac/rule/567.43.7.pdf" Type="http://schemas.openxmlformats.org/officeDocument/2006/relationships/hyperlink" Id="rId301"/>
    <Relationship TargetMode="External" Target="https://www.legis.iowa.gov/docs/iac/rule/567.41.4.pdf" Type="http://schemas.openxmlformats.org/officeDocument/2006/relationships/hyperlink" Id="rId302"/>
    <Relationship TargetMode="External" Target="https://www.legis.iowa.gov/docs/iac/rule/567.43.7.pdf" Type="http://schemas.openxmlformats.org/officeDocument/2006/relationships/hyperlink" Id="rId303"/>
    <Relationship TargetMode="External" Target="https://www.legis.iowa.gov/docs/iac/rule/567.43.7.pdf" Type="http://schemas.openxmlformats.org/officeDocument/2006/relationships/hyperlink" Id="rId304"/>
    <Relationship TargetMode="External" Target="https://www.legis.iowa.gov/docs/iac/rule/567.43.7.pdf" Type="http://schemas.openxmlformats.org/officeDocument/2006/relationships/hyperlink" Id="rId305"/>
    <Relationship TargetMode="External" Target="https://www.legis.iowa.gov/docs/iac/rule/567.43.7.pdf" Type="http://schemas.openxmlformats.org/officeDocument/2006/relationships/hyperlink" Id="rId306"/>
    <Relationship TargetMode="External" Target="https://www.legis.iowa.gov/docs/iac/rule/567.43.7.pdf" Type="http://schemas.openxmlformats.org/officeDocument/2006/relationships/hyperlink" Id="rId307"/>
    <Relationship TargetMode="External" Target="https://www.legis.iowa.gov/docs/iac/rule/567.43.7.pdf" Type="http://schemas.openxmlformats.org/officeDocument/2006/relationships/hyperlink" Id="rId308"/>
    <Relationship TargetMode="External" Target="https://www.legis.iowa.gov/docs/iac/rule/567.41.4.pdf" Type="http://schemas.openxmlformats.org/officeDocument/2006/relationships/hyperlink" Id="rId309"/>
    <Relationship TargetMode="External" Target="https://www.legis.iowa.gov/docs/iac/rule/567.41.4.pdf" Type="http://schemas.openxmlformats.org/officeDocument/2006/relationships/hyperlink" Id="rId310"/>
    <Relationship TargetMode="External" Target="https://www.legis.iowa.gov/docs/iac/rule/567.43.7.pdf" Type="http://schemas.openxmlformats.org/officeDocument/2006/relationships/hyperlink" Id="rId311"/>
    <Relationship TargetMode="External" Target="https://www.legis.iowa.gov/docs/iac/rule/567.43.7.pdf" Type="http://schemas.openxmlformats.org/officeDocument/2006/relationships/hyperlink" Id="rId312"/>
    <Relationship TargetMode="External" Target="https://www.legis.iowa.gov/docs/iac/rule/567.43.7.pdf" Type="http://schemas.openxmlformats.org/officeDocument/2006/relationships/hyperlink" Id="rId313"/>
    <Relationship TargetMode="External" Target="https://www.legis.iowa.gov/docs/iac/rule/567.41.4.pdf" Type="http://schemas.openxmlformats.org/officeDocument/2006/relationships/hyperlink" Id="rId314"/>
    <Relationship TargetMode="External" Target="https://www.legis.iowa.gov/docs/iac/rule/567.41.4.pdf" Type="http://schemas.openxmlformats.org/officeDocument/2006/relationships/hyperlink" Id="rId315"/>
    <Relationship TargetMode="External" Target="https://www.legis.iowa.gov/docs/iac/rule/567.43.7.pdf" Type="http://schemas.openxmlformats.org/officeDocument/2006/relationships/hyperlink" Id="rId316"/>
    <Relationship TargetMode="External" Target="https://www.legis.iowa.gov/docs/iac/rule/567.43.7.pdf" Type="http://schemas.openxmlformats.org/officeDocument/2006/relationships/hyperlink" Id="rId317"/>
    <Relationship TargetMode="External" Target="https://www.legis.iowa.gov/docs/iac/rule/567.41.4.pdf" Type="http://schemas.openxmlformats.org/officeDocument/2006/relationships/hyperlink" Id="rId318"/>
    <Relationship TargetMode="External" Target="https://www.legis.iowa.gov/docs/iac/rule/567.41.4.pdf" Type="http://schemas.openxmlformats.org/officeDocument/2006/relationships/hyperlink" Id="rId319"/>
    <Relationship TargetMode="External" Target="https://www.legis.iowa.gov/docs/iac/rule/567.43.7.pdf" Type="http://schemas.openxmlformats.org/officeDocument/2006/relationships/hyperlink" Id="rId320"/>
    <Relationship TargetMode="External" Target="https://www.legis.iowa.gov/docs/iac/rule/567.43.7.pdf" Type="http://schemas.openxmlformats.org/officeDocument/2006/relationships/hyperlink" Id="rId321"/>
    <Relationship TargetMode="External" Target="https://www.legis.iowa.gov/docs/iac/rule/567.41.4.pdf" Type="http://schemas.openxmlformats.org/officeDocument/2006/relationships/hyperlink" Id="rId322"/>
    <Relationship TargetMode="External" Target="https://www.legis.iowa.gov/docs/iac/rule/567.43.7.pdf" Type="http://schemas.openxmlformats.org/officeDocument/2006/relationships/hyperlink" Id="rId323"/>
    <Relationship TargetMode="External" Target="https://www.legis.iowa.gov/docs/iac/rule/567.43.7.pdf" Type="http://schemas.openxmlformats.org/officeDocument/2006/relationships/hyperlink" Id="rId324"/>
    <Relationship TargetMode="External" Target="https://www.legis.iowa.gov/docs/iac/rule/567.41.4.pdf" Type="http://schemas.openxmlformats.org/officeDocument/2006/relationships/hyperlink" Id="rId325"/>
    <Relationship TargetMode="External" Target="https://www.legis.iowa.gov/docs/iac/rule/567.41.4.pdf" Type="http://schemas.openxmlformats.org/officeDocument/2006/relationships/hyperlink" Id="rId326"/>
    <Relationship TargetMode="External" Target="https://www.legis.iowa.gov/docs/iac/rule/567.43.7.pdf" Type="http://schemas.openxmlformats.org/officeDocument/2006/relationships/hyperlink" Id="rId327"/>
    <Relationship TargetMode="External" Target="https://www.legis.iowa.gov/docs/iac/rule/567.43.7.pdf" Type="http://schemas.openxmlformats.org/officeDocument/2006/relationships/hyperlink" Id="rId328"/>
    <Relationship TargetMode="External" Target="https://www.legis.iowa.gov/docs/iac/rule/567.41.4.pdf" Type="http://schemas.openxmlformats.org/officeDocument/2006/relationships/hyperlink" Id="rId329"/>
    <Relationship TargetMode="External" Target="https://www.legis.iowa.gov/docs/iac/rule/567.41.4.pdf" Type="http://schemas.openxmlformats.org/officeDocument/2006/relationships/hyperlink" Id="rId330"/>
    <Relationship TargetMode="External" Target="https://www.legis.iowa.gov/docs/iac/rule/567.43.7.pdf" Type="http://schemas.openxmlformats.org/officeDocument/2006/relationships/hyperlink" Id="rId331"/>
    <Relationship TargetMode="External" Target="https://www.legis.iowa.gov/docs/iac/rule/567.43.7.pdf" Type="http://schemas.openxmlformats.org/officeDocument/2006/relationships/hyperlink" Id="rId332"/>
    <Relationship TargetMode="External" Target="https://www.legis.iowa.gov/docs/iac/rule/567.43.7.pdf" Type="http://schemas.openxmlformats.org/officeDocument/2006/relationships/hyperlink" Id="rId333"/>
    <Relationship TargetMode="External" Target="https://www.legis.iowa.gov/docs/iac/rule/567.43.7.pdf" Type="http://schemas.openxmlformats.org/officeDocument/2006/relationships/hyperlink" Id="rId334"/>
    <Relationship TargetMode="External" Target="https://www.legis.iowa.gov/docs/iac/rule/567.41.4.pdf" Type="http://schemas.openxmlformats.org/officeDocument/2006/relationships/hyperlink" Id="rId335"/>
    <Relationship TargetMode="External" Target="https://www.legis.iowa.gov/docs/iac/rule/567.41.4.pdf" Type="http://schemas.openxmlformats.org/officeDocument/2006/relationships/hyperlink" Id="rId336"/>
    <Relationship TargetMode="External" Target="https://www.legis.iowa.gov/docs/iac/rule/567.43.7.pdf" Type="http://schemas.openxmlformats.org/officeDocument/2006/relationships/hyperlink" Id="rId337"/>
    <Relationship TargetMode="External" Target="https://www.legis.iowa.gov/docs/iac/rule/567.41.4.pdf" Type="http://schemas.openxmlformats.org/officeDocument/2006/relationships/hyperlink" Id="rId338"/>
    <Relationship TargetMode="External" Target="https://www.legis.iowa.gov/docs/iac/rule/567.43.7.pdf" Type="http://schemas.openxmlformats.org/officeDocument/2006/relationships/hyperlink" Id="rId339"/>
    <Relationship TargetMode="External" Target="https://www.legis.iowa.gov/docs/iac/rule/567.43.7.pdf" Type="http://schemas.openxmlformats.org/officeDocument/2006/relationships/hyperlink" Id="rId340"/>
    <Relationship TargetMode="External" Target="https://www.legis.iowa.gov/docs/iac/rule/567.40.8.pdf" Type="http://schemas.openxmlformats.org/officeDocument/2006/relationships/hyperlink" Id="rId341"/>
    <Relationship TargetMode="External" Target="https://www.legis.iowa.gov/docs/iac/chapter/567.40.pdf" Type="http://schemas.openxmlformats.org/officeDocument/2006/relationships/hyperlink" Id="rId342"/>
    <Relationship TargetMode="External" Target="https://www.legis.iowa.gov/docs/iac/chapter/567.43.pdf" Type="http://schemas.openxmlformats.org/officeDocument/2006/relationships/hyperlink" Id="rId343"/>
    <Relationship TargetMode="External" Target="https://www.legis.iowa.gov/docs/iac/chapter/567.81.pdf" Type="http://schemas.openxmlformats.org/officeDocument/2006/relationships/hyperlink" Id="rId344"/>
    <Relationship TargetMode="External" Target="https://www.legis.iowa.gov/docs/iac/chapter/567.40.pdf" Type="http://schemas.openxmlformats.org/officeDocument/2006/relationships/hyperlink" Id="rId345"/>
    <Relationship TargetMode="External" Target="http://www.iowadnr.gov" Type="http://schemas.openxmlformats.org/officeDocument/2006/relationships/hyperlink" Id="rId346"/>
    <Relationship TargetMode="External" Target="https://www.legis.iowa.gov/docs/iac/chapter/567.40.pdf" Type="http://schemas.openxmlformats.org/officeDocument/2006/relationships/hyperlink" Id="rId347"/>
    <Relationship TargetMode="External" Target="https://www.legis.iowa.gov/docs/iac/chapter/567.43.pdf" Type="http://schemas.openxmlformats.org/officeDocument/2006/relationships/hyperlink" Id="rId348"/>
    <Relationship TargetMode="External" Target="https://www.legis.iowa.gov/docs/iac/rule/567.43.2.pdf" Type="http://schemas.openxmlformats.org/officeDocument/2006/relationships/hyperlink" Id="rId349"/>
    <Relationship TargetMode="External" Target="https://www.legis.iowa.gov/docs/iac/rule/567.40.5.pdf" Type="http://schemas.openxmlformats.org/officeDocument/2006/relationships/hyperlink" Id="rId350"/>
    <Relationship TargetMode="External" Target="https://www.legis.iowa.gov/docs/iac/chapter/567.81.pdf" Type="http://schemas.openxmlformats.org/officeDocument/2006/relationships/hyperlink" Id="rId351"/>
    <Relationship TargetMode="External" Target="http://www.iowadnr.gov" Type="http://schemas.openxmlformats.org/officeDocument/2006/relationships/hyperlink" Id="rId352"/>
    <Relationship TargetMode="External" Target="https://www.legis.iowa.gov/docs/iac/rule/567.43.8.pdf" Type="http://schemas.openxmlformats.org/officeDocument/2006/relationships/hyperlink" Id="rId353"/>
    <Relationship TargetMode="External" Target="https://www.legis.iowa.gov/docs/iac/chapter/567.81.pdf" Type="http://schemas.openxmlformats.org/officeDocument/2006/relationships/hyperlink" Id="rId354"/>
    <Relationship TargetMode="External" Target="https://www.legis.iowa.gov/docs/iac/chapter/567.40.pdf" Type="http://schemas.openxmlformats.org/officeDocument/2006/relationships/hyperlink" Id="rId355"/>
    <Relationship TargetMode="External" Target="https://www.legis.iowa.gov/docs/iac/chapter/567.44.pdf" Type="http://schemas.openxmlformats.org/officeDocument/2006/relationships/hyperlink" Id="rId356"/>
    <Relationship TargetMode="External" Target="https://www.legis.iowa.gov/docs/iac/chapter/567.40.pdf" Type="http://schemas.openxmlformats.org/officeDocument/2006/relationships/hyperlink" Id="rId357"/>
    <Relationship TargetMode="External" Target="https://www.legis.iowa.gov/docs/iac/chapter/567.44.pdf" Type="http://schemas.openxmlformats.org/officeDocument/2006/relationships/hyperlink" Id="rId358"/>
    <Relationship TargetMode="External" Target="https://www.legis.iowa.gov/docs/iac/chapter/567.7.pdf" Type="http://schemas.openxmlformats.org/officeDocument/2006/relationships/hyperlink" Id="rId359"/>
    <Relationship TargetMode="External" Target="https://www.legis.iowa.gov/docs/iac/rule/567.43.5.pdf" Type="http://schemas.openxmlformats.org/officeDocument/2006/relationships/hyperlink" Id="rId360"/>
    <Relationship TargetMode="External" Target="https://www.legis.iowa.gov/docs/iac/rule/567.43.9.pdf" Type="http://schemas.openxmlformats.org/officeDocument/2006/relationships/hyperlink" Id="rId361"/>
    <Relationship TargetMode="External" Target="https://www.legis.iowa.gov/docs/iac/rule/567.43.9.pdf" Type="http://schemas.openxmlformats.org/officeDocument/2006/relationships/hyperlink" Id="rId362"/>
    <Relationship TargetMode="External" Target="https://www.legis.iowa.gov/docs/iac/rule/567.43.5.pdf" Type="http://schemas.openxmlformats.org/officeDocument/2006/relationships/hyperlink" Id="rId363"/>
    <Relationship TargetMode="External" Target="https://www.legis.iowa.gov/docs/iac/rule/567.43.9.pdf" Type="http://schemas.openxmlformats.org/officeDocument/2006/relationships/hyperlink" Id="rId364"/>
    <Relationship TargetMode="External" Target="https://www.legis.iowa.gov/docs/iac/rule/567.43.5.pdf" Type="http://schemas.openxmlformats.org/officeDocument/2006/relationships/hyperlink" Id="rId365"/>
    <Relationship TargetMode="External" Target="https://www.legis.iowa.gov/docs/iac/rule/567.43.6.pdf" Type="http://schemas.openxmlformats.org/officeDocument/2006/relationships/hyperlink" Id="rId366"/>
    <Relationship TargetMode="External" Target="https://www.legis.iowa.gov/docs/iac/rule/567.43.9.pdf" Type="http://schemas.openxmlformats.org/officeDocument/2006/relationships/hyperlink" Id="rId367"/>
    <Relationship TargetMode="External" Target="https://www.legis.iowa.gov/docs/iac/rule/567.43.9.pdf" Type="http://schemas.openxmlformats.org/officeDocument/2006/relationships/hyperlink" Id="rId368"/>
    <Relationship TargetMode="External" Target="https://www.legis.iowa.gov/docs/iac/rule/567.43.9.pdf" Type="http://schemas.openxmlformats.org/officeDocument/2006/relationships/hyperlink" Id="rId369"/>
    <Relationship TargetMode="External" Target="https://www.legis.iowa.gov/docs/iac/rule/567.43.9.pdf" Type="http://schemas.openxmlformats.org/officeDocument/2006/relationships/hyperlink" Id="rId370"/>
    <Relationship TargetMode="External" Target="https://www.legis.iowa.gov/docs/iac/rule/567.43.9.pdf" Type="http://schemas.openxmlformats.org/officeDocument/2006/relationships/hyperlink" Id="rId371"/>
    <Relationship TargetMode="External" Target="https://www.legis.iowa.gov/docs/iac/rule/567.43.9.pdf" Type="http://schemas.openxmlformats.org/officeDocument/2006/relationships/hyperlink" Id="rId372"/>
    <Relationship TargetMode="External" Target="https://www.legis.iowa.gov/docs/iac/rule/567.43.9.pdf" Type="http://schemas.openxmlformats.org/officeDocument/2006/relationships/hyperlink" Id="rId373"/>
    <Relationship TargetMode="External" Target="https://www.legis.iowa.gov/docs/iac/rule/567.43.9.pdf" Type="http://schemas.openxmlformats.org/officeDocument/2006/relationships/hyperlink" Id="rId374"/>
    <Relationship TargetMode="External" Target="https://www.legis.iowa.gov/docs/iac/rule/567.43.9.pdf" Type="http://schemas.openxmlformats.org/officeDocument/2006/relationships/hyperlink" Id="rId375"/>
    <Relationship TargetMode="External" Target="https://www.legis.iowa.gov/docs/iac/rule/567.43.9.pdf" Type="http://schemas.openxmlformats.org/officeDocument/2006/relationships/hyperlink" Id="rId376"/>
    <Relationship TargetMode="External" Target="https://www.legis.iowa.gov/docs/iac/rule/567.43.9.pdf" Type="http://schemas.openxmlformats.org/officeDocument/2006/relationships/hyperlink" Id="rId377"/>
    <Relationship TargetMode="External" Target="https://www.legis.iowa.gov/docs/iac/rule/567.43.9.pdf" Type="http://schemas.openxmlformats.org/officeDocument/2006/relationships/hyperlink" Id="rId378"/>
    <Relationship TargetMode="External" Target="https://www.legis.iowa.gov/docs/iac/rule/567.43.5.pdf" Type="http://schemas.openxmlformats.org/officeDocument/2006/relationships/hyperlink" Id="rId379"/>
    <Relationship TargetMode="External" Target="https://www.legis.iowa.gov/docs/iac/rule/567.43.9.pdf" Type="http://schemas.openxmlformats.org/officeDocument/2006/relationships/hyperlink" Id="rId380"/>
    <Relationship TargetMode="External" Target="https://www.legis.iowa.gov/docs/iac/rule/567.43.9.pdf" Type="http://schemas.openxmlformats.org/officeDocument/2006/relationships/hyperlink" Id="rId381"/>
    <Relationship TargetMode="External" Target="https://www.legis.iowa.gov/docs/iac/rule/567.43.9.pdf" Type="http://schemas.openxmlformats.org/officeDocument/2006/relationships/hyperlink" Id="rId382"/>
    <Relationship TargetMode="External" Target="https://www.legis.iowa.gov/docs/iac/rule/567.43.9.pdf" Type="http://schemas.openxmlformats.org/officeDocument/2006/relationships/hyperlink" Id="rId383"/>
    <Relationship TargetMode="External" Target="https://www.legis.iowa.gov/docs/iac/rule/567.43.9.pdf" Type="http://schemas.openxmlformats.org/officeDocument/2006/relationships/hyperlink" Id="rId384"/>
    <Relationship TargetMode="External" Target="https://www.legis.iowa.gov/docs/iac/rule/567.43.9.pdf" Type="http://schemas.openxmlformats.org/officeDocument/2006/relationships/hyperlink" Id="rId385"/>
    <Relationship TargetMode="External" Target="https://www.legis.iowa.gov/docs/iac/rule/567.43.9.pdf" Type="http://schemas.openxmlformats.org/officeDocument/2006/relationships/hyperlink" Id="rId386"/>
    <Relationship TargetMode="External" Target="https://www.legis.iowa.gov/docs/iac/rule/567.43.9.pdf" Type="http://schemas.openxmlformats.org/officeDocument/2006/relationships/hyperlink" Id="rId387"/>
    <Relationship TargetMode="External" Target="https://www.legis.iowa.gov/docs/iac/rule/567.43.5.pdf" Type="http://schemas.openxmlformats.org/officeDocument/2006/relationships/hyperlink" Id="rId388"/>
    <Relationship TargetMode="External" Target="https://www.legis.iowa.gov/docs/iac/rule/567.43.5.pdf" Type="http://schemas.openxmlformats.org/officeDocument/2006/relationships/hyperlink" Id="rId389"/>
    <Relationship TargetMode="External" Target="https://www.legis.iowa.gov/docs/iac/rule/567.40.5.pdf" Type="http://schemas.openxmlformats.org/officeDocument/2006/relationships/hyperlink" Id="rId390"/>
    <Relationship TargetMode="External" Target="https://www.legis.iowa.gov/docs/iac/rule/567.43.9.pdf" Type="http://schemas.openxmlformats.org/officeDocument/2006/relationships/hyperlink" Id="rId391"/>
    <Relationship TargetMode="External" Target="https://www.legis.iowa.gov/docs/iac/rule/567.43.5.pdf" Type="http://schemas.openxmlformats.org/officeDocument/2006/relationships/hyperlink" Id="rId392"/>
    <Relationship TargetMode="External" Target="https://www.legis.iowa.gov/docs/iac/rule/567.43.5.pdf" Type="http://schemas.openxmlformats.org/officeDocument/2006/relationships/hyperlink" Id="rId393"/>
    <Relationship TargetMode="External" Target="https://www.legis.iowa.gov/docs/iac/rule/567.43.5.pdf" Type="http://schemas.openxmlformats.org/officeDocument/2006/relationships/hyperlink" Id="rId394"/>
    <Relationship TargetMode="External" Target="https://www.legis.iowa.gov/docs/iac/rule/567.43.5.pdf" Type="http://schemas.openxmlformats.org/officeDocument/2006/relationships/hyperlink" Id="rId395"/>
    <Relationship TargetMode="External" Target="https://www.legis.iowa.gov/docs/iac/rule/567.40.8.pdf" Type="http://schemas.openxmlformats.org/officeDocument/2006/relationships/hyperlink" Id="rId396"/>
    <Relationship TargetMode="External" Target="https://www.legis.iowa.gov/docs/iac/rule/567.43.9.pdf" Type="http://schemas.openxmlformats.org/officeDocument/2006/relationships/hyperlink" Id="rId397"/>
    <Relationship TargetMode="External" Target="https://www.legis.iowa.gov/docs/iac/rule/567.43.9.pdf" Type="http://schemas.openxmlformats.org/officeDocument/2006/relationships/hyperlink" Id="rId398"/>
    <Relationship TargetMode="External" Target="https://www.legis.iowa.gov/docs/iac/rule/567.43.9.pdf" Type="http://schemas.openxmlformats.org/officeDocument/2006/relationships/hyperlink" Id="rId399"/>
    <Relationship TargetMode="External" Target="https://www.legis.iowa.gov/docs/iac/rule/567.43.9.pdf" Type="http://schemas.openxmlformats.org/officeDocument/2006/relationships/hyperlink" Id="rId400"/>
    <Relationship TargetMode="External" Target="https://www.legis.iowa.gov/docs/iac/rule/567.40.8.pdf" Type="http://schemas.openxmlformats.org/officeDocument/2006/relationships/hyperlink" Id="rId401"/>
    <Relationship TargetMode="External" Target="https://www.legis.iowa.gov/docs/iac/rule/567.43.9.pdf" Type="http://schemas.openxmlformats.org/officeDocument/2006/relationships/hyperlink" Id="rId402"/>
    <Relationship TargetMode="External" Target="https://www.legis.iowa.gov/docs/iac/rule/567.43.9.pdf" Type="http://schemas.openxmlformats.org/officeDocument/2006/relationships/hyperlink" Id="rId403"/>
    <Relationship TargetMode="External" Target="https://www.legis.iowa.gov/docs/iac/rule/567.43.9.pdf" Type="http://schemas.openxmlformats.org/officeDocument/2006/relationships/hyperlink" Id="rId404"/>
    <Relationship TargetMode="External" Target="https://www.legis.iowa.gov/docs/iac/rule/567.43.9.pdf" Type="http://schemas.openxmlformats.org/officeDocument/2006/relationships/hyperlink" Id="rId405"/>
    <Relationship TargetMode="External" Target="https://www.legis.iowa.gov/docs/iac/rule/567.43.9.pdf" Type="http://schemas.openxmlformats.org/officeDocument/2006/relationships/hyperlink" Id="rId406"/>
    <Relationship TargetMode="External" Target="https://www.legis.iowa.gov/docs/iac/rule/567.43.9.pdf" Type="http://schemas.openxmlformats.org/officeDocument/2006/relationships/hyperlink" Id="rId407"/>
    <Relationship TargetMode="External" Target="https://www.legis.iowa.gov/docs/iac/rule/567.43.9.pdf" Type="http://schemas.openxmlformats.org/officeDocument/2006/relationships/hyperlink" Id="rId408"/>
    <Relationship TargetMode="External" Target="https://www.legis.iowa.gov/docs/iac/rule/567.40.5.pdf" Type="http://schemas.openxmlformats.org/officeDocument/2006/relationships/hyperlink" Id="rId409"/>
    <Relationship TargetMode="External" Target="https://www.legis.iowa.gov/docs/iac/rule/567.43.9.pdf" Type="http://schemas.openxmlformats.org/officeDocument/2006/relationships/hyperlink" Id="rId410"/>
    <Relationship TargetMode="External" Target="https://www.legis.iowa.gov/docs/iac/rule/567.43.5.pdf" Type="http://schemas.openxmlformats.org/officeDocument/2006/relationships/hyperlink" Id="rId411"/>
    <Relationship TargetMode="External" Target="https://www.legis.iowa.gov/docs/iac/rule/567.43.10.pdf" Type="http://schemas.openxmlformats.org/officeDocument/2006/relationships/hyperlink" Id="rId412"/>
    <Relationship TargetMode="External" Target="https://www.legis.iowa.gov/docs/iac/rule/567.43.10.pdf" Type="http://schemas.openxmlformats.org/officeDocument/2006/relationships/hyperlink" Id="rId413"/>
    <Relationship TargetMode="External" Target="https://www.legis.iowa.gov/docs/iac/rule/567.43.10.pdf" Type="http://schemas.openxmlformats.org/officeDocument/2006/relationships/hyperlink" Id="rId414"/>
    <Relationship TargetMode="External" Target="https://www.legis.iowa.gov/docs/iac/rule/567.43.10.pdf" Type="http://schemas.openxmlformats.org/officeDocument/2006/relationships/hyperlink" Id="rId415"/>
    <Relationship TargetMode="External" Target="https://www.legis.iowa.gov/docs/iac/rule/567.43.5.pdf" Type="http://schemas.openxmlformats.org/officeDocument/2006/relationships/hyperlink" Id="rId416"/>
    <Relationship TargetMode="External" Target="https://www.legis.iowa.gov/docs/iac/rule/567.43.10.pdf" Type="http://schemas.openxmlformats.org/officeDocument/2006/relationships/hyperlink" Id="rId417"/>
    <Relationship TargetMode="External" Target="https://www.legis.iowa.gov/docs/iac/rule/567.43.10.pdf" Type="http://schemas.openxmlformats.org/officeDocument/2006/relationships/hyperlink" Id="rId418"/>
    <Relationship TargetMode="External" Target="https://www.legis.iowa.gov/docs/iac/rule/567.43.10.pdf" Type="http://schemas.openxmlformats.org/officeDocument/2006/relationships/hyperlink" Id="rId419"/>
    <Relationship TargetMode="External" Target="https://www.legis.iowa.gov/docs/iac/rule/567.43.10.pdf" Type="http://schemas.openxmlformats.org/officeDocument/2006/relationships/hyperlink" Id="rId420"/>
    <Relationship TargetMode="External" Target="https://www.legis.iowa.gov/docs/iac/rule/567.43.5.pdf" Type="http://schemas.openxmlformats.org/officeDocument/2006/relationships/hyperlink" Id="rId421"/>
    <Relationship TargetMode="External" Target="https://www.legis.iowa.gov/docs/iac/rule/567.43.10.pdf" Type="http://schemas.openxmlformats.org/officeDocument/2006/relationships/hyperlink" Id="rId422"/>
    <Relationship TargetMode="External" Target="https://www.legis.iowa.gov/docs/iac/rule/567.40.5.pdf" Type="http://schemas.openxmlformats.org/officeDocument/2006/relationships/hyperlink" Id="rId423"/>
    <Relationship TargetMode="External" Target="https://www.legis.iowa.gov/docs/iac/rule/567.40.5.pdf" Type="http://schemas.openxmlformats.org/officeDocument/2006/relationships/hyperlink" Id="rId424"/>
    <Relationship TargetMode="External" Target="https://www.legis.iowa.gov/docs/iac/rule/567.43.5.pdf" Type="http://schemas.openxmlformats.org/officeDocument/2006/relationships/hyperlink" Id="rId425"/>
    <Relationship TargetMode="External" Target="https://www.legis.iowa.gov/docs/iac/rule/567.43.10.pdf" Type="http://schemas.openxmlformats.org/officeDocument/2006/relationships/hyperlink" Id="rId426"/>
    <Relationship TargetMode="External" Target="https://www.legis.iowa.gov/docs/iac/rule/567.43.5.pdf" Type="http://schemas.openxmlformats.org/officeDocument/2006/relationships/hyperlink" Id="rId427"/>
    <Relationship TargetMode="External" Target="https://www.legis.iowa.gov/docs/iac/rule/567.43.10.pdf" Type="http://schemas.openxmlformats.org/officeDocument/2006/relationships/hyperlink" Id="rId428"/>
    <Relationship TargetMode="External" Target="https://www.legis.iowa.gov/docs/iac/rule/567.43.10.pdf" Type="http://schemas.openxmlformats.org/officeDocument/2006/relationships/hyperlink" Id="rId429"/>
    <Relationship TargetMode="External" Target="https://www.legis.iowa.gov/docs/iac/rule/567.43.10.pdf" Type="http://schemas.openxmlformats.org/officeDocument/2006/relationships/hyperlink" Id="rId430"/>
    <Relationship TargetMode="External" Target="https://www.legis.iowa.gov/docs/iac/rule/567.43.10.pdf" Type="http://schemas.openxmlformats.org/officeDocument/2006/relationships/hyperlink" Id="rId431"/>
    <Relationship TargetMode="External" Target="https://www.legis.iowa.gov/docs/iac/rule/567.43.10.pdf" Type="http://schemas.openxmlformats.org/officeDocument/2006/relationships/hyperlink" Id="rId432"/>
    <Relationship TargetMode="External" Target="https://www.legis.iowa.gov/docs/iac/rule/567.43.10.pdf" Type="http://schemas.openxmlformats.org/officeDocument/2006/relationships/hyperlink" Id="rId433"/>
    <Relationship TargetMode="External" Target="https://www.legis.iowa.gov/docs/iac/rule/567.43.10.pdf" Type="http://schemas.openxmlformats.org/officeDocument/2006/relationships/hyperlink" Id="rId434"/>
    <Relationship TargetMode="External" Target="https://www.legis.iowa.gov/docs/iac/rule/567.40.5.pdf" Type="http://schemas.openxmlformats.org/officeDocument/2006/relationships/hyperlink" Id="rId435"/>
    <Relationship TargetMode="External" Target="https://www.legis.iowa.gov/docs/iac/rule/567.43.5.pdf" Type="http://schemas.openxmlformats.org/officeDocument/2006/relationships/hyperlink" Id="rId436"/>
    <Relationship TargetMode="External" Target="https://www.legis.iowa.gov/docs/iac/rule/567.43.10.pdf" Type="http://schemas.openxmlformats.org/officeDocument/2006/relationships/hyperlink" Id="rId437"/>
    <Relationship TargetMode="External" Target="https://www.legis.iowa.gov/docs/iac/rule/567.40.8.pdf" Type="http://schemas.openxmlformats.org/officeDocument/2006/relationships/hyperlink" Id="rId438"/>
    <Relationship TargetMode="External" Target="https://www.legis.iowa.gov/docs/iac/rule/567.40.9.pdf" Type="http://schemas.openxmlformats.org/officeDocument/2006/relationships/hyperlink" Id="rId439"/>
    <Relationship TargetMode="External" Target="https://www.legis.iowa.gov/docs/iac/rule/567.43.5.pdf" Type="http://schemas.openxmlformats.org/officeDocument/2006/relationships/hyperlink" Id="rId440"/>
    <Relationship TargetMode="External" Target="https://www.legis.iowa.gov/docs/iac/rule/567.43.9.pdf" Type="http://schemas.openxmlformats.org/officeDocument/2006/relationships/hyperlink" Id="rId441"/>
    <Relationship TargetMode="External" Target="https://www.legis.iowa.gov/docs/iac/rule/567.43.10.pdf" Type="http://schemas.openxmlformats.org/officeDocument/2006/relationships/hyperlink" Id="rId442"/>
    <Relationship TargetMode="External" Target="https://www.legis.iowa.gov/docs/iac/rule/567.43.5.pdf" Type="http://schemas.openxmlformats.org/officeDocument/2006/relationships/hyperlink" Id="rId443"/>
    <Relationship TargetMode="External" Target="https://www.legis.iowa.gov/docs/iac/rule/567.43.11.pdf" Type="http://schemas.openxmlformats.org/officeDocument/2006/relationships/hyperlink" Id="rId444"/>
    <Relationship TargetMode="External" Target="https://www.legis.iowa.gov/docs/iac/rule/567.43.11.pdf" Type="http://schemas.openxmlformats.org/officeDocument/2006/relationships/hyperlink" Id="rId445"/>
    <Relationship TargetMode="External" Target="https://www.legis.iowa.gov/docs/iac/rule/567.43.11.pdf" Type="http://schemas.openxmlformats.org/officeDocument/2006/relationships/hyperlink" Id="rId446"/>
    <Relationship TargetMode="External" Target="https://www.legis.iowa.gov/docs/iac/rule/567.43.11.pdf" Type="http://schemas.openxmlformats.org/officeDocument/2006/relationships/hyperlink" Id="rId447"/>
    <Relationship TargetMode="External" Target="https://www.legis.iowa.gov/docs/iac/rule/567.43.11.pdf" Type="http://schemas.openxmlformats.org/officeDocument/2006/relationships/hyperlink" Id="rId448"/>
    <Relationship TargetMode="External" Target="https://www.legis.iowa.gov/docs/iac/rule/567.43.1.pdf" Type="http://schemas.openxmlformats.org/officeDocument/2006/relationships/hyperlink" Id="rId449"/>
    <Relationship TargetMode="External" Target="https://www.legis.iowa.gov/docs/iac/rule/567.43.11.pdf" Type="http://schemas.openxmlformats.org/officeDocument/2006/relationships/hyperlink" Id="rId450"/>
    <Relationship TargetMode="External" Target="https://www.legis.iowa.gov/docs/iac/rule/567.43.11.pdf" Type="http://schemas.openxmlformats.org/officeDocument/2006/relationships/hyperlink" Id="rId451"/>
    <Relationship TargetMode="External" Target="https://www.legis.iowa.gov/docs/iac/rule/567.43.11.pdf" Type="http://schemas.openxmlformats.org/officeDocument/2006/relationships/hyperlink" Id="rId452"/>
    <Relationship TargetMode="External" Target="https://www.legis.iowa.gov/docs/iac/rule/567.43.9.pdf" Type="http://schemas.openxmlformats.org/officeDocument/2006/relationships/hyperlink" Id="rId453"/>
    <Relationship TargetMode="External" Target="https://www.legis.iowa.gov/docs/iac/rule/567.43.10.pdf" Type="http://schemas.openxmlformats.org/officeDocument/2006/relationships/hyperlink" Id="rId454"/>
    <Relationship TargetMode="External" Target="https://www.legis.iowa.gov/docs/iac/rule/567.43.11.pdf" Type="http://schemas.openxmlformats.org/officeDocument/2006/relationships/hyperlink" Id="rId455"/>
    <Relationship TargetMode="External" Target="http://www.nemi.gov" Type="http://schemas.openxmlformats.org/officeDocument/2006/relationships/hyperlink" Id="rId456"/>
    <Relationship TargetMode="External" Target="http://www.nemi.gov" Type="http://schemas.openxmlformats.org/officeDocument/2006/relationships/hyperlink" Id="rId457"/>
    <Relationship TargetMode="External" Target="http://nepis.epa.gov" Type="http://schemas.openxmlformats.org/officeDocument/2006/relationships/hyperlink" Id="rId458"/>
    <Relationship TargetMode="External" Target="http://nepis.epa.gov" Type="http://schemas.openxmlformats.org/officeDocument/2006/relationships/hyperlink" Id="rId459"/>
    <Relationship TargetMode="External" Target="https://www.legis.iowa.gov/docs/iac/rule/567.43.5.pdf" Type="http://schemas.openxmlformats.org/officeDocument/2006/relationships/hyperlink" Id="rId460"/>
    <Relationship TargetMode="External" Target="https://www.legis.iowa.gov/docs/iac/rule/567.43.5.pdf" Type="http://schemas.openxmlformats.org/officeDocument/2006/relationships/hyperlink" Id="rId461"/>
    <Relationship TargetMode="External" Target="https://www.legis.iowa.gov/docs/iac/rule/567.43.9.pdf" Type="http://schemas.openxmlformats.org/officeDocument/2006/relationships/hyperlink" Id="rId462"/>
    <Relationship TargetMode="External" Target="https://www.legis.iowa.gov/docs/iac/rule/567.43.10.pdf" Type="http://schemas.openxmlformats.org/officeDocument/2006/relationships/hyperlink" Id="rId463"/>
    <Relationship TargetMode="External" Target="https://www.legis.iowa.gov/docs/iac/rule/567.43.11.pdf" Type="http://schemas.openxmlformats.org/officeDocument/2006/relationships/hyperlink" Id="rId464"/>
    <Relationship TargetMode="External" Target="https://www.legis.iowa.gov/docs/iac/rule/567.43.11.pdf" Type="http://schemas.openxmlformats.org/officeDocument/2006/relationships/hyperlink" Id="rId465"/>
    <Relationship TargetMode="External" Target="https://www.legis.iowa.gov/docs/iac/rule/567.43.11.pdf" Type="http://schemas.openxmlformats.org/officeDocument/2006/relationships/hyperlink" Id="rId466"/>
    <Relationship TargetMode="External" Target="https://www.legis.iowa.gov/docs/iac/rule/567.43.11.pdf" Type="http://schemas.openxmlformats.org/officeDocument/2006/relationships/hyperlink" Id="rId467"/>
    <Relationship TargetMode="External" Target="https://www.legis.iowa.gov/docs/iac/rule/567.43.11.pdf" Type="http://schemas.openxmlformats.org/officeDocument/2006/relationships/hyperlink" Id="rId468"/>
    <Relationship TargetMode="External" Target="https://www.legis.iowa.gov/docs/iac/rule/567.43.11.pdf" Type="http://schemas.openxmlformats.org/officeDocument/2006/relationships/hyperlink" Id="rId469"/>
    <Relationship TargetMode="External" Target="https://www.legis.iowa.gov/docs/iac/rule/567.43.11.pdf" Type="http://schemas.openxmlformats.org/officeDocument/2006/relationships/hyperlink" Id="rId470"/>
    <Relationship TargetMode="External" Target="https://www.legis.iowa.gov/docs/iac/rule/567.43.11.pdf" Type="http://schemas.openxmlformats.org/officeDocument/2006/relationships/hyperlink" Id="rId471"/>
    <Relationship TargetMode="External" Target="https://www.legis.iowa.gov/docs/iac/rule/567.43.11.pdf" Type="http://schemas.openxmlformats.org/officeDocument/2006/relationships/hyperlink" Id="rId472"/>
    <Relationship TargetMode="External" Target="https://www.legis.iowa.gov/docs/iac/rule/567.43.11.pdf" Type="http://schemas.openxmlformats.org/officeDocument/2006/relationships/hyperlink" Id="rId473"/>
    <Relationship TargetMode="External" Target="https://www.legis.iowa.gov/docs/iac/rule/567.43.11.pdf" Type="http://schemas.openxmlformats.org/officeDocument/2006/relationships/hyperlink" Id="rId474"/>
    <Relationship TargetMode="External" Target="https://www.legis.iowa.gov/docs/iac/rule/567.43.11.pdf" Type="http://schemas.openxmlformats.org/officeDocument/2006/relationships/hyperlink" Id="rId475"/>
    <Relationship TargetMode="External" Target="https://www.legis.iowa.gov/docs/iac/rule/567.43.11.pdf" Type="http://schemas.openxmlformats.org/officeDocument/2006/relationships/hyperlink" Id="rId476"/>
    <Relationship TargetMode="External" Target="https://www.legis.iowa.gov/docs/iac/rule/567.43.11.pdf" Type="http://schemas.openxmlformats.org/officeDocument/2006/relationships/hyperlink" Id="rId477"/>
    <Relationship TargetMode="External" Target="https://www.legis.iowa.gov/docs/iac/rule/567.43.11.pdf" Type="http://schemas.openxmlformats.org/officeDocument/2006/relationships/hyperlink" Id="rId478"/>
    <Relationship TargetMode="External" Target="https://www.legis.iowa.gov/docs/iac/rule/567.43.11.pdf" Type="http://schemas.openxmlformats.org/officeDocument/2006/relationships/hyperlink" Id="rId479"/>
    <Relationship TargetMode="External" Target="https://www.legis.iowa.gov/docs/iac/rule/567.43.11.pdf" Type="http://schemas.openxmlformats.org/officeDocument/2006/relationships/hyperlink" Id="rId480"/>
    <Relationship TargetMode="External" Target="https://www.legis.iowa.gov/docs/iac/rule/567.43.11.pdf" Type="http://schemas.openxmlformats.org/officeDocument/2006/relationships/hyperlink" Id="rId481"/>
    <Relationship TargetMode="External" Target="https://www.legis.iowa.gov/docs/iac/rule/567.43.11.pdf" Type="http://schemas.openxmlformats.org/officeDocument/2006/relationships/hyperlink" Id="rId482"/>
    <Relationship TargetMode="External" Target="https://www.legis.iowa.gov/docs/iac/rule/567.43.11.pdf" Type="http://schemas.openxmlformats.org/officeDocument/2006/relationships/hyperlink" Id="rId483"/>
    <Relationship TargetMode="External" Target="https://www.legis.iowa.gov/docs/iac/rule/567.43.11.pdf" Type="http://schemas.openxmlformats.org/officeDocument/2006/relationships/hyperlink" Id="rId484"/>
    <Relationship TargetMode="External" Target="https://www.legis.iowa.gov/docs/iac/rule/567.43.11.pdf" Type="http://schemas.openxmlformats.org/officeDocument/2006/relationships/hyperlink" Id="rId485"/>
    <Relationship TargetMode="External" Target="https://www.legis.iowa.gov/docs/iac/rule/567.43.11.pdf" Type="http://schemas.openxmlformats.org/officeDocument/2006/relationships/hyperlink" Id="rId486"/>
    <Relationship TargetMode="External" Target="https://www.legis.iowa.gov/docs/iac/rule/567.43.11.pdf" Type="http://schemas.openxmlformats.org/officeDocument/2006/relationships/hyperlink" Id="rId487"/>
    <Relationship TargetMode="External" Target="https://www.legis.iowa.gov/docs/iac/rule/567.43.11.pdf" Type="http://schemas.openxmlformats.org/officeDocument/2006/relationships/hyperlink" Id="rId488"/>
    <Relationship TargetMode="External" Target="https://www.legis.iowa.gov/docs/iac/rule/567.43.11.pdf" Type="http://schemas.openxmlformats.org/officeDocument/2006/relationships/hyperlink" Id="rId489"/>
    <Relationship TargetMode="External" Target="https://www.legis.iowa.gov/docs/iac/rule/567.43.11.pdf" Type="http://schemas.openxmlformats.org/officeDocument/2006/relationships/hyperlink" Id="rId490"/>
    <Relationship TargetMode="External" Target="https://www.legis.iowa.gov/docs/iac/rule/567.43.11.pdf" Type="http://schemas.openxmlformats.org/officeDocument/2006/relationships/hyperlink" Id="rId491"/>
    <Relationship TargetMode="External" Target="https://www.legis.iowa.gov/docs/iac/rule/567.43.11.pdf" Type="http://schemas.openxmlformats.org/officeDocument/2006/relationships/hyperlink" Id="rId492"/>
    <Relationship TargetMode="External" Target="https://www.legis.iowa.gov/docs/iac/rule/567.43.11.pdf" Type="http://schemas.openxmlformats.org/officeDocument/2006/relationships/hyperlink" Id="rId493"/>
    <Relationship TargetMode="External" Target="https://www.legis.iowa.gov/docs/iac/rule/567.43.11.pdf" Type="http://schemas.openxmlformats.org/officeDocument/2006/relationships/hyperlink" Id="rId494"/>
    <Relationship TargetMode="External" Target="https://www.legis.iowa.gov/docs/iac/rule/567.43.11.pdf" Type="http://schemas.openxmlformats.org/officeDocument/2006/relationships/hyperlink" Id="rId495"/>
    <Relationship TargetMode="External" Target="https://www.legis.iowa.gov/docs/iac/rule/567.43.11.pdf" Type="http://schemas.openxmlformats.org/officeDocument/2006/relationships/hyperlink" Id="rId496"/>
    <Relationship TargetMode="External" Target="https://www.legis.iowa.gov/docs/iac/rule/567.43.11.pdf" Type="http://schemas.openxmlformats.org/officeDocument/2006/relationships/hyperlink" Id="rId497"/>
    <Relationship TargetMode="External" Target="https://www.legis.iowa.gov/docs/iac/rule/567.43.11.pdf" Type="http://schemas.openxmlformats.org/officeDocument/2006/relationships/hyperlink" Id="rId498"/>
    <Relationship TargetMode="External" Target="https://www.legis.iowa.gov/docs/iac/rule/567.43.11.pdf" Type="http://schemas.openxmlformats.org/officeDocument/2006/relationships/hyperlink" Id="rId499"/>
    <Relationship TargetMode="External" Target="https://www.legis.iowa.gov/docs/iac/rule/567.43.11.pdf" Type="http://schemas.openxmlformats.org/officeDocument/2006/relationships/hyperlink" Id="rId500"/>
    <Relationship TargetMode="External" Target="https://www.legis.iowa.gov/docs/iac/rule/567.43.11.pdf" Type="http://schemas.openxmlformats.org/officeDocument/2006/relationships/hyperlink" Id="rId501"/>
    <Relationship TargetMode="External" Target="https://www.legis.iowa.gov/docs/iac/rule/567.43.11.pdf" Type="http://schemas.openxmlformats.org/officeDocument/2006/relationships/hyperlink" Id="rId502"/>
    <Relationship TargetMode="External" Target="https://www.legis.iowa.gov/docs/iac/rule/567.43.11.pdf" Type="http://schemas.openxmlformats.org/officeDocument/2006/relationships/hyperlink" Id="rId503"/>
    <Relationship TargetMode="External" Target="https://www.legis.iowa.gov/docs/iac/rule/567.43.11.pdf" Type="http://schemas.openxmlformats.org/officeDocument/2006/relationships/hyperlink" Id="rId504"/>
    <Relationship TargetMode="External" Target="https://www.legis.iowa.gov/docs/iac/rule/567.43.11.pdf" Type="http://schemas.openxmlformats.org/officeDocument/2006/relationships/hyperlink" Id="rId505"/>
    <Relationship TargetMode="External" Target="https://www.legis.iowa.gov/docs/iac/rule/567.43.11.pdf" Type="http://schemas.openxmlformats.org/officeDocument/2006/relationships/hyperlink" Id="rId506"/>
    <Relationship TargetMode="External" Target="https://www.legis.iowa.gov/docs/iac/rule/567.43.11.pdf" Type="http://schemas.openxmlformats.org/officeDocument/2006/relationships/hyperlink" Id="rId507"/>
    <Relationship TargetMode="External" Target="https://www.legis.iowa.gov/docs/iac/rule/567.43.11.pdf" Type="http://schemas.openxmlformats.org/officeDocument/2006/relationships/hyperlink" Id="rId508"/>
    <Relationship TargetMode="External" Target="https://www.legis.iowa.gov/docs/iac/rule/567.43.11.pdf" Type="http://schemas.openxmlformats.org/officeDocument/2006/relationships/hyperlink" Id="rId509"/>
    <Relationship TargetMode="External" Target="https://www.legis.iowa.gov/docs/iac/rule/567.43.11.pdf" Type="http://schemas.openxmlformats.org/officeDocument/2006/relationships/hyperlink" Id="rId510"/>
    <Relationship TargetMode="External" Target="https://www.legis.iowa.gov/docs/iac/rule/567.43.11.pdf" Type="http://schemas.openxmlformats.org/officeDocument/2006/relationships/hyperlink" Id="rId511"/>
    <Relationship TargetMode="External" Target="https://www.legis.iowa.gov/docs/iac/rule/567.43.11.pdf" Type="http://schemas.openxmlformats.org/officeDocument/2006/relationships/hyperlink" Id="rId512"/>
    <Relationship TargetMode="External" Target="https://www.legis.iowa.gov/docs/iac/rule/567.43.11.pdf" Type="http://schemas.openxmlformats.org/officeDocument/2006/relationships/hyperlink" Id="rId513"/>
    <Relationship TargetMode="External" Target="https://www.legis.iowa.gov/docs/iac/rule/567.43.5.pdf" Type="http://schemas.openxmlformats.org/officeDocument/2006/relationships/hyperlink" Id="rId514"/>
    <Relationship TargetMode="External" Target="https://www.legis.iowa.gov/docs/iac/rule/567.43.10.pdf" Type="http://schemas.openxmlformats.org/officeDocument/2006/relationships/hyperlink" Id="rId515"/>
    <Relationship TargetMode="External" Target="https://www.legis.iowa.gov/docs/iac/rule/567.43.11.pdf" Type="http://schemas.openxmlformats.org/officeDocument/2006/relationships/hyperlink" Id="rId516"/>
    <Relationship TargetMode="External" Target="https://www.legis.iowa.gov/docs/iac/rule/567.43.9.pdf" Type="http://schemas.openxmlformats.org/officeDocument/2006/relationships/hyperlink" Id="rId517"/>
    <Relationship TargetMode="External" Target="https://www.legis.iowa.gov/docs/iac/rule/567.43.10.pdf" Type="http://schemas.openxmlformats.org/officeDocument/2006/relationships/hyperlink" Id="rId518"/>
    <Relationship TargetMode="External" Target="https://www.legis.iowa.gov/docs/iac/rule/567.43.11.pdf" Type="http://schemas.openxmlformats.org/officeDocument/2006/relationships/hyperlink" Id="rId519"/>
    <Relationship TargetMode="External" Target="https://www.legis.iowa.gov/docs/iac/rule/567.43.11.pdf" Type="http://schemas.openxmlformats.org/officeDocument/2006/relationships/hyperlink" Id="rId520"/>
    <Relationship TargetMode="External" Target="https://www.legis.iowa.gov/docs/iac/rule/567.43.11.pdf" Type="http://schemas.openxmlformats.org/officeDocument/2006/relationships/hyperlink" Id="rId521"/>
    <Relationship TargetMode="External" Target="https://www.legis.iowa.gov/docs/iac/rule/567.43.11.pdf" Type="http://schemas.openxmlformats.org/officeDocument/2006/relationships/hyperlink" Id="rId522"/>
    <Relationship TargetMode="External" Target="https://www.legis.iowa.gov/docs/iac/rule/567.43.11.pdf" Type="http://schemas.openxmlformats.org/officeDocument/2006/relationships/hyperlink" Id="rId523"/>
    <Relationship TargetMode="External" Target="https://www.legis.iowa.gov/docs/iac/rule/567.43.11.pdf" Type="http://schemas.openxmlformats.org/officeDocument/2006/relationships/hyperlink" Id="rId524"/>
    <Relationship TargetMode="External" Target="https://www.legis.iowa.gov/docs/iac/rule/567.43.11.pdf" Type="http://schemas.openxmlformats.org/officeDocument/2006/relationships/hyperlink" Id="rId525"/>
    <Relationship TargetMode="External" Target="https://www.legis.iowa.gov/docs/iac/rule/567.43.11.pdf" Type="http://schemas.openxmlformats.org/officeDocument/2006/relationships/hyperlink" Id="rId526"/>
    <Relationship TargetMode="External" Target="https://www.legis.iowa.gov/docs/iac/rule/567.43.11.pdf" Type="http://schemas.openxmlformats.org/officeDocument/2006/relationships/hyperlink" Id="rId527"/>
    <Relationship TargetMode="External" Target="https://www.legis.iowa.gov/docs/iac/rule/567.40.2.pdf" Type="http://schemas.openxmlformats.org/officeDocument/2006/relationships/hyperlink" Id="rId528"/>
    <Relationship TargetMode="External" Target="https://www.legis.iowa.gov/docs/iac/rule/567.43.11.pdf" Type="http://schemas.openxmlformats.org/officeDocument/2006/relationships/hyperlink" Id="rId529"/>
    <Relationship TargetMode="External" Target="https://www.legis.iowa.gov/docs/iac/rule/567.43.11.pdf" Type="http://schemas.openxmlformats.org/officeDocument/2006/relationships/hyperlink" Id="rId530"/>
    <Relationship TargetMode="External" Target="https://www.legis.iowa.gov/docs/iac/rule/567.43.11.pdf" Type="http://schemas.openxmlformats.org/officeDocument/2006/relationships/hyperlink" Id="rId531"/>
    <Relationship TargetMode="External" Target="https://www.legis.iowa.gov/docs/iac/rule/567.43.11.pdf" Type="http://schemas.openxmlformats.org/officeDocument/2006/relationships/hyperlink" Id="rId532"/>
    <Relationship TargetMode="External" Target="https://www.legis.iowa.gov/docs/iac/rule/567.43.11.pdf" Type="http://schemas.openxmlformats.org/officeDocument/2006/relationships/hyperlink" Id="rId533"/>
    <Relationship TargetMode="External" Target="https://www.legis.iowa.gov/docs/iac/rule/567.43.11.pdf" Type="http://schemas.openxmlformats.org/officeDocument/2006/relationships/hyperlink" Id="rId534"/>
    <Relationship TargetMode="External" Target="https://www.legis.iowa.gov/docs/iac/rule/567.43.11.pdf" Type="http://schemas.openxmlformats.org/officeDocument/2006/relationships/hyperlink" Id="rId535"/>
    <Relationship TargetMode="External" Target="https://www.legis.iowa.gov/docs/iac/rule/567.43.5.pdf" Type="http://schemas.openxmlformats.org/officeDocument/2006/relationships/hyperlink" Id="rId536"/>
    <Relationship TargetMode="External" Target="https://www.legis.iowa.gov/docs/iac/rule/567.43.11.pdf" Type="http://schemas.openxmlformats.org/officeDocument/2006/relationships/hyperlink" Id="rId537"/>
    <Relationship TargetMode="External" Target="https://www.legis.iowa.gov/docs/iac/rule/567.43.11.pdf" Type="http://schemas.openxmlformats.org/officeDocument/2006/relationships/hyperlink" Id="rId538"/>
    <Relationship TargetMode="External" Target="https://www.legis.iowa.gov/docs/iac/rule/567.43.11.pdf" Type="http://schemas.openxmlformats.org/officeDocument/2006/relationships/hyperlink" Id="rId539"/>
    <Relationship TargetMode="External" Target="https://www.legis.iowa.gov/docs/iac/rule/567.43.11.pdf" Type="http://schemas.openxmlformats.org/officeDocument/2006/relationships/hyperlink" Id="rId540"/>
    <Relationship TargetMode="External" Target="https://www.legis.iowa.gov/docs/iac/rule/567.43.11.pdf" Type="http://schemas.openxmlformats.org/officeDocument/2006/relationships/hyperlink" Id="rId541"/>
    <Relationship TargetMode="External" Target="https://www.legis.iowa.gov/docs/iac/rule/567.43.11.pdf" Type="http://schemas.openxmlformats.org/officeDocument/2006/relationships/hyperlink" Id="rId542"/>
    <Relationship TargetMode="External" Target="https://www.legis.iowa.gov/docs/iac/rule/567.43.11.pdf" Type="http://schemas.openxmlformats.org/officeDocument/2006/relationships/hyperlink" Id="rId543"/>
    <Relationship TargetMode="External" Target="https://www.legis.iowa.gov/docs/iac/rule/567.43.11.pdf" Type="http://schemas.openxmlformats.org/officeDocument/2006/relationships/hyperlink" Id="rId544"/>
    <Relationship TargetMode="External" Target="https://www.legis.iowa.gov/docs/iac/rule/567.43.11.pdf" Type="http://schemas.openxmlformats.org/officeDocument/2006/relationships/hyperlink" Id="rId545"/>
    <Relationship TargetMode="External" Target="https://www.legis.iowa.gov/docs/iac/rule/567.43.11.pdf" Type="http://schemas.openxmlformats.org/officeDocument/2006/relationships/hyperlink" Id="rId546"/>
    <Relationship TargetMode="External" Target="https://www.legis.iowa.gov/docs/iac/rule/567.43.11.pdf" Type="http://schemas.openxmlformats.org/officeDocument/2006/relationships/hyperlink" Id="rId547"/>
    <Relationship TargetMode="External" Target="https://www.legis.iowa.gov/docs/iac/rule/567.43.11.pdf" Type="http://schemas.openxmlformats.org/officeDocument/2006/relationships/hyperlink" Id="rId548"/>
    <Relationship TargetMode="External" Target="https://www.legis.iowa.gov/docs/iac/rule/567.43.11.pdf" Type="http://schemas.openxmlformats.org/officeDocument/2006/relationships/hyperlink" Id="rId549"/>
    <Relationship TargetMode="External" Target="https://www.legis.iowa.gov/docs/ico/chapter/455B.171.pdf" Type="http://schemas.openxmlformats.org/officeDocument/2006/relationships/hyperlink" Id="rId550"/>
    <Relationship TargetMode="External" Target="https://www.legis.iowa.gov/docs/ico/chapter/455B.188.pdf" Type="http://schemas.openxmlformats.org/officeDocument/2006/relationships/hyperlink" Id="rId551"/>
    <Relationship TargetMode="External" Target="https://www.legis.iowa.gov/docs/ico/chapter/455B.190.pdf" Type="http://schemas.openxmlformats.org/officeDocument/2006/relationships/hyperlink" Id="rId552"/>
    <Relationship TargetMode="External" Target="https://www.legis.iowa.gov/docs/ico/chapter/455B.192.pdf" Type="http://schemas.openxmlformats.org/officeDocument/2006/relationships/hyperlink" Id="rId5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