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 xml:space="preserve"> WATER SUPPLIES </w:t>
      </w:r>
    </w:p>
    <w:p>
      <w:pPr>
        <w:spacing w:before="0" w:after="0"/>
        <w:ind w:left="120"/>
        <w:jc w:val="center"/>
      </w:pPr>
      <w:r>
        <w:rPr>
          <w:rFonts w:ascii="Times New Roman" w:hAnsi="Times New Roman"/>
          <w:b w:val="false"/>
          <w:i w:val="false"/>
          <w:color w:val="000000"/>
          <w:sz w:val="14"/>
        </w:rPr>
        <w:t>[These rules transferred from Health Department, 1971 IDR (Title II, Chs 1 and 2)]</w:t>
      </w:r>
    </w:p>
    <w:p>
      <w:pPr>
        <w:spacing w:before="0" w:after="0"/>
        <w:ind w:left="120"/>
        <w:jc w:val="center"/>
      </w:pPr>
      <w:r>
        <w:rPr>
          <w:rFonts w:ascii="Times New Roman" w:hAnsi="Times New Roman"/>
          <w:b w:val="false"/>
          <w:i w:val="false"/>
          <w:color w:val="000000"/>
          <w:sz w:val="14"/>
        </w:rPr>
        <w:t>[Prior to 7/1/83, DEQ Ch 22]</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567—41.1</w:t>
      </w:r>
      <w:r>
        <w:rPr>
          <w:rFonts w:ascii="Times New Roman" w:hAnsi="Times New Roman"/>
          <w:b/>
          <w:i w:val="false"/>
          <w:color w:val="000000"/>
          <w:sz w:val="22"/>
        </w:rPr>
        <w:t xml:space="preserve">(455B) </w:t>
      </w:r>
      <w:r>
        <w:rPr>
          <w:rFonts w:ascii="Times New Roman" w:hAnsi="Times New Roman"/>
          <w:b/>
          <w:i w:val="false"/>
          <w:color w:val="000000"/>
          <w:sz w:val="22"/>
        </w:rPr>
        <w:t xml:space="preserve">Primary drinking water regulations—coverage. </w:t>
      </w:r>
      <w:hyperlink r:id="rId5">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xml:space="preserve"> shall apply to each public water supply system (PWS) unless the PWS meets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Consists only of distribution and storage facilities (and does not have any collection and treatment facilities);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Obtains all of its water from, but is not owned or operated by, a PWS to which such regulations apply;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Does not sell water to any person;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a carrier which conveys passengers in interstate commerce.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567—41.2</w:t>
      </w:r>
      <w:r>
        <w:rPr>
          <w:rFonts w:ascii="Times New Roman" w:hAnsi="Times New Roman"/>
          <w:b/>
          <w:i w:val="false"/>
          <w:color w:val="000000"/>
          <w:sz w:val="22"/>
        </w:rPr>
        <w:t xml:space="preserve">(455B) </w:t>
      </w:r>
      <w:r>
        <w:rPr>
          <w:rFonts w:ascii="Times New Roman" w:hAnsi="Times New Roman"/>
          <w:b/>
          <w:i w:val="false"/>
          <w:color w:val="000000"/>
          <w:sz w:val="22"/>
        </w:rPr>
        <w:t xml:space="preserve">Biological maximum contaminant level (MCL), treatment technique (TT), and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Coliform bacteria and Escherichia coli (E. coli). </w:t>
      </w:r>
      <w:r>
        <w:rPr>
          <w:rFonts w:ascii="Times New Roman" w:hAnsi="Times New Roman"/>
          <w:b w:val="false"/>
          <w:i w:val="false"/>
          <w:color w:val="000000"/>
          <w:sz w:val="22"/>
        </w:rPr>
        <w:t>The provisions of this subrule include both MCL and TT requirements and apply to all PWSs. Failure to comply with the applicable requirements in this subrule is a violation of the national primary drinking water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MCL. </w:t>
      </w:r>
      <w:r>
        <w:rPr>
          <w:rFonts w:ascii="Times New Roman" w:hAnsi="Times New Roman"/>
          <w:b w:val="false"/>
          <w:i w:val="false"/>
          <w:color w:val="000000"/>
          <w:sz w:val="22"/>
        </w:rPr>
        <w:t>A PWS must determine compliance with the </w:t>
      </w:r>
      <w:r>
        <w:rPr>
          <w:rFonts w:ascii="Times New Roman" w:hAnsi="Times New Roman"/>
          <w:b w:val="false"/>
          <w:i/>
          <w:color w:val="000000"/>
          <w:sz w:val="22"/>
        </w:rPr>
        <w:t>E. coli</w:t>
      </w:r>
      <w:r>
        <w:rPr>
          <w:rFonts w:ascii="Times New Roman" w:hAnsi="Times New Roman"/>
          <w:b w:val="false"/>
          <w:i w:val="false"/>
          <w:color w:val="000000"/>
          <w:sz w:val="22"/>
        </w:rPr>
        <w:t xml:space="preserve"> MCL for each month in which the system is required to monitor for total coliforms. A system is in compliance with the </w:t>
      </w:r>
      <w:r>
        <w:rPr>
          <w:rFonts w:ascii="Times New Roman" w:hAnsi="Times New Roman"/>
          <w:b w:val="false"/>
          <w:i/>
          <w:color w:val="000000"/>
          <w:sz w:val="22"/>
        </w:rPr>
        <w:t>E. coli</w:t>
      </w:r>
      <w:r>
        <w:rPr>
          <w:rFonts w:ascii="Times New Roman" w:hAnsi="Times New Roman"/>
          <w:b w:val="false"/>
          <w:i w:val="false"/>
          <w:color w:val="000000"/>
          <w:sz w:val="22"/>
        </w:rPr>
        <w:t xml:space="preserve"> MCL for samples taken under this subrule unless any of the following conditions occur. For purposes of the public notification (PN) requirements in rule </w:t>
      </w:r>
      <w:hyperlink r:id="rId8">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 MCL violation may pose an acute health risk. A system is not in compliance if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Has an </w:t>
      </w:r>
      <w:r>
        <w:rPr>
          <w:rFonts w:ascii="Times New Roman" w:hAnsi="Times New Roman"/>
          <w:b w:val="false"/>
          <w:i/>
          <w:color w:val="000000"/>
          <w:sz w:val="22"/>
        </w:rPr>
        <w:t>E. coli</w:t>
      </w:r>
      <w:r>
        <w:rPr>
          <w:rFonts w:ascii="Times New Roman" w:hAnsi="Times New Roman"/>
          <w:b w:val="false"/>
          <w:i w:val="false"/>
          <w:color w:val="000000"/>
          <w:sz w:val="22"/>
        </w:rPr>
        <w:t>-positive repeat sample following a total coliform-positive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total coliform-positive repeat sample following an </w:t>
      </w:r>
      <w:r>
        <w:rPr>
          <w:rFonts w:ascii="Times New Roman" w:hAnsi="Times New Roman"/>
          <w:b w:val="false"/>
          <w:i/>
          <w:color w:val="000000"/>
          <w:sz w:val="22"/>
        </w:rPr>
        <w:t>E. coli</w:t>
      </w:r>
      <w:r>
        <w:rPr>
          <w:rFonts w:ascii="Times New Roman" w:hAnsi="Times New Roman"/>
          <w:b w:val="false"/>
          <w:i w:val="false"/>
          <w:color w:val="000000"/>
          <w:sz w:val="22"/>
        </w:rPr>
        <w:t>-positive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Fails to take all required repeat samples following an </w:t>
      </w:r>
      <w:r>
        <w:rPr>
          <w:rFonts w:ascii="Times New Roman" w:hAnsi="Times New Roman"/>
          <w:b w:val="false"/>
          <w:i/>
          <w:color w:val="000000"/>
          <w:sz w:val="22"/>
        </w:rPr>
        <w:t>E. coli</w:t>
      </w:r>
      <w:r>
        <w:rPr>
          <w:rFonts w:ascii="Times New Roman" w:hAnsi="Times New Roman"/>
          <w:b w:val="false"/>
          <w:i w:val="false"/>
          <w:color w:val="000000"/>
          <w:sz w:val="22"/>
        </w:rPr>
        <w:t xml:space="preserve">-positive routine sample;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Fails to test for </w:t>
      </w:r>
      <w:r>
        <w:rPr>
          <w:rFonts w:ascii="Times New Roman" w:hAnsi="Times New Roman"/>
          <w:b w:val="false"/>
          <w:i/>
          <w:color w:val="000000"/>
          <w:sz w:val="22"/>
        </w:rPr>
        <w:t>E. coli</w:t>
      </w:r>
      <w:r>
        <w:rPr>
          <w:rFonts w:ascii="Times New Roman" w:hAnsi="Times New Roman"/>
          <w:b w:val="false"/>
          <w:i w:val="false"/>
          <w:color w:val="000000"/>
          <w:sz w:val="22"/>
        </w:rPr>
        <w:t xml:space="preserve"> when any repeat sample tests positive for total coliform.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Sample volume. The standard sample volume required for analysis is 100 mL, regardless of the analytical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Presence/absence (P/A) required. Only the P/A of total coliforms and </w:t>
      </w:r>
      <w:r>
        <w:rPr>
          <w:rFonts w:ascii="Times New Roman" w:hAnsi="Times New Roman"/>
          <w:b w:val="false"/>
          <w:i/>
          <w:color w:val="000000"/>
          <w:sz w:val="22"/>
        </w:rPr>
        <w:t>E. coli</w:t>
      </w:r>
      <w:r>
        <w:rPr>
          <w:rFonts w:ascii="Times New Roman" w:hAnsi="Times New Roman"/>
          <w:b w:val="false"/>
          <w:i w:val="false"/>
          <w:color w:val="000000"/>
          <w:sz w:val="22"/>
        </w:rPr>
        <w:t xml:space="preserve"> must be determined in any compliance sample; a determination of density is acceptable but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Holding time and temperature. The time from sample collection to initiation of test medium incubation shall not exceed 30 hours. Systems are encouraged but not required to hold samples below 10 degrees Celsius during transit.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Dechlorinating agent required for chlorinated water. If water having a residual chlorine (measured as free, combined, or total chlorine) will be analyzed, sufficient sodium thiosulfate (Na2S2O3) must be added to the sample bottle before sterilization to neutralize any residual chlorine in the water sample. Dechlorination procedures are addressed in Standard Methods (SM) Section 9060A.2, 20th and 21st editions.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Systems must conduct total coliform and E. coli analyses in accordance with one of the analytical methods in the following table.</w:t>
      </w:r>
    </w:p>
    <w:p>
      <w:pPr>
        <w:spacing w:before="60" w:after="0"/>
        <w:ind w:left="120"/>
        <w:jc w:val="center"/>
      </w:pPr>
      <w:r>
        <w:rPr>
          <w:rFonts w:ascii="Times New Roman" w:hAnsi="Times New Roman"/>
          <w:b/>
          <w:i w:val="false"/>
          <w:color w:val="000000"/>
          <w:sz w:val="22"/>
        </w:rPr>
        <w:t>Bacteria Analytical Methods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82"/>
        <w:gridCol w:w="3226"/>
        <w:gridCol w:w="6259"/>
      </w:tblGrid>
      <w:tr>
        <w:trPr>
          <w:trHeight w:val="435" w:hRule="atLeast"/>
        </w:trPr>
        <w:tc>
          <w:tcPr>
            <w:tcW w:w="1882"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i w:val="false"/>
                <w:color w:val="000000"/>
                <w:sz w:val="16"/>
              </w:rPr>
              <w:t>Methodology Category</w:t>
            </w:r>
          </w:p>
        </w:tc>
        <w:tc>
          <w:tcPr>
            <w:tcW w:w="3226"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i w:val="false"/>
                <w:color w:val="000000"/>
                <w:sz w:val="16"/>
              </w:rPr>
              <w:t>Method Name</w:t>
            </w:r>
            <w:r>
              <w:rPr>
                <w:rFonts w:ascii="Times New Roman" w:hAnsi="Times New Roman"/>
                <w:b/>
                <w:i w:val="false"/>
                <w:color w:val="000000"/>
                <w:sz w:val="18"/>
                <w:vertAlign w:val="superscript"/>
              </w:rPr>
              <w:t>1</w:t>
            </w:r>
          </w:p>
        </w:tc>
        <w:tc>
          <w:tcPr>
            <w:tcW w:w="6259" w:type="dxa"/>
            <w:tcBorders>
              <w:bottom w:val="doub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i w:val="false"/>
                <w:color w:val="000000"/>
                <w:sz w:val="16"/>
              </w:rPr>
              <w:t>Method Citation</w:t>
            </w:r>
            <w:r>
              <w:rPr>
                <w:rFonts w:ascii="Times New Roman" w:hAnsi="Times New Roman"/>
                <w:b/>
                <w:i w:val="false"/>
                <w:color w:val="000000"/>
                <w:sz w:val="18"/>
                <w:vertAlign w:val="superscript"/>
              </w:rPr>
              <w:t>1</w:t>
            </w:r>
          </w:p>
        </w:tc>
      </w:tr>
      <w:tr>
        <w:trPr>
          <w:trHeight w:val="240"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Total Coliform Bacteria Methods:</w:t>
            </w:r>
          </w:p>
        </w:tc>
      </w:tr>
      <w:tr>
        <w:trPr>
          <w:trHeight w:val="480" w:hRule="atLeast"/>
        </w:trPr>
        <w:tc>
          <w:tcPr>
            <w:tcW w:w="18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Lactose Fermentation</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Total Coliform Fermentation Technique</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 9221 B.1, B.2 (20th, 21st, and 22nd ed.)</w:t>
            </w:r>
            <w:r>
              <w:rPr>
                <w:rFonts w:ascii="Times New Roman" w:hAnsi="Times New Roman"/>
                <w:b w:val="false"/>
                <w:i w:val="false"/>
                <w:color w:val="000000"/>
                <w:sz w:val="18"/>
                <w:vertAlign w:val="superscript"/>
              </w:rPr>
              <w:t>2, 3</w:t>
            </w:r>
            <w:r>
              <w:br/>
            </w:r>
            <w:r>
              <w:rPr>
                <w:rFonts w:ascii="Times New Roman" w:hAnsi="Times New Roman"/>
                <w:b w:val="false"/>
                <w:i w:val="false"/>
                <w:color w:val="000000"/>
                <w:sz w:val="16"/>
              </w:rPr>
              <w:t>SM Online 9221 B.1, B.2-99, B-06</w:t>
            </w:r>
            <w:r>
              <w:rPr>
                <w:rFonts w:ascii="Times New Roman" w:hAnsi="Times New Roman"/>
                <w:b w:val="false"/>
                <w:i w:val="false"/>
                <w:color w:val="000000"/>
                <w:sz w:val="18"/>
                <w:vertAlign w:val="superscript"/>
              </w:rPr>
              <w:t>2, 3</w:t>
            </w:r>
          </w:p>
        </w:tc>
      </w:tr>
      <w:tr>
        <w:trPr>
          <w:trHeight w:val="480"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 Coliform Test</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 9221 D.1, D.2 (20th and 21st ed.)</w:t>
            </w:r>
            <w:r>
              <w:rPr>
                <w:rFonts w:ascii="Times New Roman" w:hAnsi="Times New Roman"/>
                <w:b w:val="false"/>
                <w:i w:val="false"/>
                <w:color w:val="000000"/>
                <w:sz w:val="18"/>
                <w:vertAlign w:val="superscript"/>
              </w:rPr>
              <w:t>2, 7</w:t>
            </w:r>
            <w:r>
              <w:br/>
            </w:r>
            <w:r>
              <w:rPr>
                <w:rFonts w:ascii="Times New Roman" w:hAnsi="Times New Roman"/>
                <w:b w:val="false"/>
                <w:i w:val="false"/>
                <w:color w:val="000000"/>
                <w:sz w:val="16"/>
              </w:rPr>
              <w:t>SM Online 9221 D.1, D.2-99</w:t>
            </w:r>
            <w:r>
              <w:rPr>
                <w:rFonts w:ascii="Times New Roman" w:hAnsi="Times New Roman"/>
                <w:b w:val="false"/>
                <w:i w:val="false"/>
                <w:color w:val="000000"/>
                <w:sz w:val="18"/>
                <w:vertAlign w:val="superscript"/>
              </w:rPr>
              <w:t>2, 7</w:t>
            </w:r>
          </w:p>
        </w:tc>
      </w:tr>
      <w:tr>
        <w:trPr>
          <w:trHeight w:val="480" w:hRule="atLeast"/>
        </w:trPr>
        <w:tc>
          <w:tcPr>
            <w:tcW w:w="18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Filtration</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Total Coliform Membrane Filter Procedure</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 9222 B, C (20th and 21st ed.)</w:t>
            </w:r>
            <w:r>
              <w:rPr>
                <w:rFonts w:ascii="Times New Roman" w:hAnsi="Times New Roman"/>
                <w:b w:val="false"/>
                <w:i w:val="false"/>
                <w:color w:val="000000"/>
                <w:sz w:val="18"/>
                <w:vertAlign w:val="superscript"/>
              </w:rPr>
              <w:t>2, 4</w:t>
            </w:r>
            <w:r>
              <w:br/>
            </w:r>
            <w:r>
              <w:rPr>
                <w:rFonts w:ascii="Times New Roman" w:hAnsi="Times New Roman"/>
                <w:b w:val="false"/>
                <w:i w:val="false"/>
                <w:color w:val="000000"/>
                <w:sz w:val="16"/>
              </w:rPr>
              <w:t>SM Online 9222 B-97</w:t>
            </w:r>
            <w:r>
              <w:rPr>
                <w:rFonts w:ascii="Times New Roman" w:hAnsi="Times New Roman"/>
                <w:b w:val="false"/>
                <w:i w:val="false"/>
                <w:color w:val="000000"/>
                <w:sz w:val="18"/>
                <w:vertAlign w:val="superscript"/>
              </w:rPr>
              <w:t>2, 4</w:t>
            </w:r>
            <w:r>
              <w:rPr>
                <w:rFonts w:ascii="Times New Roman" w:hAnsi="Times New Roman"/>
                <w:b w:val="false"/>
                <w:i w:val="false"/>
                <w:color w:val="000000"/>
                <w:sz w:val="16"/>
              </w:rPr>
              <w:t>, 9222 C-97</w:t>
            </w:r>
            <w:r>
              <w:rPr>
                <w:rFonts w:ascii="Times New Roman" w:hAnsi="Times New Roman"/>
                <w:b w:val="false"/>
                <w:i w:val="false"/>
                <w:color w:val="000000"/>
                <w:sz w:val="18"/>
                <w:vertAlign w:val="superscript"/>
              </w:rPr>
              <w:t>2, 4</w:t>
            </w:r>
          </w:p>
        </w:tc>
      </w:tr>
      <w:tr>
        <w:trPr>
          <w:trHeight w:val="40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Filtration using MI Medium</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EPA Method 1604</w:t>
            </w:r>
            <w:r>
              <w:rPr>
                <w:rFonts w:ascii="Times New Roman" w:hAnsi="Times New Roman"/>
                <w:b w:val="false"/>
                <w:i w:val="false"/>
                <w:color w:val="000000"/>
                <w:sz w:val="18"/>
                <w:vertAlign w:val="superscript"/>
              </w:rPr>
              <w:t>2</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m-ColiBlue24 Test</w:t>
            </w:r>
            <w:r>
              <w:rPr>
                <w:rFonts w:ascii="Times New Roman" w:hAnsi="Times New Roman"/>
                <w:b w:val="false"/>
                <w:i w:val="false"/>
                <w:color w:val="000000"/>
                <w:sz w:val="18"/>
                <w:vertAlign w:val="superscript"/>
              </w:rPr>
              <w:t>2, 4</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Chromocult</w:t>
            </w:r>
            <w:r>
              <w:rPr>
                <w:rFonts w:ascii="Times New Roman" w:hAnsi="Times New Roman"/>
                <w:b w:val="false"/>
                <w:i w:val="false"/>
                <w:color w:val="000000"/>
                <w:sz w:val="18"/>
                <w:vertAlign w:val="superscript"/>
              </w:rPr>
              <w:t>2, 4</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80" w:hRule="atLeast"/>
        </w:trPr>
        <w:tc>
          <w:tcPr>
            <w:tcW w:w="18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Enzyme Substrate</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Colilert</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 9223 B (20th, 21st and 22nd ed.)</w:t>
            </w:r>
            <w:r>
              <w:rPr>
                <w:rFonts w:ascii="Times New Roman" w:hAnsi="Times New Roman"/>
                <w:b w:val="false"/>
                <w:i w:val="false"/>
                <w:color w:val="000000"/>
                <w:sz w:val="18"/>
                <w:vertAlign w:val="superscript"/>
              </w:rPr>
              <w:t>2, 5</w:t>
            </w:r>
            <w:r>
              <w:br/>
            </w:r>
            <w:r>
              <w:rPr>
                <w:rFonts w:ascii="Times New Roman" w:hAnsi="Times New Roman"/>
                <w:b w:val="false"/>
                <w:i w:val="false"/>
                <w:color w:val="000000"/>
                <w:sz w:val="16"/>
              </w:rPr>
              <w:t>SM Online 9223 B-97, B-04</w:t>
            </w:r>
            <w:r>
              <w:rPr>
                <w:rFonts w:ascii="Times New Roman" w:hAnsi="Times New Roman"/>
                <w:b w:val="false"/>
                <w:i w:val="false"/>
                <w:color w:val="000000"/>
                <w:sz w:val="18"/>
                <w:vertAlign w:val="superscript"/>
              </w:rPr>
              <w:t>2, 5</w:t>
            </w:r>
          </w:p>
        </w:tc>
      </w:tr>
      <w:tr>
        <w:trPr>
          <w:trHeight w:val="480"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Colilert-18</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 9223 B (21st and 22nd ed.)</w:t>
            </w:r>
            <w:r>
              <w:rPr>
                <w:rFonts w:ascii="Times New Roman" w:hAnsi="Times New Roman"/>
                <w:b w:val="false"/>
                <w:i w:val="false"/>
                <w:color w:val="000000"/>
                <w:sz w:val="18"/>
                <w:vertAlign w:val="superscript"/>
              </w:rPr>
              <w:t>2, 5</w:t>
            </w:r>
            <w:r>
              <w:br/>
            </w:r>
            <w:r>
              <w:rPr>
                <w:rFonts w:ascii="Times New Roman" w:hAnsi="Times New Roman"/>
                <w:b w:val="false"/>
                <w:i w:val="false"/>
                <w:color w:val="000000"/>
                <w:sz w:val="16"/>
              </w:rPr>
              <w:t>SM Online 9223 B-04</w:t>
            </w:r>
            <w:r>
              <w:rPr>
                <w:rFonts w:ascii="Times New Roman" w:hAnsi="Times New Roman"/>
                <w:b w:val="false"/>
                <w:i w:val="false"/>
                <w:color w:val="000000"/>
                <w:sz w:val="18"/>
                <w:vertAlign w:val="superscript"/>
              </w:rPr>
              <w:t>2, 5</w:t>
            </w:r>
          </w:p>
        </w:tc>
      </w:tr>
      <w:tr>
        <w:trPr>
          <w:trHeight w:val="480"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Colisure</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 9223 B (20th, 21st and 22nd ed.)</w:t>
            </w:r>
            <w:r>
              <w:rPr>
                <w:rFonts w:ascii="Times New Roman" w:hAnsi="Times New Roman"/>
                <w:b w:val="false"/>
                <w:i w:val="false"/>
                <w:color w:val="000000"/>
                <w:sz w:val="18"/>
                <w:vertAlign w:val="superscript"/>
              </w:rPr>
              <w:t>2, 5, 6</w:t>
            </w:r>
            <w:r>
              <w:br/>
            </w:r>
            <w:r>
              <w:rPr>
                <w:rFonts w:ascii="Times New Roman" w:hAnsi="Times New Roman"/>
                <w:b w:val="false"/>
                <w:i w:val="false"/>
                <w:color w:val="000000"/>
                <w:sz w:val="16"/>
              </w:rPr>
              <w:t>SM Online 9223 B-97, B-04</w:t>
            </w:r>
            <w:r>
              <w:rPr>
                <w:rFonts w:ascii="Times New Roman" w:hAnsi="Times New Roman"/>
                <w:b w:val="false"/>
                <w:i w:val="false"/>
                <w:color w:val="000000"/>
                <w:sz w:val="18"/>
                <w:vertAlign w:val="superscript"/>
              </w:rPr>
              <w:t>2, 5, 6</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E*Colite Test</w:t>
            </w:r>
            <w:r>
              <w:rPr>
                <w:rFonts w:ascii="Times New Roman" w:hAnsi="Times New Roman"/>
                <w:b w:val="false"/>
                <w:i w:val="false"/>
                <w:color w:val="000000"/>
                <w:sz w:val="18"/>
                <w:vertAlign w:val="superscript"/>
              </w:rPr>
              <w:t>2</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Readycult Test</w:t>
            </w:r>
            <w:r>
              <w:rPr>
                <w:rFonts w:ascii="Times New Roman" w:hAnsi="Times New Roman"/>
                <w:b w:val="false"/>
                <w:i w:val="false"/>
                <w:color w:val="000000"/>
                <w:sz w:val="18"/>
                <w:vertAlign w:val="superscript"/>
              </w:rPr>
              <w:t>2</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modified Colitag Test</w:t>
            </w:r>
            <w:r>
              <w:rPr>
                <w:rFonts w:ascii="Times New Roman" w:hAnsi="Times New Roman"/>
                <w:b w:val="false"/>
                <w:i w:val="false"/>
                <w:color w:val="000000"/>
                <w:sz w:val="18"/>
                <w:vertAlign w:val="superscript"/>
              </w:rPr>
              <w:t>2</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Tecta EC/TC Test</w:t>
            </w:r>
            <w:r>
              <w:rPr>
                <w:rFonts w:ascii="Times New Roman" w:hAnsi="Times New Roman"/>
                <w:b w:val="false"/>
                <w:i w:val="false"/>
                <w:color w:val="000000"/>
                <w:sz w:val="18"/>
                <w:vertAlign w:val="superscript"/>
              </w:rPr>
              <w:t>2</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color w:val="000000"/>
                <w:sz w:val="16"/>
              </w:rPr>
              <w:t>E. coli</w:t>
            </w:r>
            <w:r>
              <w:rPr>
                <w:rFonts w:ascii="Times New Roman" w:hAnsi="Times New Roman"/>
                <w:b/>
                <w:i w:val="false"/>
                <w:color w:val="000000"/>
                <w:sz w:val="16"/>
              </w:rPr>
              <w:t xml:space="preserve"> Methods:</w:t>
            </w:r>
          </w:p>
        </w:tc>
      </w:tr>
      <w:tr>
        <w:trPr>
          <w:trHeight w:val="765" w:hRule="atLeast"/>
        </w:trPr>
        <w:tc>
          <w:tcPr>
            <w:tcW w:w="18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 xml:space="preserve">E. coli </w:t>
            </w:r>
            <w:r>
              <w:rPr>
                <w:rFonts w:ascii="Times New Roman" w:hAnsi="Times New Roman"/>
                <w:b w:val="false"/>
                <w:i w:val="false"/>
                <w:color w:val="000000"/>
                <w:sz w:val="16"/>
              </w:rPr>
              <w:t>Procedures (following Lactose Fermentation Methods)</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EC-MUG Medium</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 9221 F.1 (20th, 21st and 22nd ed.)</w:t>
            </w:r>
            <w:r>
              <w:rPr>
                <w:rFonts w:ascii="Times New Roman" w:hAnsi="Times New Roman"/>
                <w:b w:val="false"/>
                <w:i w:val="false"/>
                <w:color w:val="000000"/>
                <w:sz w:val="18"/>
                <w:vertAlign w:val="superscript"/>
              </w:rPr>
              <w:t>2</w:t>
            </w:r>
            <w:r>
              <w:br/>
            </w:r>
            <w:r>
              <w:rPr>
                <w:rFonts w:ascii="Times New Roman" w:hAnsi="Times New Roman"/>
                <w:b w:val="false"/>
                <w:i w:val="false"/>
                <w:color w:val="000000"/>
                <w:sz w:val="16"/>
              </w:rPr>
              <w:t>SM Online 9221 F-06</w:t>
            </w:r>
            <w:r>
              <w:rPr>
                <w:rFonts w:ascii="Times New Roman" w:hAnsi="Times New Roman"/>
                <w:b w:val="false"/>
                <w:i w:val="false"/>
                <w:color w:val="000000"/>
                <w:sz w:val="18"/>
                <w:vertAlign w:val="superscript"/>
              </w:rPr>
              <w:t>2</w:t>
            </w:r>
          </w:p>
        </w:tc>
      </w:tr>
      <w:tr>
        <w:trPr>
          <w:trHeight w:val="255" w:hRule="atLeast"/>
        </w:trPr>
        <w:tc>
          <w:tcPr>
            <w:tcW w:w="18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 xml:space="preserve">E. coli </w:t>
            </w:r>
            <w:r>
              <w:rPr>
                <w:rFonts w:ascii="Times New Roman" w:hAnsi="Times New Roman"/>
                <w:b w:val="false"/>
                <w:i w:val="false"/>
                <w:color w:val="000000"/>
                <w:sz w:val="16"/>
              </w:rPr>
              <w:t>Partition</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EC broth with MUG (EC-MUG)</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 9222 G.1</w:t>
            </w:r>
            <w:r>
              <w:rPr>
                <w:rFonts w:ascii="Times New Roman" w:hAnsi="Times New Roman"/>
                <w:b w:val="false"/>
                <w:i/>
                <w:color w:val="000000"/>
                <w:sz w:val="16"/>
              </w:rPr>
              <w:t>c</w:t>
            </w:r>
            <w:r>
              <w:rPr>
                <w:rFonts w:ascii="Times New Roman" w:hAnsi="Times New Roman"/>
                <w:b w:val="false"/>
                <w:i w:val="false"/>
                <w:color w:val="000000"/>
                <w:sz w:val="16"/>
              </w:rPr>
              <w:t>(2) (20th and 21st ed.)</w:t>
            </w:r>
            <w:r>
              <w:rPr>
                <w:rFonts w:ascii="Times New Roman" w:hAnsi="Times New Roman"/>
                <w:b w:val="false"/>
                <w:i w:val="false"/>
                <w:color w:val="000000"/>
                <w:sz w:val="18"/>
                <w:vertAlign w:val="superscript"/>
              </w:rPr>
              <w:t>2, 8</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NA-MUG Medium</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 9222 G.1</w:t>
            </w:r>
            <w:r>
              <w:rPr>
                <w:rFonts w:ascii="Times New Roman" w:hAnsi="Times New Roman"/>
                <w:b w:val="false"/>
                <w:i/>
                <w:color w:val="000000"/>
                <w:sz w:val="16"/>
              </w:rPr>
              <w:t>c</w:t>
            </w:r>
            <w:r>
              <w:rPr>
                <w:rFonts w:ascii="Times New Roman" w:hAnsi="Times New Roman"/>
                <w:b w:val="false"/>
                <w:i w:val="false"/>
                <w:color w:val="000000"/>
                <w:sz w:val="16"/>
              </w:rPr>
              <w:t>(1) (20th and 21st ed.)</w:t>
            </w:r>
            <w:r>
              <w:rPr>
                <w:rFonts w:ascii="Times New Roman" w:hAnsi="Times New Roman"/>
                <w:b w:val="false"/>
                <w:i w:val="false"/>
                <w:color w:val="000000"/>
                <w:sz w:val="18"/>
                <w:vertAlign w:val="superscript"/>
              </w:rPr>
              <w:t>2</w:t>
            </w:r>
          </w:p>
        </w:tc>
      </w:tr>
      <w:tr>
        <w:trPr>
          <w:trHeight w:val="405" w:hRule="atLeast"/>
        </w:trPr>
        <w:tc>
          <w:tcPr>
            <w:tcW w:w="18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Filtration</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Filtration using MI Medium</w:t>
            </w:r>
          </w:p>
        </w:tc>
        <w:tc>
          <w:tcPr>
            <w:tcW w:w="625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EPA Method 1604</w:t>
            </w:r>
            <w:r>
              <w:rPr>
                <w:rFonts w:ascii="Times New Roman" w:hAnsi="Times New Roman"/>
                <w:b w:val="false"/>
                <w:i w:val="false"/>
                <w:color w:val="000000"/>
                <w:sz w:val="18"/>
                <w:vertAlign w:val="superscript"/>
              </w:rPr>
              <w:t>2</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m-ColiBlue24 Test</w:t>
            </w:r>
            <w:r>
              <w:rPr>
                <w:rFonts w:ascii="Times New Roman" w:hAnsi="Times New Roman"/>
                <w:b w:val="false"/>
                <w:i w:val="false"/>
                <w:color w:val="000000"/>
                <w:sz w:val="18"/>
                <w:vertAlign w:val="superscript"/>
              </w:rPr>
              <w:t>2, 4</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Chromocult</w:t>
            </w:r>
            <w:r>
              <w:rPr>
                <w:rFonts w:ascii="Times New Roman" w:hAnsi="Times New Roman"/>
                <w:b w:val="false"/>
                <w:i w:val="false"/>
                <w:color w:val="000000"/>
                <w:sz w:val="18"/>
                <w:vertAlign w:val="superscript"/>
              </w:rPr>
              <w:t>2, 4</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80" w:hRule="atLeast"/>
        </w:trPr>
        <w:tc>
          <w:tcPr>
            <w:tcW w:w="18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Enzyme Substrate</w:t>
            </w: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Colilert</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 9223 B (20th, 21st and 22nd ed.)</w:t>
            </w:r>
            <w:r>
              <w:rPr>
                <w:rFonts w:ascii="Times New Roman" w:hAnsi="Times New Roman"/>
                <w:b w:val="false"/>
                <w:i w:val="false"/>
                <w:color w:val="000000"/>
                <w:sz w:val="18"/>
                <w:vertAlign w:val="superscript"/>
              </w:rPr>
              <w:t>2, 5</w:t>
            </w:r>
            <w:r>
              <w:br/>
            </w:r>
            <w:r>
              <w:rPr>
                <w:rFonts w:ascii="Times New Roman" w:hAnsi="Times New Roman"/>
                <w:b w:val="false"/>
                <w:i w:val="false"/>
                <w:color w:val="000000"/>
                <w:sz w:val="16"/>
              </w:rPr>
              <w:t>SM Online 9223 B-97, B-04</w:t>
            </w:r>
            <w:r>
              <w:rPr>
                <w:rFonts w:ascii="Times New Roman" w:hAnsi="Times New Roman"/>
                <w:b w:val="false"/>
                <w:i w:val="false"/>
                <w:color w:val="000000"/>
                <w:sz w:val="18"/>
                <w:vertAlign w:val="superscript"/>
              </w:rPr>
              <w:t>2, 5, 6</w:t>
            </w:r>
          </w:p>
        </w:tc>
      </w:tr>
      <w:tr>
        <w:trPr>
          <w:trHeight w:val="480"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Colilert-18</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 9223 B (21st and 22nd ed.)</w:t>
            </w:r>
            <w:r>
              <w:rPr>
                <w:rFonts w:ascii="Times New Roman" w:hAnsi="Times New Roman"/>
                <w:b w:val="false"/>
                <w:i w:val="false"/>
                <w:color w:val="000000"/>
                <w:sz w:val="18"/>
                <w:vertAlign w:val="superscript"/>
              </w:rPr>
              <w:t>2, 5</w:t>
            </w:r>
            <w:r>
              <w:br/>
            </w:r>
            <w:r>
              <w:rPr>
                <w:rFonts w:ascii="Times New Roman" w:hAnsi="Times New Roman"/>
                <w:b w:val="false"/>
                <w:i w:val="false"/>
                <w:color w:val="000000"/>
                <w:sz w:val="16"/>
              </w:rPr>
              <w:t>SM Online 9223 B-04</w:t>
            </w:r>
            <w:r>
              <w:rPr>
                <w:rFonts w:ascii="Times New Roman" w:hAnsi="Times New Roman"/>
                <w:b w:val="false"/>
                <w:i w:val="false"/>
                <w:color w:val="000000"/>
                <w:sz w:val="18"/>
                <w:vertAlign w:val="superscript"/>
              </w:rPr>
              <w:t>2, 5</w:t>
            </w:r>
          </w:p>
        </w:tc>
      </w:tr>
      <w:tr>
        <w:trPr>
          <w:trHeight w:val="480"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Colisure</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 9223 B (20th, 21st and 22nd ed.)</w:t>
            </w:r>
            <w:r>
              <w:rPr>
                <w:rFonts w:ascii="Times New Roman" w:hAnsi="Times New Roman"/>
                <w:b w:val="false"/>
                <w:i w:val="false"/>
                <w:color w:val="000000"/>
                <w:sz w:val="18"/>
                <w:vertAlign w:val="superscript"/>
              </w:rPr>
              <w:t>2, 5, 6</w:t>
            </w:r>
            <w:r>
              <w:br/>
            </w:r>
            <w:r>
              <w:rPr>
                <w:rFonts w:ascii="Times New Roman" w:hAnsi="Times New Roman"/>
                <w:b w:val="false"/>
                <w:i w:val="false"/>
                <w:color w:val="000000"/>
                <w:sz w:val="16"/>
              </w:rPr>
              <w:t>SM Online 9223 B-97, 04</w:t>
            </w:r>
            <w:r>
              <w:rPr>
                <w:rFonts w:ascii="Times New Roman" w:hAnsi="Times New Roman"/>
                <w:b w:val="false"/>
                <w:i w:val="false"/>
                <w:color w:val="000000"/>
                <w:sz w:val="18"/>
                <w:vertAlign w:val="superscript"/>
              </w:rPr>
              <w:t>2, 5, 6</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E*Colite Test</w:t>
            </w:r>
            <w:r>
              <w:rPr>
                <w:rFonts w:ascii="Times New Roman" w:hAnsi="Times New Roman"/>
                <w:b w:val="false"/>
                <w:i w:val="false"/>
                <w:color w:val="000000"/>
                <w:sz w:val="18"/>
                <w:vertAlign w:val="superscript"/>
              </w:rPr>
              <w:t>2</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Readycult</w:t>
            </w:r>
            <w:r>
              <w:rPr>
                <w:rFonts w:ascii="Times New Roman" w:hAnsi="Times New Roman"/>
                <w:b w:val="false"/>
                <w:i w:val="false"/>
                <w:color w:val="000000"/>
                <w:sz w:val="18"/>
                <w:vertAlign w:val="superscript"/>
              </w:rPr>
              <w:t>2</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00"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modified Colitag Test</w:t>
            </w:r>
            <w:r>
              <w:rPr>
                <w:rFonts w:ascii="Times New Roman" w:hAnsi="Times New Roman"/>
                <w:b w:val="false"/>
                <w:i w:val="false"/>
                <w:color w:val="000000"/>
                <w:sz w:val="18"/>
                <w:vertAlign w:val="superscript"/>
              </w:rPr>
              <w:t>2</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32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Tecta EC/TC Test</w:t>
            </w:r>
            <w:r>
              <w:rPr>
                <w:rFonts w:ascii="Times New Roman" w:hAnsi="Times New Roman"/>
                <w:b w:val="false"/>
                <w:i w:val="false"/>
                <w:color w:val="000000"/>
                <w:sz w:val="18"/>
                <w:vertAlign w:val="superscript"/>
              </w:rPr>
              <w:t>2</w:t>
            </w:r>
          </w:p>
        </w:tc>
        <w:tc>
          <w:tcPr>
            <w:tcW w:w="62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Methods are listed in </w:t>
      </w:r>
      <w:hyperlink r:id="rId9">
        <w:r>
          <w:rPr>
            <w:rStyle w:val="Hyperlink"/>
            <w:rFonts w:ascii="Times New Roman" w:hAnsi="Times New Roman"/>
            <w:b w:val="false"/>
            <w:i w:val="false"/>
            <w:color w:val="000000"/>
            <w:sz w:val="16"/>
          </w:rPr>
          <w:t>41.2(1)</w:t>
        </w:r>
      </w:hyperlink>
      <w:r>
        <w:rPr>
          <w:rFonts w:ascii="Times New Roman" w:hAnsi="Times New Roman"/>
          <w:b w:val="false"/>
          <w:i/>
          <w:color w:val="000000"/>
          <w:sz w:val="16"/>
        </w:rPr>
        <w:t>“b”</w:t>
      </w:r>
      <w:r>
        <w:rPr>
          <w:rFonts w:ascii="Times New Roman" w:hAnsi="Times New Roman"/>
          <w:b w:val="false"/>
          <w:i w:val="false"/>
          <w:color w:val="000000"/>
          <w:sz w:val="16"/>
        </w:rPr>
        <w:t xml:space="preserve">(6). For SM, either the 20th (1998) or 21st (2005) edition may be used. For SM Online, the year in which each method was approved is designated by the last two digits following the hyphen in the method number, and the methods listed are the only online versions that may be used. For vendor methods, the date  in </w:t>
      </w:r>
      <w:r>
        <w:rPr>
          <w:rFonts w:ascii="Times New Roman" w:hAnsi="Times New Roman"/>
          <w:b w:val="false"/>
          <w:i w:val="false"/>
          <w:color w:val="000000"/>
          <w:sz w:val="16"/>
        </w:rPr>
        <w:t>41.2(1)</w:t>
      </w:r>
      <w:r>
        <w:rPr>
          <w:rFonts w:ascii="Times New Roman" w:hAnsi="Times New Roman"/>
          <w:b w:val="false"/>
          <w:i/>
          <w:color w:val="000000"/>
          <w:sz w:val="16"/>
        </w:rPr>
        <w:t>“b”</w:t>
      </w:r>
      <w:r>
        <w:rPr>
          <w:rFonts w:ascii="Times New Roman" w:hAnsi="Times New Roman"/>
          <w:b w:val="false"/>
          <w:i w:val="false"/>
          <w:color w:val="000000"/>
          <w:sz w:val="16"/>
        </w:rPr>
        <w:t>(6)</w:t>
      </w:r>
      <w:r>
        <w:rPr>
          <w:rFonts w:ascii="Times New Roman" w:hAnsi="Times New Roman"/>
          <w:b w:val="false"/>
          <w:i w:val="false"/>
          <w:color w:val="000000"/>
          <w:sz w:val="16"/>
        </w:rPr>
        <w:t xml:space="preserve"> is the date/version of the approved method, and the methods listed are the only versions that may be used. Laboratories should use only the approved versions of the methods, as product package inserts may not match the approved versions.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Incorporated by reference. See </w:t>
      </w:r>
      <w:hyperlink r:id="rId10">
        <w:r>
          <w:rPr>
            <w:rStyle w:val="Hyperlink"/>
            <w:rFonts w:ascii="Times New Roman" w:hAnsi="Times New Roman"/>
            <w:b w:val="false"/>
            <w:i w:val="false"/>
            <w:color w:val="000000"/>
            <w:sz w:val="16"/>
          </w:rPr>
          <w:t>41.2(1)</w:t>
        </w:r>
      </w:hyperlink>
      <w:r>
        <w:rPr>
          <w:rFonts w:ascii="Times New Roman" w:hAnsi="Times New Roman"/>
          <w:b w:val="false"/>
          <w:i/>
          <w:color w:val="000000"/>
          <w:sz w:val="16"/>
        </w:rPr>
        <w:t>“b”</w:t>
      </w:r>
      <w:r>
        <w:rPr>
          <w:rFonts w:ascii="Times New Roman" w:hAnsi="Times New Roman"/>
          <w:b w:val="false"/>
          <w:i w:val="false"/>
          <w:color w:val="000000"/>
          <w:sz w:val="16"/>
        </w:rPr>
        <w:t>(6).</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Lactose broth may be used in lieu of lauryl tryptose broth (LTB) if the system conducts at least 25 parallel tests between lactose broth and LTB using the water normally tested and if the findings from this comparison demonstrate that the false-positive rate and the false-negative rate for total coliforms, using lactose broth, is less than 10 percent.</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All filtration series must begin with membrane filtration equipment that has been sterilized by autoclaving. Exposure of filtration equipment to UV light is not adequate to ensure sterilization. Subsequent to the initial autoclaving, exposure of the filtration equipment to UV light may be used to sanitize the funnels between filtrations within a filtration series. Alternatively, membrane filtration equipment that is presterilized by the manufacturer may be used.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Multiple-tube and multi-well enumerative formats for this method are approved for use in P/A determination under this subrule.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Colisure results may be read after an incubation time of 24 hours.</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A multiple-tube enumerative format, as described in SM for the Examination of Water and Wastewater 9221, is approved for this method for use in P/A determination under this subrule.</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The following changes must be made to the EC broth with MUG (EC-MUG) formulation: Potassium dihydrogen phosphate, KH</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PO</w:t>
      </w:r>
      <w:r>
        <w:rPr>
          <w:rFonts w:ascii="Times New Roman" w:hAnsi="Times New Roman"/>
          <w:b w:val="false"/>
          <w:i w:val="false"/>
          <w:color w:val="000000"/>
          <w:sz w:val="18"/>
          <w:vertAlign w:val="subscript"/>
        </w:rPr>
        <w:t>4</w:t>
      </w:r>
      <w:r>
        <w:rPr>
          <w:rFonts w:ascii="Times New Roman" w:hAnsi="Times New Roman"/>
          <w:b w:val="false"/>
          <w:i w:val="false"/>
          <w:color w:val="000000"/>
          <w:sz w:val="16"/>
        </w:rPr>
        <w:t>, must be 1.5 g, and 4-methylumbelliferyl-beta-D-glucuronide must be 0.05 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incorporated by reference. The methods in this subrule are incorporated by reference with the approval of the Director of the Federal Register under </w:t>
      </w:r>
      <w:r>
        <w:rPr>
          <w:rFonts w:ascii="Times New Roman" w:hAnsi="Times New Roman"/>
          <w:b w:val="false"/>
          <w:i w:val="false"/>
          <w:color w:val="000000"/>
          <w:sz w:val="22"/>
        </w:rPr>
        <w:t>5 U.S.C. 552(a)</w:t>
      </w:r>
      <w:r>
        <w:rPr>
          <w:rFonts w:ascii="Times New Roman" w:hAnsi="Times New Roman"/>
          <w:b w:val="false"/>
          <w:i w:val="false"/>
          <w:color w:val="000000"/>
          <w:sz w:val="22"/>
        </w:rPr>
        <w:t xml:space="preserve"> and </w:t>
      </w:r>
      <w:r>
        <w:rPr>
          <w:rFonts w:ascii="Times New Roman" w:hAnsi="Times New Roman"/>
          <w:b w:val="false"/>
          <w:i w:val="false"/>
          <w:color w:val="000000"/>
          <w:sz w:val="22"/>
        </w:rPr>
        <w:t>1 CFR Part 51</w:t>
      </w:r>
      <w:r>
        <w:rPr>
          <w:rFonts w:ascii="Times New Roman" w:hAnsi="Times New Roman"/>
          <w:b w:val="false"/>
          <w:i w:val="false"/>
          <w:color w:val="000000"/>
          <w:sz w:val="22"/>
        </w:rPr>
        <w:t xml:space="preserve">. All approved material is available for inspection at www.regulations.gov, in hard copy at the EPA’s Drinking Water Docket, (Docket ID EPA-HQ-OW-2008-0878), or from NARA.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APHA, SM 20th edition (1998):</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SM 9221, “Multiple-Tube Fermentation Technique for Members of the Coliform Group,” B.1, B.2, “Standard Total Coliform Fermentation Technique;” D.1, D.2, “Presence-Absence (P/A) Coliform Test;” and F.1, “Escherichia coli Procedure: EC-MUG Medium.”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SM 9222, “Membrane Filter Technique for Members of the Coliform Group,” B, “Standard Total Coliform Membrane Filter Procedure,” C, “Delayed-Incubation Total Coliform Procedure,” G.1c(1), “Escherichia coli Partition Method: NA-MUG Medium,” and G.1c(2), “Escherichia coli Partition Method: EC Broth with MUG (EC-MUG).”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SM 9223, “Enzyme Substrate Coliform Test,” B, “Enzyme Substrate Test,” Colilert and Colisure.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SM, 21st edition (2005):</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SM 9221, “Multiple-Tube Fermentation Technique for Members of the Coliform Group,” B.1, B.2, “Standard Total Coliform Fermentation Technique;” D.1, D.2, “Presence-Absence (P/A) Coliform Test,” and F.1, “Escherichia coli Procedure: EC-MUG Medium.”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SM 9222, “Membrane Filter Technique for Members of the Coliform Group,” B, “Standard Total Coliform Membrane Filter Procedure;” C, “Delayed-Incubation Total Coliform Procedure;” G.1.c(1), “Escherichia coli Partition Method: NA-MUG Medium;” and G.1.c(2), “Escherichia coli Partition Method: EC Broth with MUG (EC-MUG).”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SM 9223, “Enzyme Substrate Coliform Test,” B, “Enzyme Substrate Test,” Colilert and Colisure.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 Online: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SM 9221, “Multiple-Tube Fermentation Technique for Members of the Coliform Group” (1999), B.1, B.2-99, B-06, “Standard Total Coliform Fermentation Technique” and D.1, D.2-99, “Presence-Absence (P/A) Coliform Test.”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SM 9222, “Membrane Filter Technique for Members of the Coliform Group” (1997), B-97, “Standard Total Coliform Membrane Filter Procedure” and C-97, “Delayed-Incubation Total Coliform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SM 9223, “Enzyme Substrate Coliform Test” (1997), B-97, “Enzyme Substrate Test,” Colilert and Colisure.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Charm Sciences, Inc., 659 Andover Street, Lawrence, MA 01843-1032: E*Colite—“Charm E*Colite Presence/Absence Test for Detection and Identification of Coliform Bacteria and Escherichia coli in Drinking Water,” January 9,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CPI International, Inc., 5580 Skylane Blvd., Santa Rosa, CA 95403: modified Colitag, ATP D05-0035—“Modified Colitag Test Method for the Simultaneous Detection of </w:t>
      </w:r>
      <w:r>
        <w:rPr>
          <w:rFonts w:ascii="Times New Roman" w:hAnsi="Times New Roman"/>
          <w:b w:val="false"/>
          <w:i/>
          <w:color w:val="000000"/>
          <w:sz w:val="22"/>
        </w:rPr>
        <w:t>E. coli</w:t>
      </w:r>
      <w:r>
        <w:rPr>
          <w:rFonts w:ascii="Times New Roman" w:hAnsi="Times New Roman"/>
          <w:b w:val="false"/>
          <w:i w:val="false"/>
          <w:color w:val="000000"/>
          <w:sz w:val="22"/>
        </w:rPr>
        <w:t xml:space="preserve"> and other Total Coliforms in Water,” August 28,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EMD Millipore (a division of Merck KGaA, Darmstadt, Germany), 290 Concord Road, Billerica, MA 01821: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Chromocult—“Chromocult Coliform Agar Presence/Absence Membrane Filter Test Method for Detection and Identification of Coliform Bacteria and Escherichia coli for Finished Waters,” November 2000, Version 1.0.</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Readycult—“Readycult Coliforms 100 Presence/Absence Test for Detection and Identification of Coliform Bacteria and Escherichia coli in Finished Waters,” January 2007, Version 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EPA’s Water Resource Center (MC-4100T),  EPA Method 1604, EPA 821-R-02-024—“EPA Method 1604: Total Coliforms and Escherichia coli in Water by Membrane Filtration Using a Simultaneous Detection Technique (MI Medium),” September 2002, </w:t>
      </w:r>
      <w:hyperlink r:id="rId11">
        <w:r>
          <w:rPr>
            <w:rStyle w:val="Hyperlink"/>
            <w:rFonts w:ascii="Times New Roman" w:hAnsi="Times New Roman"/>
            <w:b w:val="false"/>
            <w:i w:val="false"/>
            <w:color w:val="000000"/>
            <w:sz w:val="22"/>
            <w:u w:val="single"/>
          </w:rPr>
          <w:t>www.nemi.gov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Hach Company, </w:t>
      </w:r>
      <w:hyperlink r:id="rId12">
        <w:r>
          <w:rPr>
            <w:rStyle w:val="Hyperlink"/>
            <w:rFonts w:ascii="Times New Roman" w:hAnsi="Times New Roman"/>
            <w:b w:val="false"/>
            <w:i w:val="false"/>
            <w:color w:val="000000"/>
            <w:sz w:val="22"/>
            <w:u w:val="single"/>
          </w:rPr>
          <w:t>www.hach.com</w:t>
        </w:r>
      </w:hyperlink>
      <w:r>
        <w:rPr>
          <w:rFonts w:ascii="Times New Roman" w:hAnsi="Times New Roman"/>
          <w:b w:val="false"/>
          <w:i w:val="false"/>
          <w:color w:val="000000"/>
          <w:sz w:val="22"/>
        </w:rPr>
        <w:t>: m-ColiBlue24—“Membrane Filtration Method m-ColiBlue24 Broth,” Revision 2, August 17,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SM, 22nd edition (2012):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SM 9221, “Multiple-Tube Fermentation Technique for Members of the Coliform Group,” B.1, B.2, “Standard Total Coliform Fermentation Technique,” and F.1, “Escherichia coli Procedure: EC-MUG Medium.”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SM 9223, “Enzyme Substrate Coliform Test,” B, “Enzyme Substrate Test,” Colilert and Colisure.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Veolia Water Solutions and Technologies, Suite 4697, Biosciences Complex, 116 Barrie Street, Kingston, Ontario, Canada K7L 3N6: Tecta EC/TC. “Presence/Absence Method for Simultaneous Detection of Total Coliforms and Escherichia coli in Drinking Water,” April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 certification. Systems must have all compliance samples required under this subrule analyzed by a laboratory certified in accordance with </w:t>
      </w:r>
      <w:hyperlink r:id="rId13">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The laboratory used by the system must be certified for each method and associated contaminant used for compliance monitoring analyses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Sampling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sampling plan required. Systems must collect total coliform samples according to their written sampling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must develop a written sampling plan that identifies sample locations and a sample collection schedule that are representative of water throughout the distribution system. Major elements of the plan shall include, but not be limited to,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Map of the distribution system served by the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List of routine compliance sample locations for each sample period;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List of repeat compliance sample locations for each routine compliance sample location;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Any other sample locations necessary to meet the requirements of this subrule;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Sample collection schedule;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Proper sampling technique instructions;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Log of samples taken;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For GW systems subject to </w:t>
      </w:r>
      <w:hyperlink r:id="rId14">
        <w:r>
          <w:rPr>
            <w:rStyle w:val="Hyperlink"/>
            <w:rFonts w:ascii="Times New Roman" w:hAnsi="Times New Roman"/>
            <w:b w:val="false"/>
            <w:i w:val="false"/>
            <w:color w:val="000000"/>
            <w:sz w:val="22"/>
          </w:rPr>
          <w:t>567—41.7</w:t>
        </w:r>
      </w:hyperlink>
      <w:r>
        <w:rPr>
          <w:rFonts w:ascii="Times New Roman" w:hAnsi="Times New Roman"/>
          <w:b w:val="false"/>
          <w:i w:val="false"/>
          <w:color w:val="000000"/>
          <w:sz w:val="22"/>
        </w:rPr>
        <w:t>(455B), triggered source water monitoring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shall review the sampling plan every two years, update it as needed, and retain it on file at the facility. The plan must be made available to the department upon request and for review during sanitary surveys and must be revised at the department’s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under this subrule may take place at a customer’s premises, dedicated sampling station, or other designated compliance sampling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Sampling schedule. Systems must collect routine samples at regular time intervals throughout the month. Systems that use only GW and serve 4,900 or fewer people, or regional water systems that use only GW and serve less than 121 miles of pipe, may collect all required routine samples on a single day, if the samples are taken from different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number of routine samples. Systems must take at least the minimum number of required routine samples even if the system has had 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 or has exceeded the coliform TT triggers in </w:t>
      </w:r>
      <w:hyperlink r:id="rId15">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 xml:space="preserve"> Such samples must be designated as “routine” when submitted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sampling. A system may conduct more compliance monitoring than is required to uncover or investigate potential problems in the distribution system. A system may take more than the minimum number of required routine samples, and must include the additional routine sample results when calculating whether the coliform TT trigger in </w:t>
      </w:r>
      <w:hyperlink r:id="rId16">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(1)“1” and “2” has been exceeded, only if the samples are taken in accordance with the existing sampling plan and are representative of water throughout the distribution system. Such samples must be designated as “routine” when submitted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Repeat samples. Systems must identify repeat monitoring locations in the sampling plan. Repeat samples must be analyzed at the same laboratory as the corresponding original routine sample(s), unless written approval for use of a different laboratory is granted by the department. A system must collect at least one repeat sample at the following locations: from the sampling tap where the original routine total coliform-positive sample was taken, at a tap within five service connections upstream of the original sample location, and at a tap within five service connections downstream of the original sample location. Such samples must be designated as “repeat” when submitted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sampling location of a total coliform-positive sample is at or within one service connection from the end of the distribution system, the system must still take all required repeat samples. However, the department may allow an alternative sampling location in lieu of one of the upstream or downstream sampling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GW system with two or more wells that is required to conduct triggered source water monitoring under </w:t>
      </w:r>
      <w:r>
        <w:rPr>
          <w:rFonts w:ascii="Times New Roman" w:hAnsi="Times New Roman"/>
          <w:b w:val="false"/>
          <w:i w:val="false"/>
          <w:color w:val="000000"/>
          <w:sz w:val="22"/>
        </w:rPr>
        <w:t>41.7(3)</w:t>
      </w:r>
      <w:r>
        <w:rPr>
          <w:rFonts w:ascii="Times New Roman" w:hAnsi="Times New Roman"/>
          <w:b w:val="false"/>
          <w:i w:val="false"/>
          <w:color w:val="000000"/>
          <w:sz w:val="22"/>
        </w:rPr>
        <w:t xml:space="preserve"> must collect GW source sample(s) in addition to the required repeat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GW system with a single well that is required to conduct triggered source water monitoring may, with written department approval, collect one of its required repeat samples at the triggered source water sample monitoring location. The system must demonstrate to the department’s satisfaction that the sampling plan remains representative of water quality in the distribution system. If approved, the sample result may be used to meet the requirements of </w:t>
      </w:r>
      <w:hyperlink r:id="rId17">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 xml:space="preserve"> and this subrule. If a repeat sample taken at the triggered source water monitoring location is </w:t>
      </w:r>
      <w:r>
        <w:rPr>
          <w:rFonts w:ascii="Times New Roman" w:hAnsi="Times New Roman"/>
          <w:b w:val="false"/>
          <w:i/>
          <w:color w:val="000000"/>
          <w:sz w:val="22"/>
        </w:rPr>
        <w:t>E. coli</w:t>
      </w:r>
      <w:r>
        <w:rPr>
          <w:rFonts w:ascii="Times New Roman" w:hAnsi="Times New Roman"/>
          <w:b w:val="false"/>
          <w:i w:val="false"/>
          <w:color w:val="000000"/>
          <w:sz w:val="22"/>
        </w:rPr>
        <w:t xml:space="preserve">-positive, the system has violated the </w:t>
      </w:r>
      <w:r>
        <w:rPr>
          <w:rFonts w:ascii="Times New Roman" w:hAnsi="Times New Roman"/>
          <w:b w:val="false"/>
          <w:i/>
          <w:color w:val="000000"/>
          <w:sz w:val="22"/>
        </w:rPr>
        <w:t>E. coli</w:t>
      </w:r>
      <w:r>
        <w:rPr>
          <w:rFonts w:ascii="Times New Roman" w:hAnsi="Times New Roman"/>
          <w:b w:val="false"/>
          <w:i w:val="false"/>
          <w:color w:val="000000"/>
          <w:sz w:val="22"/>
        </w:rPr>
        <w:t xml:space="preserve"> MCL, and must also comply with the requirements for additional source water samples under </w:t>
      </w:r>
      <w:hyperlink r:id="rId18">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review, revise, and approve, as appropriate, repeat sampling proposed by a system under </w:t>
      </w:r>
      <w:hyperlink r:id="rId19">
        <w:r>
          <w:rPr>
            <w:rStyle w:val="Hyperlink"/>
            <w:rFonts w:ascii="Times New Roman" w:hAnsi="Times New Roman"/>
            <w:b w:val="false"/>
            <w:i w:val="false"/>
            <w:color w:val="000000"/>
            <w:sz w:val="22"/>
          </w:rPr>
          <w:t>41.2(1)</w:t>
        </w:r>
        <w:r>
          <w:rPr>
            <w:rFonts w:ascii="Times New Roman" w:hAnsi="Times New Roman"/>
            <w:b w:val="false"/>
            <w:i/>
            <w:color w:val="000000"/>
            <w:sz w:val="22"/>
          </w:rPr>
          <w:t>“c”</w:t>
        </w:r>
        <w:r>
          <w:rPr>
            <w:rFonts w:ascii="Times New Roman" w:hAnsi="Times New Roman"/>
            <w:b w:val="false"/>
            <w:i w:val="false"/>
            <w:color w:val="000000"/>
            <w:sz w:val="22"/>
          </w:rPr>
          <w:t>(5)</w:t>
        </w:r>
      </w:hyperlink>
      <w:r>
        <w:rPr>
          <w:rFonts w:ascii="Times New Roman" w:hAnsi="Times New Roman"/>
          <w:b w:val="false"/>
          <w:i w:val="false"/>
          <w:color w:val="000000"/>
          <w:sz w:val="22"/>
        </w:rPr>
        <w:t>. The system must demonstrate that the sampling plan remains representative of the water quality in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purpose samples. Special purpose samples, such as those taken to determine whether disinfection practices are sufficient following pipe placement, replacement, or repair, must not be used to determine whether the coliform TT trigger has been exceeded. Such samples must be designated as “special” when submitted to the laboratory and cannot be used for compliance. Repeat samples are not considered special purpose samples and must be used to determine whether the coliform TT trigger has been exceeded.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Residual disinfectant measurement. Any system adding a chemical disinfectant to the water must meet the requirements of </w:t>
      </w:r>
      <w:hyperlink r:id="rId20">
        <w:r>
          <w:rPr>
            <w:rStyle w:val="Hyperlink"/>
            <w:rFonts w:ascii="Times New Roman" w:hAnsi="Times New Roman"/>
            <w:b w:val="false"/>
            <w:i w:val="false"/>
            <w:color w:val="000000"/>
            <w:sz w:val="22"/>
          </w:rPr>
          <w:t>567—subparagraph 40.8(3)</w:t>
        </w:r>
      </w:hyperlink>
      <w:r>
        <w:rPr>
          <w:rFonts w:ascii="Times New Roman" w:hAnsi="Times New Roman"/>
          <w:b w:val="false"/>
          <w:i/>
          <w:color w:val="000000"/>
          <w:sz w:val="22"/>
        </w:rPr>
        <w:t>“b”</w:t>
      </w:r>
      <w:r>
        <w:rPr>
          <w:rFonts w:ascii="Times New Roman" w:hAnsi="Times New Roman"/>
          <w:b w:val="false"/>
          <w:i w:val="false"/>
          <w:color w:val="000000"/>
          <w:sz w:val="22"/>
        </w:rPr>
        <w:t>(1). The minimum required residual disinfectant measurements are as follows, unless otherwise directed by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GW systems. A system that uses only GW and adds a chemical disinfectant, or provides water that contains a disinfectant, must measure and record the free and total chlorine residual disinfectant concentration at least at the same points in the distribution system and at the same time as routine and repeat total coliform bacteria samples are collected, as specified in </w:t>
      </w:r>
      <w:hyperlink r:id="rId21">
        <w:r>
          <w:rPr>
            <w:rStyle w:val="Hyperlink"/>
            <w:rFonts w:ascii="Times New Roman" w:hAnsi="Times New Roman"/>
            <w:b w:val="false"/>
            <w:i w:val="false"/>
            <w:color w:val="000000"/>
            <w:sz w:val="22"/>
          </w:rPr>
          <w:t>41.2(1)</w:t>
        </w:r>
      </w:hyperlink>
      <w:r>
        <w:rPr>
          <w:rFonts w:ascii="Times New Roman" w:hAnsi="Times New Roman"/>
          <w:b w:val="false"/>
          <w:i/>
          <w:color w:val="000000"/>
          <w:sz w:val="22"/>
        </w:rPr>
        <w:t>“e”</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The system shall report the total residual disinfectant concentration to the laboratory with the bacteria sample and comply with the reporting requirements in </w:t>
      </w:r>
      <w:hyperlink r:id="rId22">
        <w:r>
          <w:rPr>
            <w:rStyle w:val="Hyperlink"/>
            <w:rFonts w:ascii="Times New Roman" w:hAnsi="Times New Roman"/>
            <w:b w:val="false"/>
            <w:i w:val="false"/>
            <w:color w:val="000000"/>
            <w:sz w:val="22"/>
          </w:rPr>
          <w:t>567—subrule 40.8(3)</w:t>
        </w:r>
      </w:hyperlink>
      <w:r>
        <w:rPr>
          <w:rFonts w:ascii="Times New Roman" w:hAnsi="Times New Roman"/>
          <w:b w:val="false"/>
          <w:i w:val="false"/>
          <w:color w:val="000000"/>
          <w:sz w:val="22"/>
        </w:rPr>
        <w:t>. If a system is chloraminating, it may measure and report only the total chlorine residual.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Surface water (SW) and influenced groundwater (IGW)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Any SW or IGW PWS must meet the requirements for minimum residual disinfectant entering the distribution system pursuant to </w:t>
      </w:r>
      <w:hyperlink r:id="rId23">
        <w:r>
          <w:rPr>
            <w:rStyle w:val="Hyperlink"/>
            <w:rFonts w:ascii="Times New Roman" w:hAnsi="Times New Roman"/>
            <w:b w:val="false"/>
            <w:i w:val="false"/>
            <w:color w:val="000000"/>
            <w:sz w:val="22"/>
          </w:rPr>
          <w:t>567—paragraph 43.5(4)</w:t>
        </w:r>
      </w:hyperlink>
      <w:r>
        <w:rPr>
          <w:rFonts w:ascii="Times New Roman" w:hAnsi="Times New Roman"/>
          <w:b w:val="false"/>
          <w:i/>
          <w:color w:val="000000"/>
          <w:sz w:val="22"/>
        </w:rPr>
        <w:t>“b”</w:t>
      </w:r>
      <w:r>
        <w:rPr>
          <w:rFonts w:ascii="Times New Roman" w:hAnsi="Times New Roman"/>
          <w:b w:val="false"/>
          <w:i w:val="false"/>
          <w:color w:val="000000"/>
          <w:sz w:val="22"/>
        </w:rPr>
        <w:t>(2)“1”;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system that uses SW or IGW must comply with the requirements in </w:t>
      </w:r>
      <w:hyperlink r:id="rId24">
        <w:r>
          <w:rPr>
            <w:rStyle w:val="Hyperlink"/>
            <w:rFonts w:ascii="Times New Roman" w:hAnsi="Times New Roman"/>
            <w:b w:val="false"/>
            <w:i w:val="false"/>
            <w:color w:val="000000"/>
            <w:sz w:val="22"/>
          </w:rPr>
          <w:t>567—subparagraph 43.5(4)</w:t>
        </w:r>
      </w:hyperlink>
      <w:r>
        <w:rPr>
          <w:rFonts w:ascii="Times New Roman" w:hAnsi="Times New Roman"/>
          <w:b w:val="false"/>
          <w:i/>
          <w:color w:val="000000"/>
          <w:sz w:val="22"/>
        </w:rPr>
        <w:t>“b”</w:t>
      </w:r>
      <w:r>
        <w:rPr>
          <w:rFonts w:ascii="Times New Roman" w:hAnsi="Times New Roman"/>
          <w:b w:val="false"/>
          <w:i w:val="false"/>
          <w:color w:val="000000"/>
          <w:sz w:val="22"/>
        </w:rPr>
        <w:t xml:space="preserve">(2)“2” for daily distribution system residual disinfectant monitoring. The system must measure and record the free and total chlorine residual disinfectant concentration at least at the same points in the distribution system and at the same time as routine and repeat total coliform bacteria samples are collected, as specified in </w:t>
      </w:r>
      <w:hyperlink r:id="rId25">
        <w:r>
          <w:rPr>
            <w:rStyle w:val="Hyperlink"/>
            <w:rFonts w:ascii="Times New Roman" w:hAnsi="Times New Roman"/>
            <w:b w:val="false"/>
            <w:i w:val="false"/>
            <w:color w:val="000000"/>
            <w:sz w:val="22"/>
          </w:rPr>
          <w:t>41.2(1)</w:t>
        </w:r>
      </w:hyperlink>
      <w:r>
        <w:rPr>
          <w:rFonts w:ascii="Times New Roman" w:hAnsi="Times New Roman"/>
          <w:b w:val="false"/>
          <w:i/>
          <w:color w:val="000000"/>
          <w:sz w:val="22"/>
        </w:rPr>
        <w:t>“e”</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The residual disinfectant measurements required in this subrule may be used to satisfy the requirement in </w:t>
      </w:r>
      <w:hyperlink r:id="rId26">
        <w:r>
          <w:rPr>
            <w:rStyle w:val="Hyperlink"/>
            <w:rFonts w:ascii="Times New Roman" w:hAnsi="Times New Roman"/>
            <w:b w:val="false"/>
            <w:i w:val="false"/>
            <w:color w:val="000000"/>
            <w:sz w:val="22"/>
          </w:rPr>
          <w:t>567—paragraph 43.5(4)</w:t>
        </w:r>
        <w:r>
          <w:rPr>
            <w:rFonts w:ascii="Times New Roman" w:hAnsi="Times New Roman"/>
            <w:b w:val="false"/>
            <w:i/>
            <w:color w:val="000000"/>
            <w:sz w:val="22"/>
          </w:rPr>
          <w:t>“b”</w:t>
        </w:r>
        <w:r>
          <w:rPr>
            <w:rFonts w:ascii="Times New Roman" w:hAnsi="Times New Roman"/>
            <w:b w:val="false"/>
            <w:i w:val="false"/>
            <w:color w:val="000000"/>
            <w:sz w:val="22"/>
          </w:rPr>
          <w:t>(2)“2”</w:t>
        </w:r>
      </w:hyperlink>
      <w:r>
        <w:rPr>
          <w:rFonts w:ascii="Times New Roman" w:hAnsi="Times New Roman"/>
          <w:b w:val="false"/>
          <w:i w:val="false"/>
          <w:color w:val="000000"/>
          <w:sz w:val="22"/>
        </w:rPr>
        <w:t xml:space="preserve"> on the day(s) when a routine or repeat total coliform bacteria sample(s) is collected, in lieu of separate samples. The system shall report the residual disinfectant concentration to the laboratory with the bacteria sample and comply with the applicable reporting requirements of </w:t>
      </w:r>
      <w:hyperlink r:id="rId27">
        <w:r>
          <w:rPr>
            <w:rStyle w:val="Hyperlink"/>
            <w:rFonts w:ascii="Times New Roman" w:hAnsi="Times New Roman"/>
            <w:b w:val="false"/>
            <w:i w:val="false"/>
            <w:color w:val="000000"/>
            <w:sz w:val="22"/>
          </w:rPr>
          <w:t>567—subrule 40.8</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Invalidation of total coliform samples. </w:t>
      </w:r>
      <w:r>
        <w:rPr>
          <w:rFonts w:ascii="Times New Roman" w:hAnsi="Times New Roman"/>
          <w:b w:val="false"/>
          <w:i w:val="false"/>
          <w:color w:val="000000"/>
          <w:sz w:val="22"/>
        </w:rPr>
        <w:t>A total coliform-positive sample invalidated under this paragraph does not count toward meeting the minimum monitoring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invalidate a total coliform-positive sample only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laboratory establishes that improper sample analysis caused the total coliform-positive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on the basis of the results of the required repeat samples, determines that the total coliform-positive sample resulted from a domestic or other non-distribution system plumbing problem. “Domestic or other non-distribution system plumbing problem” means a coliform contamination problem in a PWS with more than one service connection that is limited to the specific service connection from which the coliform-positive sample was taken. The department cannot invalidate a total coliform-positive sample on the basis of repeat samples unless all repeat samples collected at the same tap as the original total coliform-positive sample are also total coliform-positive and all repeat samples collected at a location other than the original tap are total coliform-negative. The department cannot invalidate a total coliform-positive sample on the basis of repeat samples if all the repeat samples are total coliform-negative or if the system has only one service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substantial grounds to believe that the total coliform-positive result is due to a circumstance or condition that does not reflect water quality in the distribution system. The system must still collect all repeat samples required under </w:t>
      </w:r>
      <w:hyperlink r:id="rId28">
        <w:r>
          <w:rPr>
            <w:rStyle w:val="Hyperlink"/>
            <w:rFonts w:ascii="Times New Roman" w:hAnsi="Times New Roman"/>
            <w:b w:val="false"/>
            <w:i w:val="false"/>
            <w:color w:val="000000"/>
            <w:sz w:val="22"/>
          </w:rPr>
          <w:t>41.2(1)</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use them to determine whether a coliform TT trigger in </w:t>
      </w:r>
      <w:hyperlink r:id="rId29">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 xml:space="preserve"> has been exceeded.</w:t>
      </w:r>
    </w:p>
    <w:p>
      <w:pPr>
        <w:spacing w:before="0" w:after="0"/>
        <w:ind w:left="120"/>
        <w:jc w:val="both"/>
      </w:pPr>
      <w:r>
        <w:rPr>
          <w:rFonts w:ascii="Times New Roman" w:hAnsi="Times New Roman"/>
          <w:b w:val="false"/>
          <w:i w:val="false"/>
          <w:color w:val="000000"/>
          <w:sz w:val="22"/>
        </w:rPr>
        <w:t xml:space="preserve"> The decision and supporting rationale for invalidating a total coliform-positive sample under this subparagraph must be in writing and signed by the supervisor of the water supply operations section or water supply engineering section and the department official who recommended the decision. The department must make this document available to EPA and the public. The documentation must state the specific cause of the total coliform-positive sample and what action the system has taken, or will take, to correct this problem. The department may not invalidate a total coliform-positive sample solely on the grounds that all repeat samples are total coliform-negative or because of poor sampling technique.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Laboratory invalidation. A laboratory must invalidate a total coliform sample (unless total coliforms are detected, in which case the sample is valid) if the sample produces a turbid culture in the absence of gas production using an analytical method where gas formation is examined, produces a turbid culture in the absence of an acid reaction in the P/A coliform test, or exhibits confluent growth or produces colonies too numerous to count with an analytical method using a membrane filter. If a laboratory invalidates a sample because of such interference, the system must collect another sample from the same location as that of the original within 24 hours of being notified of the interference and must have the sample analyzed for the presence of total coliforms. The system must continue to resample within 24 hours and have the samples analyzed until a valid result is obtained. The department may waive the 24-hour time limit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Routine monitoring for specific groundwater (GW) NCWS serving 1,000 or fewer people. </w:t>
      </w:r>
      <w:r>
        <w:rPr>
          <w:rFonts w:ascii="Times New Roman" w:hAnsi="Times New Roman"/>
          <w:b w:val="false"/>
          <w:i w:val="false"/>
          <w:color w:val="000000"/>
          <w:sz w:val="22"/>
        </w:rPr>
        <w:t xml:space="preserve">This paragraph applies to NCWS using only GW (not IGW) as a source and serving 1,000 or fewer people. GW NCWS that serve schools, preschools, and child care facilities and all PWSs owned or managed by state agencies must monitor at the same frequency as a like-sized CWS in accordance with </w:t>
      </w:r>
      <w:hyperlink r:id="rId30">
        <w:r>
          <w:rPr>
            <w:rStyle w:val="Hyperlink"/>
            <w:rFonts w:ascii="Times New Roman" w:hAnsi="Times New Roman"/>
            <w:b w:val="false"/>
            <w:i w:val="false"/>
            <w:color w:val="000000"/>
            <w:sz w:val="22"/>
          </w:rPr>
          <w:t>41.2(1)</w:t>
        </w:r>
      </w:hyperlink>
      <w:r>
        <w:rPr>
          <w:rFonts w:ascii="Times New Roman" w:hAnsi="Times New Roman"/>
          <w:b w:val="false"/>
          <w:i/>
          <w:color w:val="000000"/>
          <w:sz w:val="22"/>
        </w:rPr>
        <w:t>“f”</w:t>
      </w:r>
      <w:r>
        <w:rPr>
          <w:rFonts w:ascii="Times New Roman" w:hAnsi="Times New Roman"/>
          <w:b w:val="false"/>
          <w:i w:val="false"/>
          <w:color w:val="000000"/>
          <w:sz w:val="22"/>
        </w:rPr>
        <w:t xml:space="preserve">(1), </w:t>
      </w:r>
      <w:r>
        <w:rPr>
          <w:rFonts w:ascii="Times New Roman" w:hAnsi="Times New Roman"/>
          <w:b w:val="false"/>
          <w:i/>
          <w:color w:val="000000"/>
          <w:sz w:val="22"/>
        </w:rPr>
        <w:t>“f”</w:t>
      </w:r>
      <w:r>
        <w:rPr>
          <w:rFonts w:ascii="Times New Roman" w:hAnsi="Times New Roman"/>
          <w:b w:val="false"/>
          <w:i w:val="false"/>
          <w:color w:val="000000"/>
          <w:sz w:val="22"/>
        </w:rPr>
        <w:t xml:space="preserve">(2), or </w:t>
      </w:r>
      <w:r>
        <w:rPr>
          <w:rFonts w:ascii="Times New Roman" w:hAnsi="Times New Roman"/>
          <w:b w:val="false"/>
          <w:i/>
          <w:color w:val="000000"/>
          <w:sz w:val="22"/>
        </w:rPr>
        <w:t>“f”</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Following any total coliform-positive sample taken under this paragraph, systems must comply with the repeat monitoring and </w:t>
      </w:r>
      <w:r>
        <w:rPr>
          <w:rFonts w:ascii="Times New Roman" w:hAnsi="Times New Roman"/>
          <w:b w:val="false"/>
          <w:i/>
          <w:color w:val="000000"/>
          <w:sz w:val="22"/>
        </w:rPr>
        <w:t>E. coli</w:t>
      </w:r>
      <w:r>
        <w:rPr>
          <w:rFonts w:ascii="Times New Roman" w:hAnsi="Times New Roman"/>
          <w:b w:val="false"/>
          <w:i w:val="false"/>
          <w:color w:val="000000"/>
          <w:sz w:val="22"/>
        </w:rPr>
        <w:t xml:space="preserve"> analytical requirements in </w:t>
      </w:r>
      <w:hyperlink r:id="rId31">
        <w:r>
          <w:rPr>
            <w:rStyle w:val="Hyperlink"/>
            <w:rFonts w:ascii="Times New Roman" w:hAnsi="Times New Roman"/>
            <w:b w:val="false"/>
            <w:i w:val="false"/>
            <w:color w:val="000000"/>
            <w:sz w:val="22"/>
          </w:rPr>
          <w:t>41.2(1)</w:t>
        </w:r>
      </w:hyperlink>
      <w:r>
        <w:rPr>
          <w:rFonts w:ascii="Times New Roman" w:hAnsi="Times New Roman"/>
          <w:b w:val="false"/>
          <w:i/>
          <w:color w:val="000000"/>
          <w:sz w:val="22"/>
        </w:rPr>
        <w:t>“g.”</w:t>
      </w:r>
      <w:r>
        <w:rPr>
          <w:rFonts w:ascii="Times New Roman" w:hAnsi="Times New Roman"/>
          <w:b w:val="false"/>
          <w:i w:val="false"/>
          <w:color w:val="000000"/>
          <w:sz w:val="22"/>
        </w:rPr>
        <w:t xml:space="preserve"> Once all monitoring required by this paragraph and </w:t>
      </w:r>
      <w:hyperlink r:id="rId32">
        <w:r>
          <w:rPr>
            <w:rStyle w:val="Hyperlink"/>
            <w:rFonts w:ascii="Times New Roman" w:hAnsi="Times New Roman"/>
            <w:b w:val="false"/>
            <w:i w:val="false"/>
            <w:color w:val="000000"/>
            <w:sz w:val="22"/>
          </w:rPr>
          <w:t>41.2(1)</w:t>
        </w:r>
      </w:hyperlink>
      <w:r>
        <w:rPr>
          <w:rFonts w:ascii="Times New Roman" w:hAnsi="Times New Roman"/>
          <w:b w:val="false"/>
          <w:i/>
          <w:color w:val="000000"/>
          <w:sz w:val="22"/>
        </w:rPr>
        <w:t>“g”</w:t>
      </w:r>
      <w:r>
        <w:rPr>
          <w:rFonts w:ascii="Times New Roman" w:hAnsi="Times New Roman"/>
          <w:b w:val="false"/>
          <w:i w:val="false"/>
          <w:color w:val="000000"/>
          <w:sz w:val="22"/>
        </w:rPr>
        <w:t xml:space="preserve"> for a calendar month has been completed, systems must determine whether any coliform TT triggers in </w:t>
      </w:r>
      <w:hyperlink r:id="rId33">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 xml:space="preserve"> have been exceeded. If any trigger has been exceeded, systems must complete the assessments required by </w:t>
      </w:r>
      <w:hyperlink r:id="rId34">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frequency for total coliforms. Systems must monitor each calendar quarter that they provide water to the public,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system on quarterly monitoring that experiences any of the following events must begin monthly monitoring in the month following the event. A system must continue on monthly monitoring until it meets the requirements for returning to quarterly monitoring. The events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triggering of one Level 2 assessment under </w:t>
      </w:r>
      <w:hyperlink r:id="rId35">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 xml:space="preserve"> in a rolling 12-month period.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triggering of two Level 1 assessments under </w:t>
      </w:r>
      <w:hyperlink r:id="rId36">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 xml:space="preserve"> in a rolling 12-month period.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One coliform TT violation.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Two coliform monitoring violations in a rolling 12-month period.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One monitoring coliform violation and one Level 1 assessment under  </w:t>
      </w:r>
      <w:hyperlink r:id="rId37">
        <w:r>
          <w:rPr>
            <w:rStyle w:val="Hyperlink"/>
            <w:rFonts w:ascii="Times New Roman" w:hAnsi="Times New Roman"/>
            <w:b w:val="false"/>
            <w:i w:val="false"/>
            <w:color w:val="000000"/>
            <w:sz w:val="22"/>
          </w:rPr>
          <w:t>41.2(1)</w:t>
        </w:r>
        <w:r>
          <w:rPr>
            <w:rFonts w:ascii="Times New Roman" w:hAnsi="Times New Roman"/>
            <w:b w:val="false"/>
            <w:i/>
            <w:color w:val="000000"/>
            <w:sz w:val="22"/>
          </w:rPr>
          <w:t>“i”</w:t>
        </w:r>
      </w:hyperlink>
      <w:r>
        <w:rPr>
          <w:rFonts w:ascii="Times New Roman" w:hAnsi="Times New Roman"/>
          <w:b w:val="false"/>
          <w:i w:val="false"/>
          <w:color w:val="000000"/>
          <w:sz w:val="22"/>
        </w:rPr>
        <w:t xml:space="preserve"> in a rolling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on monthly monitoring for reasons other than those identified above in </w:t>
      </w:r>
      <w:hyperlink r:id="rId38">
        <w:r>
          <w:rPr>
            <w:rStyle w:val="Hyperlink"/>
            <w:rFonts w:ascii="Times New Roman" w:hAnsi="Times New Roman"/>
            <w:b w:val="false"/>
            <w:i w:val="false"/>
            <w:color w:val="000000"/>
            <w:sz w:val="22"/>
          </w:rPr>
          <w:t>41.2(1)</w:t>
        </w:r>
        <w:r>
          <w:rPr>
            <w:rFonts w:ascii="Times New Roman" w:hAnsi="Times New Roman"/>
            <w:b w:val="false"/>
            <w:i/>
            <w:color w:val="000000"/>
            <w:sz w:val="22"/>
          </w:rPr>
          <w:t>“e”</w:t>
        </w:r>
        <w:r>
          <w:rPr>
            <w:rFonts w:ascii="Times New Roman" w:hAnsi="Times New Roman"/>
            <w:b w:val="false"/>
            <w:i w:val="false"/>
            <w:color w:val="000000"/>
            <w:sz w:val="22"/>
          </w:rPr>
          <w:t>(2)“1”</w:t>
        </w:r>
      </w:hyperlink>
      <w:r>
        <w:rPr>
          <w:rFonts w:ascii="Times New Roman" w:hAnsi="Times New Roman"/>
          <w:b w:val="false"/>
          <w:i w:val="false"/>
          <w:color w:val="000000"/>
          <w:sz w:val="22"/>
        </w:rPr>
        <w:t xml:space="preserve"> is not considered to be on increased monitoring for the purposes of </w:t>
      </w:r>
      <w:hyperlink r:id="rId39">
        <w:r>
          <w:rPr>
            <w:rStyle w:val="Hyperlink"/>
            <w:rFonts w:ascii="Times New Roman" w:hAnsi="Times New Roman"/>
            <w:b w:val="false"/>
            <w:i w:val="false"/>
            <w:color w:val="000000"/>
            <w:sz w:val="22"/>
          </w:rPr>
          <w:t>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Seasonal systems must sample each month in which they are in operation. All seasonal systems must demonstrate completion of a department-approved start-up procedure before serving water to the public, which includes a requirement for a coliform-negative start-up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Sampling frequency evaluation during a sanitary survey. During each sanitary survey, the department must evaluate the status of a system, including the distribution system, to determine whether the system is on an appropriate monitoring schedule. The department may modify a system’s monitoring schedule, as necessary, or may allow a system to stay on its existing monitoring schedule, consistent with this paragraph.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Returning from monthly to quarterly sampling for nonseasonal NCWSs. The department may reduce the monitoring frequency for a nonseasonal NCWS on monthly monitoring triggered under </w:t>
      </w:r>
      <w:hyperlink r:id="rId40">
        <w:r>
          <w:rPr>
            <w:rStyle w:val="Hyperlink"/>
            <w:rFonts w:ascii="Times New Roman" w:hAnsi="Times New Roman"/>
            <w:b w:val="false"/>
            <w:i w:val="false"/>
            <w:color w:val="000000"/>
            <w:sz w:val="22"/>
          </w:rPr>
          <w:t>41.2(1)</w:t>
        </w:r>
      </w:hyperlink>
      <w:r>
        <w:rPr>
          <w:rFonts w:ascii="Times New Roman" w:hAnsi="Times New Roman"/>
          <w:b w:val="false"/>
          <w:i/>
          <w:color w:val="000000"/>
          <w:sz w:val="22"/>
        </w:rPr>
        <w:t>“e”</w:t>
      </w:r>
      <w:r>
        <w:rPr>
          <w:rFonts w:ascii="Times New Roman" w:hAnsi="Times New Roman"/>
          <w:b w:val="false"/>
          <w:i w:val="false"/>
          <w:color w:val="000000"/>
          <w:sz w:val="22"/>
        </w:rPr>
        <w:t xml:space="preserve">(2)“1” to quarterly monitoring if the system meets the following criteria. For the purposes of this subparagraph, “protected water source” means either the well meets separation distances from sources of microbial contamination pursuant to </w:t>
      </w:r>
      <w:hyperlink r:id="rId41">
        <w:r>
          <w:rPr>
            <w:rStyle w:val="Hyperlink"/>
            <w:rFonts w:ascii="Times New Roman" w:hAnsi="Times New Roman"/>
            <w:b w:val="false"/>
            <w:i w:val="false"/>
            <w:color w:val="000000"/>
            <w:sz w:val="22"/>
          </w:rPr>
          <w:t>567—subrule 43.3(7)</w:t>
        </w:r>
      </w:hyperlink>
      <w:r>
        <w:rPr>
          <w:rFonts w:ascii="Times New Roman" w:hAnsi="Times New Roman"/>
          <w:b w:val="false"/>
          <w:i w:val="false"/>
          <w:color w:val="000000"/>
          <w:sz w:val="22"/>
        </w:rPr>
        <w:t>, Table A; or the system has department-approved 4-log virus inactivation treatment in continuous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must have a completed sanitary survey or voluntary Level 2 assessment within the previous 12 months, be free of sanitary defects, and have a protected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must have a clean compliance history for at least the previous 12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must review the approved sampling plan, which must designate the monitoring time period(s) based on site-specific considerations (e.g., during periods of highest demand or highest vulnerability to contamination). The system must collect compliance samples during these time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routine monitoring for systems on quarterly sampling in the month following a total coliform-positive routine sample. Systems collecting samples on a quarterly frequency must conduct additional routine monitoring the month following one or more total coliform-positive samples (with or without a Level 1 TT trigger). Systems must collect at least three routine samples during the next month. Systems may either collect samples at regular time intervals throughout the month or may collect all required routine samples on a single day if samples are taken from different sites. Systems must use the results of additional routine samples in coliform TT trigger calculations under </w:t>
      </w:r>
      <w:hyperlink r:id="rId42">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Routine monitoring requirements for other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GW CWS serving 1,000 or fewer people. This subparagraph applies to CWS using only GW (not IGW) as a source and serving 1,000 or fewer people.  The routine total coliforms monitoring frequency for such systems is one sample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SW/IGW PWS serving 1,000 or fewer people. This subparagraph applies to all PWSs serving 1,000 or fewer people that use SW/IGW sources, including consecutive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routine total coliforms monitoring frequency for such systems is one sample per month. Systems may not reduce monitoring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Seasonal systems must sample each month in which they are in operation, and the monitoring frequency cannot be reduced. All seasonal systems must demonstrate completion of a department-approved start-up procedure before serving water to the public, which includes a requirement for a coliform-negative start-up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PWSs serving more than 1,000 people. This subparagraph applies to all PWSs serving more than 1,000 people, except regional water systems. The regional water system requirements are in </w:t>
      </w:r>
      <w:hyperlink r:id="rId43">
        <w:r>
          <w:rPr>
            <w:rStyle w:val="Hyperlink"/>
            <w:rFonts w:ascii="Times New Roman" w:hAnsi="Times New Roman"/>
            <w:b w:val="false"/>
            <w:i w:val="false"/>
            <w:color w:val="000000"/>
            <w:sz w:val="22"/>
          </w:rPr>
          <w:t>41.2(1)</w:t>
        </w:r>
        <w:r>
          <w:rPr>
            <w:rFonts w:ascii="Times New Roman" w:hAnsi="Times New Roman"/>
            <w:b w:val="false"/>
            <w:i/>
            <w:color w:val="000000"/>
            <w:sz w:val="22"/>
          </w:rPr>
          <w:t>“f”</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routine total coliforms monitoring frequency for PWSs serving more than 1,000 people  is based upon the population served by the system,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2880"/>
        <w:gridCol w:w="2880"/>
        <w:gridCol w:w="2880"/>
      </w:tblGrid>
      <w:tr>
        <w:trPr>
          <w:trHeight w:val="435" w:hRule="atLeast"/>
        </w:trPr>
        <w:tc>
          <w:tcPr>
            <w:tcW w:w="288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Population Served</w:t>
            </w:r>
          </w:p>
        </w:tc>
        <w:tc>
          <w:tcPr>
            <w:tcW w:w="2880"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Minimum Number of Routine Samples per Month</w:t>
            </w:r>
          </w:p>
        </w:tc>
        <w:tc>
          <w:tcPr>
            <w:tcW w:w="2880"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Population Served</w:t>
            </w:r>
          </w:p>
        </w:tc>
        <w:tc>
          <w:tcPr>
            <w:tcW w:w="2880"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Minimum Number of Routine Samples per Month</w:t>
            </w:r>
          </w:p>
        </w:tc>
      </w:tr>
      <w:tr>
        <w:trPr>
          <w:trHeight w:val="24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1,001 to 2,500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41,001 to 50,000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2,501 to 3,300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50,001 to 59,000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r>
      <w:tr>
        <w:trPr>
          <w:trHeight w:val="30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3,301 to 4,100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59,001 to 70,000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4,101 to 4,900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70,001 to 83,000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4,901 to 5,800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83,001 to 96,000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5,801 to 6,700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96,001 to 130,000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6,701 to 7,600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130,001 to 220,000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7,601 to 8,500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220,001 to 320,000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8,501 to 12,900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320,001 to 450,000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12,901 to 17,200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450,001 to 600,000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17,201 to 21,500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600,001 to 780,000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21,501 to 25,000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780,001 to 970,000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25,001 to 33,000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970,001 to 1,230,000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33,001 to 41,000</w:t>
            </w:r>
          </w:p>
        </w:tc>
        <w:tc>
          <w:tcPr>
            <w:tcW w:w="28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Seasonal systems must sample each month in which they are in operation, and the monitoring frequency cannot be reduced. All seasonal systems must demonstrate completion of a department-approved start-up procedure before serving water to the public, which includes a requirement for a coliform-negative start-up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CWSs may not reduce the number of required routine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on the basis of a sanitary survey or monitoring results history, determines that some greater monitoring frequency is more appropriate, that frequency shall be the frequency required under these rules. The increased frequency shall be confirmed or changed on the basis of subsequent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Regional PWSs. This subparagraph applies to all regional water systems. The supplier of water for a regional PWS shall sample for coliform bacteria at a frequency based upon the miles of pipe in its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routine total coliforms monitoring frequency for regional PWSs is based on the miles of pipe in a system’s distribution system, as indicated in the following table. The sampling frequency for a regional water system shall not be less than as set forth in this subparagraph, based upon the population equivalent served. The following table represents sampling frequency per miles of pipe in a distribution system and is determined by calculating one-half the square root of the miles of pipe.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04"/>
        <w:gridCol w:w="3456"/>
        <w:gridCol w:w="2304"/>
        <w:gridCol w:w="3456"/>
      </w:tblGrid>
      <w:tr>
        <w:trPr>
          <w:trHeight w:val="435" w:hRule="atLeast"/>
        </w:trPr>
        <w:tc>
          <w:tcPr>
            <w:tcW w:w="230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Miles of Pipe</w:t>
            </w:r>
          </w:p>
        </w:tc>
        <w:tc>
          <w:tcPr>
            <w:tcW w:w="3456"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Minimum Number of Routine Samples per Month</w:t>
            </w:r>
          </w:p>
        </w:tc>
        <w:tc>
          <w:tcPr>
            <w:tcW w:w="2304"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Miles of Pipe</w:t>
            </w:r>
          </w:p>
        </w:tc>
        <w:tc>
          <w:tcPr>
            <w:tcW w:w="3456"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Minimum Number of Routine Samples per Month</w:t>
            </w:r>
          </w:p>
        </w:tc>
      </w:tr>
      <w:tr>
        <w:trPr>
          <w:trHeight w:val="24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 – 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1,850 – 2,025</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 25</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2,026 – 2,209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 – 49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2,210 – 2,401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 – 81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2,402 – 2,601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82 – 121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2,602 – 2,809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122 – 169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2,810 – 3,025</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170 – 225</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3,026 – 3,249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226 – 289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3,250 – 3,481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290 – 361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3,482 – 3,721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362 – 441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3,722 – 3,969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442 – 529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3,970 – 4,225</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530 – 625</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4,226 – 4,489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626 – 729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4,490 – 4,671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730 – 841 </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4,672 – 5,041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842 – 961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5,042 – 5,329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962 – 1,089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5,330 – 5,625</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1,090 – 1,225</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5,626 – 5,929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r>
      <w:tr>
        <w:trPr>
          <w:trHeight w:val="37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1,226 – 1,364</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5,930 – 6,241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1,365 – 1,521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6,242 – 6,561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1,522 – 1,681</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6,562 and greater</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r>
      <w:tr>
        <w:trPr>
          <w:trHeight w:val="22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1,682 – 1,849</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Regional PWSs may not reduce the number of required routine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on the basis of a sanitary survey or monitoring results history, determines that some greater monitoring frequency for a regional PWS is more appropriate, that frequency shall be the frequency required under these rules. The increased frequency shall be confirmed or changed on the basis of subsequent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all systems subject to this paragraph. Following any total coliform-positive sample taken under this paragraph, systems must comply with the repeat monitoring requirements and </w:t>
      </w:r>
      <w:r>
        <w:rPr>
          <w:rFonts w:ascii="Times New Roman" w:hAnsi="Times New Roman"/>
          <w:b w:val="false"/>
          <w:i/>
          <w:color w:val="000000"/>
          <w:sz w:val="22"/>
        </w:rPr>
        <w:t>E. coli</w:t>
      </w:r>
      <w:r>
        <w:rPr>
          <w:rFonts w:ascii="Times New Roman" w:hAnsi="Times New Roman"/>
          <w:b w:val="false"/>
          <w:i w:val="false"/>
          <w:color w:val="000000"/>
          <w:sz w:val="22"/>
        </w:rPr>
        <w:t xml:space="preserve"> analytical requirements in </w:t>
      </w:r>
      <w:hyperlink r:id="rId44">
        <w:r>
          <w:rPr>
            <w:rStyle w:val="Hyperlink"/>
            <w:rFonts w:ascii="Times New Roman" w:hAnsi="Times New Roman"/>
            <w:b w:val="false"/>
            <w:i w:val="false"/>
            <w:color w:val="000000"/>
            <w:sz w:val="22"/>
          </w:rPr>
          <w:t>41.2(1)</w:t>
        </w:r>
      </w:hyperlink>
      <w:r>
        <w:rPr>
          <w:rFonts w:ascii="Times New Roman" w:hAnsi="Times New Roman"/>
          <w:b w:val="false"/>
          <w:i/>
          <w:color w:val="000000"/>
          <w:sz w:val="22"/>
        </w:rPr>
        <w:t>“g.”</w:t>
      </w:r>
      <w:r>
        <w:rPr>
          <w:rFonts w:ascii="Times New Roman" w:hAnsi="Times New Roman"/>
          <w:b w:val="false"/>
          <w:i w:val="false"/>
          <w:color w:val="000000"/>
          <w:sz w:val="22"/>
        </w:rPr>
        <w:t xml:space="preserve"> Once all monitoring required by this paragraph and </w:t>
      </w:r>
      <w:hyperlink r:id="rId45">
        <w:r>
          <w:rPr>
            <w:rStyle w:val="Hyperlink"/>
            <w:rFonts w:ascii="Times New Roman" w:hAnsi="Times New Roman"/>
            <w:b w:val="false"/>
            <w:i w:val="false"/>
            <w:color w:val="000000"/>
            <w:sz w:val="22"/>
          </w:rPr>
          <w:t>41.2(1)</w:t>
        </w:r>
        <w:r>
          <w:rPr>
            <w:rFonts w:ascii="Times New Roman" w:hAnsi="Times New Roman"/>
            <w:b w:val="false"/>
            <w:i/>
            <w:color w:val="000000"/>
            <w:sz w:val="22"/>
          </w:rPr>
          <w:t>“g”</w:t>
        </w:r>
      </w:hyperlink>
      <w:r>
        <w:rPr>
          <w:rFonts w:ascii="Times New Roman" w:hAnsi="Times New Roman"/>
          <w:b w:val="false"/>
          <w:i w:val="false"/>
          <w:color w:val="000000"/>
          <w:sz w:val="22"/>
        </w:rPr>
        <w:t xml:space="preserve"> for a calendar month has been completed, systems must determine whether any coliform TT triggers in </w:t>
      </w:r>
      <w:hyperlink r:id="rId46">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 xml:space="preserve"> have been exceeded. If any trigger has been exceeded, systems must complete assessments pursuant to </w:t>
      </w:r>
      <w:hyperlink r:id="rId47">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Repeat monitoring. </w:t>
      </w:r>
      <w:r>
        <w:rPr>
          <w:rFonts w:ascii="Times New Roman" w:hAnsi="Times New Roman"/>
          <w:b w:val="false"/>
          <w:i w:val="false"/>
          <w:color w:val="000000"/>
          <w:sz w:val="22"/>
        </w:rPr>
        <w:t xml:space="preserve">If a routine sample taken under </w:t>
      </w:r>
      <w:hyperlink r:id="rId48">
        <w:r>
          <w:rPr>
            <w:rStyle w:val="Hyperlink"/>
            <w:rFonts w:ascii="Times New Roman" w:hAnsi="Times New Roman"/>
            <w:b w:val="false"/>
            <w:i w:val="false"/>
            <w:color w:val="000000"/>
            <w:sz w:val="22"/>
          </w:rPr>
          <w:t>41.2(1)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is total coliform-positive, a system must collect a set of repeat samples. The department cannot waive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system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Collect no fewer than three repeat samples for each total coliform-positive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Collect repeat samples within 24 hours of receipt of the positive result. The department may extend the 24-hour limit on a case-by-case basis if the system has a logistical problem collecting the repeat samples within 24 hours that is beyond its control. In the case of an extension, the department must specify how much time a system has to collect the repeat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Collect all repeat samples on the same day, except that the department may allow a system with a single service connection to collect the required set of repeat samples over a three-day period. “System with a single service connection” means a system that supplies drinking water to consumers through a single service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 an additional set of repeat samples as specified above in </w:t>
      </w:r>
      <w:hyperlink r:id="rId49">
        <w:r>
          <w:rPr>
            <w:rStyle w:val="Hyperlink"/>
            <w:rFonts w:ascii="Times New Roman" w:hAnsi="Times New Roman"/>
            <w:b w:val="false"/>
            <w:i w:val="false"/>
            <w:color w:val="000000"/>
            <w:sz w:val="22"/>
          </w:rPr>
          <w:t>41.2(1)</w:t>
        </w:r>
      </w:hyperlink>
      <w:r>
        <w:rPr>
          <w:rFonts w:ascii="Times New Roman" w:hAnsi="Times New Roman"/>
          <w:b w:val="false"/>
          <w:i/>
          <w:color w:val="000000"/>
          <w:sz w:val="22"/>
        </w:rPr>
        <w:t>“g”</w:t>
      </w:r>
      <w:r>
        <w:rPr>
          <w:rFonts w:ascii="Times New Roman" w:hAnsi="Times New Roman"/>
          <w:b w:val="false"/>
          <w:i w:val="false"/>
          <w:color w:val="000000"/>
          <w:sz w:val="22"/>
        </w:rPr>
        <w:t xml:space="preserve">(1)“1” through </w:t>
      </w:r>
      <w:hyperlink r:id="rId50">
        <w:r>
          <w:rPr>
            <w:rStyle w:val="Hyperlink"/>
            <w:rFonts w:ascii="Times New Roman" w:hAnsi="Times New Roman"/>
            <w:b w:val="false"/>
            <w:i w:val="false"/>
            <w:color w:val="000000"/>
            <w:sz w:val="22"/>
          </w:rPr>
          <w:t>41.2(1)</w:t>
        </w:r>
      </w:hyperlink>
      <w:r>
        <w:rPr>
          <w:rFonts w:ascii="Times New Roman" w:hAnsi="Times New Roman"/>
          <w:b w:val="false"/>
          <w:i/>
          <w:color w:val="000000"/>
          <w:sz w:val="22"/>
        </w:rPr>
        <w:t>“g”</w:t>
      </w:r>
      <w:r>
        <w:rPr>
          <w:rFonts w:ascii="Times New Roman" w:hAnsi="Times New Roman"/>
          <w:b w:val="false"/>
          <w:i w:val="false"/>
          <w:color w:val="000000"/>
          <w:sz w:val="22"/>
        </w:rPr>
        <w:t xml:space="preserve">(1)“3” if one or more repeat samples in the current set of repeat samples is total coliform-positive. A system must collect the additional set of repeat samples within 24 hours of receipt of a positive result, unless the department extends the time limit in </w:t>
      </w:r>
      <w:hyperlink r:id="rId51">
        <w:r>
          <w:rPr>
            <w:rStyle w:val="Hyperlink"/>
            <w:rFonts w:ascii="Times New Roman" w:hAnsi="Times New Roman"/>
            <w:b w:val="false"/>
            <w:i w:val="false"/>
            <w:color w:val="000000"/>
            <w:sz w:val="22"/>
          </w:rPr>
          <w:t>41.2(1)</w:t>
        </w:r>
      </w:hyperlink>
      <w:r>
        <w:rPr>
          <w:rFonts w:ascii="Times New Roman" w:hAnsi="Times New Roman"/>
          <w:b w:val="false"/>
          <w:i/>
          <w:color w:val="000000"/>
          <w:sz w:val="22"/>
        </w:rPr>
        <w:t>“g”</w:t>
      </w:r>
      <w:r>
        <w:rPr>
          <w:rFonts w:ascii="Times New Roman" w:hAnsi="Times New Roman"/>
          <w:b w:val="false"/>
          <w:i w:val="false"/>
          <w:color w:val="000000"/>
          <w:sz w:val="22"/>
        </w:rPr>
        <w:t xml:space="preserve">(1)“2.” A system must continue to collect additional sets of repeat samples until either total coliforms are not detected in one complete set of repeat samples or it determines that a coliform TT trigger in </w:t>
      </w:r>
      <w:hyperlink r:id="rId52">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 xml:space="preserve"> has been exceeded as a result of a total coliform-positive repeat sample and notifies the department. If a TT trigger is exceeded as a result of a total coliform-positive routine sample, systems only need to conduct one round of repeat monitoring for each total coliform-positive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all routine and repeat samples taken under </w:t>
      </w:r>
      <w:hyperlink r:id="rId53">
        <w:r>
          <w:rPr>
            <w:rStyle w:val="Hyperlink"/>
            <w:rFonts w:ascii="Times New Roman" w:hAnsi="Times New Roman"/>
            <w:b w:val="false"/>
            <w:i w:val="false"/>
            <w:color w:val="000000"/>
            <w:sz w:val="22"/>
          </w:rPr>
          <w:t>41.2(1)</w:t>
        </w:r>
        <w:r>
          <w:rPr>
            <w:rFonts w:ascii="Times New Roman" w:hAnsi="Times New Roman"/>
            <w:b w:val="false"/>
            <w:i/>
            <w:color w:val="000000"/>
            <w:sz w:val="22"/>
          </w:rPr>
          <w:t>“e”</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that are not invalidated by the department must be used to determine whether a coliform TT trigger in </w:t>
      </w:r>
      <w:hyperlink r:id="rId54">
        <w:r>
          <w:rPr>
            <w:rStyle w:val="Hyperlink"/>
            <w:rFonts w:ascii="Times New Roman" w:hAnsi="Times New Roman"/>
            <w:b w:val="false"/>
            <w:i w:val="false"/>
            <w:color w:val="000000"/>
            <w:sz w:val="22"/>
          </w:rPr>
          <w:t>41.2(1)</w:t>
        </w:r>
        <w:r>
          <w:rPr>
            <w:rFonts w:ascii="Times New Roman" w:hAnsi="Times New Roman"/>
            <w:b w:val="false"/>
            <w:i/>
            <w:color w:val="000000"/>
            <w:sz w:val="22"/>
          </w:rPr>
          <w:t>“i”</w:t>
        </w:r>
      </w:hyperlink>
      <w:r>
        <w:rPr>
          <w:rFonts w:ascii="Times New Roman" w:hAnsi="Times New Roman"/>
          <w:b w:val="false"/>
          <w:i w:val="false"/>
          <w:color w:val="000000"/>
          <w:sz w:val="22"/>
        </w:rPr>
        <w:t xml:space="preserve"> has been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 coli testing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routine or repeat sample is total coliform-positive, a system must analyze that total coliform-positive culture medium to determine the presence of </w:t>
      </w:r>
      <w:r>
        <w:rPr>
          <w:rFonts w:ascii="Times New Roman" w:hAnsi="Times New Roman"/>
          <w:b w:val="false"/>
          <w:i/>
          <w:color w:val="000000"/>
          <w:sz w:val="22"/>
        </w:rPr>
        <w:t>E. coli</w:t>
      </w:r>
      <w:r>
        <w:rPr>
          <w:rFonts w:ascii="Times New Roman" w:hAnsi="Times New Roman"/>
          <w:b w:val="false"/>
          <w:i w:val="false"/>
          <w:color w:val="000000"/>
          <w:sz w:val="22"/>
        </w:rPr>
        <w:t xml:space="preserve">. If </w:t>
      </w:r>
      <w:r>
        <w:rPr>
          <w:rFonts w:ascii="Times New Roman" w:hAnsi="Times New Roman"/>
          <w:b w:val="false"/>
          <w:i/>
          <w:color w:val="000000"/>
          <w:sz w:val="22"/>
        </w:rPr>
        <w:t>E. coli</w:t>
      </w:r>
      <w:r>
        <w:rPr>
          <w:rFonts w:ascii="Times New Roman" w:hAnsi="Times New Roman"/>
          <w:b w:val="false"/>
          <w:i w:val="false"/>
          <w:color w:val="000000"/>
          <w:sz w:val="22"/>
        </w:rPr>
        <w:t xml:space="preserve"> are present, the system must notify the department by the end of the same day the system receives notification of the test result. If the notification is outside of the department’s routine office hours, the system shall call the department’s Environmental Emergency Reporting Hotline at 515.725.8694.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the discretion to allow a system, on a case-by-case basis, to forgo E. coli testing on a total coliform-positive sample if that system assumes that the total coliform-positive sample is </w:t>
      </w:r>
      <w:r>
        <w:rPr>
          <w:rFonts w:ascii="Times New Roman" w:hAnsi="Times New Roman"/>
          <w:b w:val="false"/>
          <w:i/>
          <w:color w:val="000000"/>
          <w:sz w:val="22"/>
        </w:rPr>
        <w:t>E. coli</w:t>
      </w:r>
      <w:r>
        <w:rPr>
          <w:rFonts w:ascii="Times New Roman" w:hAnsi="Times New Roman"/>
          <w:b w:val="false"/>
          <w:i w:val="false"/>
          <w:color w:val="000000"/>
          <w:sz w:val="22"/>
        </w:rPr>
        <w:t xml:space="preserve">-positive. Accordingly, the system must notify the department as specified above in </w:t>
      </w:r>
      <w:hyperlink r:id="rId55">
        <w:r>
          <w:rPr>
            <w:rStyle w:val="Hyperlink"/>
            <w:rFonts w:ascii="Times New Roman" w:hAnsi="Times New Roman"/>
            <w:b w:val="false"/>
            <w:i w:val="false"/>
            <w:color w:val="000000"/>
            <w:sz w:val="22"/>
          </w:rPr>
          <w:t>41.2(1)</w:t>
        </w:r>
        <w:r>
          <w:rPr>
            <w:rFonts w:ascii="Times New Roman" w:hAnsi="Times New Roman"/>
            <w:b w:val="false"/>
            <w:i/>
            <w:color w:val="000000"/>
            <w:sz w:val="22"/>
          </w:rPr>
          <w:t>“h”</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the provisions of </w:t>
      </w:r>
      <w:hyperlink r:id="rId56">
        <w:r>
          <w:rPr>
            <w:rStyle w:val="Hyperlink"/>
            <w:rFonts w:ascii="Times New Roman" w:hAnsi="Times New Roman"/>
            <w:b w:val="false"/>
            <w:i w:val="false"/>
            <w:color w:val="000000"/>
            <w:sz w:val="22"/>
          </w:rPr>
          <w:t>41.2(1)</w:t>
        </w:r>
      </w:hyperlink>
      <w:r>
        <w:rPr>
          <w:rFonts w:ascii="Times New Roman" w:hAnsi="Times New Roman"/>
          <w:b w:val="false"/>
          <w:i/>
          <w:color w:val="000000"/>
          <w:sz w:val="22"/>
        </w:rPr>
        <w:t>“a”</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Coliform TT triggers. </w:t>
      </w:r>
      <w:r>
        <w:rPr>
          <w:rFonts w:ascii="Times New Roman" w:hAnsi="Times New Roman"/>
          <w:b w:val="false"/>
          <w:i w:val="false"/>
          <w:color w:val="000000"/>
          <w:sz w:val="22"/>
        </w:rPr>
        <w:t xml:space="preserve">Systems must conduct assessments in accordance with </w:t>
      </w:r>
      <w:hyperlink r:id="rId57">
        <w:r>
          <w:rPr>
            <w:rStyle w:val="Hyperlink"/>
            <w:rFonts w:ascii="Times New Roman" w:hAnsi="Times New Roman"/>
            <w:b w:val="false"/>
            <w:i w:val="false"/>
            <w:color w:val="000000"/>
            <w:sz w:val="22"/>
          </w:rPr>
          <w:t>41.2(1)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after exceeding any TT trigger.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Level 1 TT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systems taking 40 or more samples per month, the system exceeds 5.0 percent total coliform-positive samples for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systems taking fewer than 40 samples per month, the system has two or more total coliform-positive samples in the same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system fails to take every required repeat sample after any single total coliform-positive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Level 2 TT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 as specified in </w:t>
      </w:r>
      <w:hyperlink r:id="rId58">
        <w:r>
          <w:rPr>
            <w:rStyle w:val="Hyperlink"/>
            <w:rFonts w:ascii="Times New Roman" w:hAnsi="Times New Roman"/>
            <w:b w:val="false"/>
            <w:i w:val="false"/>
            <w:color w:val="000000"/>
            <w:sz w:val="22"/>
          </w:rPr>
          <w:t>41.2(1)</w:t>
        </w:r>
      </w:hyperlink>
      <w:r>
        <w:rPr>
          <w:rFonts w:ascii="Times New Roman" w:hAnsi="Times New Roman"/>
          <w:b w:val="false"/>
          <w:i/>
          <w:color w:val="000000"/>
          <w:sz w:val="22"/>
        </w:rPr>
        <w:t>“m”</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second Level 1 trigger as defined above in </w:t>
      </w:r>
      <w:hyperlink r:id="rId59">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(1) within a rolling 12-month period, unless the department has determined a likely reason that the samples that caused the first Level 1 TT trigger were total coliform-positive and has established that the system has corrected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Assessment requirements. </w:t>
      </w:r>
      <w:r>
        <w:rPr>
          <w:rFonts w:ascii="Times New Roman" w:hAnsi="Times New Roman"/>
          <w:b w:val="false"/>
          <w:i w:val="false"/>
          <w:color w:val="000000"/>
          <w:sz w:val="22"/>
        </w:rPr>
        <w:t>Systems must ensure that Level 1 and 2 assessments are conducted to identify the possible presence of sanitary defects and defects in distribution system coliform monitoring practices. Level 1 assessments may be conducted by a system owner or operator. Level 2 assessments must be conducted by the department with the assistance of the system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Systems must conduct assessments consistent with any department directives and ensure that the assessor evaluates minimum elements,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and identification of inadequacies in sample sites;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Sampling protocol and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Atypical events that could affect or indicate an impairment in distributed water quality;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Changes in distribution system operation or maintenance that could affect distributed water quality (including water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 and treatment considerations that bear on distributed water quality, where appropriate (e.g., small GW systems);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water quality monitoring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Level 1 assessment. A system must conduct a Level 1 assessment if it exceeds one of the TT triggers in </w:t>
      </w:r>
      <w:hyperlink r:id="rId60">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must complete a Level 1 assessment as soon as practical after any trigger in </w:t>
      </w:r>
      <w:hyperlink r:id="rId61">
        <w:r>
          <w:rPr>
            <w:rStyle w:val="Hyperlink"/>
            <w:rFonts w:ascii="Times New Roman" w:hAnsi="Times New Roman"/>
            <w:b w:val="false"/>
            <w:i w:val="false"/>
            <w:color w:val="000000"/>
            <w:sz w:val="22"/>
          </w:rPr>
          <w:t>41.2(1)</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 The assessment form must describe the sanitary defects detected and corrective actions completed and include a proposed timetable for any other corrective action completion. It may also be noted on the assessment form that no sanitary defects were identified. A system must submit the completed Level 1 assessment form to the department within 30 days of learning that it has exceeded a trigger.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reviews the completed Level 1 assessment and determines that it is not sufficient (including any proposed timetable for corrective action completion), the department must consult with the system. If the department requires revisions after consultation, the system must submit a revised assessment form to the department on an agreed-upon schedule, not to exceed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submission of an assessment form, the department must determine if the system has identified the likely cause for the Level 1 trigger and, if so, establish that the system has corrected the problem or has included an acceptable schedule  to correct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Level 2 assessment. A system must ensure that a Level 2 assessment is conducted if it exceeds one of the TT triggers in </w:t>
      </w:r>
      <w:hyperlink r:id="rId62">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(2). A system must comply with any department-required expedited or additional actions in the case of an E. coli MCL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must ensure that a Level 2 assessment is completed by the department as soon as practical after any trigger in </w:t>
      </w:r>
      <w:hyperlink r:id="rId63">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(2). The assessment form must describe the sanitary defects detected and corrective actions completed and include a proposed timetable for any other corrective action completion. It may also be noted on the assessment form that no sanitary defects were identified. A system must submit a completed Level 2 assessment form to the department within 30 days of learning that the system has exceeded a trigger.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reviews the completed Level 2 assessment and determines that it is not sufficient (including any proposed timetable for corrective action completion), the department must consult with the system. If the department requires revisions after consultation, the system must submit a revised assessment form to the department on an agreed-upon schedule, not to exceed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submission of an assessment form, the department must determine if a system has identified the likely cause for the Level 2 trigger and determine whether the system has corrected the problem or has included an acceptable schedule to correct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Corrective actions. A system must correct sanitary defects found through either a Level 1 or 2 assessment. Corrective action(s) that are not completed by a system prior to the submission of the assessment form must be completed  in compliance with a timetable approved by the department in consultation with the system. Systems must notify the department when each scheduled corrective action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Consultation. At any time during the assessment or corrective actions phase, either the  system or the department may request a consultation with the other party to determine appropriate actions. A system may consult with the department on all relevant information that may impact its ability to comply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 coli.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must notify the department by the end of the same day when it learns of an </w:t>
      </w:r>
      <w:r>
        <w:rPr>
          <w:rFonts w:ascii="Times New Roman" w:hAnsi="Times New Roman"/>
          <w:b w:val="false"/>
          <w:i/>
          <w:color w:val="000000"/>
          <w:sz w:val="22"/>
        </w:rPr>
        <w:t>E. coli</w:t>
      </w:r>
      <w:r>
        <w:rPr>
          <w:rFonts w:ascii="Times New Roman" w:hAnsi="Times New Roman"/>
          <w:b w:val="false"/>
          <w:i w:val="false"/>
          <w:color w:val="000000"/>
          <w:sz w:val="22"/>
        </w:rPr>
        <w:t>-positive violation or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notification is outside of the department’s routine office hours, the system shall call the department’s Environmental Emergency Reporting Hotline at 515.725.8694.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that has violated the coliform TT in </w:t>
      </w:r>
      <w:hyperlink r:id="rId64">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 xml:space="preserve"> must report the violation to the department no later than the end of the next business day after learning of the violation and must provide PN in accordance with rule </w:t>
      </w:r>
      <w:hyperlink r:id="rId65">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required to conduct an assessment under the provisions of </w:t>
      </w:r>
      <w:hyperlink r:id="rId66">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 xml:space="preserve"> must submit an assessment form within 30 days. Systems must notify the department in accordance with </w:t>
      </w:r>
      <w:hyperlink r:id="rId67">
        <w:r>
          <w:rPr>
            <w:rStyle w:val="Hyperlink"/>
            <w:rFonts w:ascii="Times New Roman" w:hAnsi="Times New Roman"/>
            <w:b w:val="false"/>
            <w:i w:val="false"/>
            <w:color w:val="000000"/>
            <w:sz w:val="22"/>
          </w:rPr>
          <w:t>41.2(1)</w:t>
        </w:r>
        <w:r>
          <w:rPr>
            <w:rFonts w:ascii="Times New Roman" w:hAnsi="Times New Roman"/>
            <w:b w:val="false"/>
            <w:i/>
            <w:color w:val="000000"/>
            <w:sz w:val="22"/>
          </w:rPr>
          <w:t>“j”</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when each scheduled corrective action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system that has failed to comply with a coliform monitoring requirement must report the monitoring violation to the department within ten days of discovering the violation and must provide PN in accordance with rule </w:t>
      </w:r>
      <w:hyperlink r:id="rId68">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seasonal system must certify, prior to serving water to the public, that it has complied with the department-approved start-up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r>
        <w:rPr>
          <w:rFonts w:ascii="Times New Roman" w:hAnsi="Times New Roman"/>
          <w:b w:val="false"/>
          <w:i w:val="false"/>
          <w:color w:val="000000"/>
          <w:sz w:val="22"/>
        </w:rPr>
        <w:t xml:space="preserve">Additional recordkeeping requirements are listed in </w:t>
      </w:r>
      <w:hyperlink r:id="rId69">
        <w:r>
          <w:rPr>
            <w:rStyle w:val="Hyperlink"/>
            <w:rFonts w:ascii="Times New Roman" w:hAnsi="Times New Roman"/>
            <w:b w:val="false"/>
            <w:i w:val="false"/>
            <w:color w:val="000000"/>
            <w:sz w:val="22"/>
          </w:rPr>
          <w:t>567—subrule 40.9(10)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A system is in violation and must conduct PN in accordance with rule </w:t>
      </w:r>
      <w:hyperlink r:id="rId70">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 in any of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 A system is in violation of the MCL for </w:t>
      </w:r>
      <w:r>
        <w:rPr>
          <w:rFonts w:ascii="Times New Roman" w:hAnsi="Times New Roman"/>
          <w:b w:val="false"/>
          <w:i/>
          <w:color w:val="000000"/>
          <w:sz w:val="22"/>
        </w:rPr>
        <w:t>E. coli</w:t>
      </w:r>
      <w:r>
        <w:rPr>
          <w:rFonts w:ascii="Times New Roman" w:hAnsi="Times New Roman"/>
          <w:b w:val="false"/>
          <w:i w:val="false"/>
          <w:color w:val="000000"/>
          <w:sz w:val="22"/>
        </w:rPr>
        <w:t xml:space="preserve"> when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w:t>
      </w:r>
      <w:r>
        <w:rPr>
          <w:rFonts w:ascii="Times New Roman" w:hAnsi="Times New Roman"/>
          <w:b w:val="false"/>
          <w:i/>
          <w:color w:val="000000"/>
          <w:sz w:val="22"/>
        </w:rPr>
        <w:t>E. coli</w:t>
      </w:r>
      <w:r>
        <w:rPr>
          <w:rFonts w:ascii="Times New Roman" w:hAnsi="Times New Roman"/>
          <w:b w:val="false"/>
          <w:i w:val="false"/>
          <w:color w:val="000000"/>
          <w:sz w:val="22"/>
        </w:rPr>
        <w:t>-positive repeat sample following a total coliform-positive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total coliform-positive repeat sample following an </w:t>
      </w:r>
      <w:r>
        <w:rPr>
          <w:rFonts w:ascii="Times New Roman" w:hAnsi="Times New Roman"/>
          <w:b w:val="false"/>
          <w:i/>
          <w:color w:val="000000"/>
          <w:sz w:val="22"/>
        </w:rPr>
        <w:t>E. coli</w:t>
      </w:r>
      <w:r>
        <w:rPr>
          <w:rFonts w:ascii="Times New Roman" w:hAnsi="Times New Roman"/>
          <w:b w:val="false"/>
          <w:i w:val="false"/>
          <w:color w:val="000000"/>
          <w:sz w:val="22"/>
        </w:rPr>
        <w:t>-positive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take all required repeat samples following an </w:t>
      </w:r>
      <w:r>
        <w:rPr>
          <w:rFonts w:ascii="Times New Roman" w:hAnsi="Times New Roman"/>
          <w:b w:val="false"/>
          <w:i/>
          <w:color w:val="000000"/>
          <w:sz w:val="22"/>
        </w:rPr>
        <w:t>E. coli</w:t>
      </w:r>
      <w:r>
        <w:rPr>
          <w:rFonts w:ascii="Times New Roman" w:hAnsi="Times New Roman"/>
          <w:b w:val="false"/>
          <w:i w:val="false"/>
          <w:color w:val="000000"/>
          <w:sz w:val="22"/>
        </w:rPr>
        <w:t>-positive routine sample;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test for </w:t>
      </w:r>
      <w:r>
        <w:rPr>
          <w:rFonts w:ascii="Times New Roman" w:hAnsi="Times New Roman"/>
          <w:b w:val="false"/>
          <w:i/>
          <w:color w:val="000000"/>
          <w:sz w:val="22"/>
        </w:rPr>
        <w:t>E. coli</w:t>
      </w:r>
      <w:r>
        <w:rPr>
          <w:rFonts w:ascii="Times New Roman" w:hAnsi="Times New Roman"/>
          <w:b w:val="false"/>
          <w:i w:val="false"/>
          <w:color w:val="000000"/>
          <w:sz w:val="22"/>
        </w:rPr>
        <w:t xml:space="preserve"> when any repeat sample tests positive for total coliform.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TT violation. A system is in violation of a TT trigger when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Exceedance of a TT trigger specified in </w:t>
      </w:r>
      <w:hyperlink r:id="rId71">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failure to conduct the required assessment within the time frame specified in </w:t>
      </w:r>
      <w:hyperlink r:id="rId72">
        <w:r>
          <w:rPr>
            <w:rStyle w:val="Hyperlink"/>
            <w:rFonts w:ascii="Times New Roman" w:hAnsi="Times New Roman"/>
            <w:b w:val="false"/>
            <w:i w:val="false"/>
            <w:color w:val="000000"/>
            <w:sz w:val="22"/>
          </w:rPr>
          <w:t>41.2(1)</w:t>
        </w:r>
      </w:hyperlink>
      <w:r>
        <w:rPr>
          <w:rFonts w:ascii="Times New Roman" w:hAnsi="Times New Roman"/>
          <w:b w:val="false"/>
          <w:i/>
          <w:color w:val="000000"/>
          <w:sz w:val="22"/>
        </w:rPr>
        <w:t>“j”</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Exceedance of a TT trigger specified in </w:t>
      </w:r>
      <w:hyperlink r:id="rId73">
        <w:r>
          <w:rPr>
            <w:rStyle w:val="Hyperlink"/>
            <w:rFonts w:ascii="Times New Roman" w:hAnsi="Times New Roman"/>
            <w:b w:val="false"/>
            <w:i w:val="false"/>
            <w:color w:val="000000"/>
            <w:sz w:val="22"/>
          </w:rPr>
          <w:t>41.2(1)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failure  to conduct the required corrective actions within the time frame specified in </w:t>
      </w:r>
      <w:hyperlink r:id="rId74">
        <w:r>
          <w:rPr>
            <w:rStyle w:val="Hyperlink"/>
            <w:rFonts w:ascii="Times New Roman" w:hAnsi="Times New Roman"/>
            <w:b w:val="false"/>
            <w:i w:val="false"/>
            <w:color w:val="000000"/>
            <w:sz w:val="22"/>
          </w:rPr>
          <w:t>41.2(1)</w:t>
        </w:r>
      </w:hyperlink>
      <w:r>
        <w:rPr>
          <w:rFonts w:ascii="Times New Roman" w:hAnsi="Times New Roman"/>
          <w:b w:val="false"/>
          <w:i/>
          <w:color w:val="000000"/>
          <w:sz w:val="22"/>
        </w:rPr>
        <w:t>“j”</w:t>
      </w:r>
      <w:r>
        <w:rPr>
          <w:rFonts w:ascii="Times New Roman" w:hAnsi="Times New Roman"/>
          <w:b w:val="false"/>
          <w:i w:val="false"/>
          <w:color w:val="000000"/>
          <w:sz w:val="22"/>
        </w:rPr>
        <w:t>(4);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seasonal system failing to complete a department-approved start-up procedure prior to serving water to the public, including collection of a finished water sample that tests total coliform-negative.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violation. A system is in violation of monitoring requirements if it fails to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Take every required routine or additional routine sample in a compliance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analyze for </w:t>
      </w:r>
      <w:r>
        <w:rPr>
          <w:rFonts w:ascii="Times New Roman" w:hAnsi="Times New Roman"/>
          <w:b w:val="false"/>
          <w:i/>
          <w:color w:val="000000"/>
          <w:sz w:val="22"/>
        </w:rPr>
        <w:t>E. coli</w:t>
      </w:r>
      <w:r>
        <w:rPr>
          <w:rFonts w:ascii="Times New Roman" w:hAnsi="Times New Roman"/>
          <w:b w:val="false"/>
          <w:i w:val="false"/>
          <w:color w:val="000000"/>
          <w:sz w:val="22"/>
        </w:rPr>
        <w:t xml:space="preserve"> following a total coliform-positive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Reporting violation. A system is in violation of the reporting requirements if it fails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monitoring report in a timely manner after a system properly conducts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a completed assessment form in a timely manner after a system properly conducts an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the department in a timely manner following an </w:t>
      </w:r>
      <w:r>
        <w:rPr>
          <w:rFonts w:ascii="Times New Roman" w:hAnsi="Times New Roman"/>
          <w:b w:val="false"/>
          <w:i/>
          <w:color w:val="000000"/>
          <w:sz w:val="22"/>
        </w:rPr>
        <w:t>E. coli</w:t>
      </w:r>
      <w:r>
        <w:rPr>
          <w:rFonts w:ascii="Times New Roman" w:hAnsi="Times New Roman"/>
          <w:b w:val="false"/>
          <w:i w:val="false"/>
          <w:color w:val="000000"/>
          <w:sz w:val="22"/>
        </w:rPr>
        <w:t xml:space="preserve">-positive sample, as required by </w:t>
      </w:r>
      <w:hyperlink r:id="rId75">
        <w:r>
          <w:rPr>
            <w:rStyle w:val="Hyperlink"/>
            <w:rFonts w:ascii="Times New Roman" w:hAnsi="Times New Roman"/>
            <w:b w:val="false"/>
            <w:i w:val="false"/>
            <w:color w:val="000000"/>
            <w:sz w:val="22"/>
          </w:rPr>
          <w:t>41.2(1)</w:t>
        </w:r>
      </w:hyperlink>
      <w:r>
        <w:rPr>
          <w:rFonts w:ascii="Times New Roman" w:hAnsi="Times New Roman"/>
          <w:b w:val="false"/>
          <w:i/>
          <w:color w:val="000000"/>
          <w:sz w:val="22"/>
        </w:rPr>
        <w:t>“h”</w:t>
      </w:r>
      <w:r>
        <w:rPr>
          <w:rFonts w:ascii="Times New Roman" w:hAnsi="Times New Roman"/>
          <w:b w:val="false"/>
          <w:i w:val="false"/>
          <w:color w:val="000000"/>
          <w:sz w:val="22"/>
        </w:rPr>
        <w:t>(1);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Submit the certification of completion of department-approved start-up procedure by a seasonal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Best available technology (BAT). </w:t>
      </w:r>
      <w:r>
        <w:rPr>
          <w:rFonts w:ascii="Times New Roman" w:hAnsi="Times New Roman"/>
          <w:b w:val="false"/>
          <w:i w:val="false"/>
          <w:color w:val="000000"/>
          <w:sz w:val="22"/>
        </w:rPr>
        <w:t xml:space="preserve">The EPA identifies, and the department has adopted, the following as the best technology, TTs, or other means available for all systems in achieving compliance with the </w:t>
      </w:r>
      <w:r>
        <w:rPr>
          <w:rFonts w:ascii="Times New Roman" w:hAnsi="Times New Roman"/>
          <w:b w:val="false"/>
          <w:i/>
          <w:color w:val="000000"/>
          <w:sz w:val="22"/>
        </w:rPr>
        <w:t>E. coli</w:t>
      </w:r>
      <w:r>
        <w:rPr>
          <w:rFonts w:ascii="Times New Roman" w:hAnsi="Times New Roman"/>
          <w:b w:val="false"/>
          <w:i w:val="false"/>
          <w:color w:val="000000"/>
          <w:sz w:val="22"/>
        </w:rPr>
        <w:t xml:space="preserve"> MCL in </w:t>
      </w:r>
      <w:hyperlink r:id="rId76">
        <w:r>
          <w:rPr>
            <w:rStyle w:val="Hyperlink"/>
            <w:rFonts w:ascii="Times New Roman" w:hAnsi="Times New Roman"/>
            <w:b w:val="false"/>
            <w:i w:val="false"/>
            <w:color w:val="000000"/>
            <w:sz w:val="22"/>
          </w:rPr>
          <w:t>41.2(1)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following is also identified as affordable technology, TTs, or other means available to systems serving 10,000 or fewer people for achieving compliance with the </w:t>
      </w:r>
      <w:r>
        <w:rPr>
          <w:rFonts w:ascii="Times New Roman" w:hAnsi="Times New Roman"/>
          <w:b w:val="false"/>
          <w:i/>
          <w:color w:val="000000"/>
          <w:sz w:val="22"/>
        </w:rPr>
        <w:t>E. coli</w:t>
      </w:r>
      <w:r>
        <w:rPr>
          <w:rFonts w:ascii="Times New Roman" w:hAnsi="Times New Roman"/>
          <w:b w:val="false"/>
          <w:i w:val="false"/>
          <w:color w:val="000000"/>
          <w:sz w:val="22"/>
        </w:rPr>
        <w:t xml:space="preserv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Protection of wells from fecal contamination by appropriate placement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Maintenance of a disinfectant residual throughout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 distribution system maintenance, including appropriate pipe replacement and repair procedures, main flushing programs, proper operation and maintenance of storage tanks and reservoirs, cross-connection control, and continual maintenance of a minimum positive water pressure of 20 psi in all parts of the distribution system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Filtration or disinfection of surface water (SW) or influenced groundwater (IGW) in accordance with rules </w:t>
      </w:r>
      <w:hyperlink r:id="rId77">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 xml:space="preserve">(455B), </w:t>
      </w:r>
      <w:hyperlink r:id="rId78">
        <w:r>
          <w:rPr>
            <w:rStyle w:val="Hyperlink"/>
            <w:rFonts w:ascii="Times New Roman" w:hAnsi="Times New Roman"/>
            <w:b w:val="false"/>
            <w:i w:val="false"/>
            <w:color w:val="000000"/>
            <w:sz w:val="22"/>
          </w:rPr>
          <w:t>567—43.9</w:t>
        </w:r>
      </w:hyperlink>
      <w:r>
        <w:rPr>
          <w:rFonts w:ascii="Times New Roman" w:hAnsi="Times New Roman"/>
          <w:b w:val="false"/>
          <w:i w:val="false"/>
          <w:color w:val="000000"/>
          <w:sz w:val="22"/>
        </w:rPr>
        <w:t xml:space="preserve">(455B), and </w:t>
      </w:r>
      <w:hyperlink r:id="rId79">
        <w:r>
          <w:rPr>
            <w:rStyle w:val="Hyperlink"/>
            <w:rFonts w:ascii="Times New Roman" w:hAnsi="Times New Roman"/>
            <w:b w:val="false"/>
            <w:i w:val="false"/>
            <w:color w:val="000000"/>
            <w:sz w:val="22"/>
          </w:rPr>
          <w:t>567—43.10</w:t>
        </w:r>
      </w:hyperlink>
      <w:r>
        <w:rPr>
          <w:rFonts w:ascii="Times New Roman" w:hAnsi="Times New Roman"/>
          <w:b w:val="false"/>
          <w:i w:val="false"/>
          <w:color w:val="000000"/>
          <w:sz w:val="22"/>
        </w:rPr>
        <w:t xml:space="preserve">(455B) or disinfection of GW in accordance with rule </w:t>
      </w:r>
      <w:hyperlink r:id="rId80">
        <w:r>
          <w:rPr>
            <w:rStyle w:val="Hyperlink"/>
            <w:rFonts w:ascii="Times New Roman" w:hAnsi="Times New Roman"/>
            <w:b w:val="false"/>
            <w:i w:val="false"/>
            <w:color w:val="000000"/>
            <w:sz w:val="22"/>
          </w:rPr>
          <w:t>567—41.7</w:t>
        </w:r>
      </w:hyperlink>
      <w:r>
        <w:rPr>
          <w:rFonts w:ascii="Times New Roman" w:hAnsi="Times New Roman"/>
          <w:b w:val="false"/>
          <w:i w:val="false"/>
          <w:color w:val="000000"/>
          <w:sz w:val="22"/>
        </w:rPr>
        <w:t>(455B) using strong oxidants such as, but not limited to, chlorine, chlorine dioxide, or ozone.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GW systems, compliance with the requirements of the department’s wellhead protection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Heterotrophic plate count (HPC) bacteria.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All PWSs that use a SW source or source under the direct influence of SW must provide treatment consisting of disinfection, as specified in </w:t>
      </w:r>
      <w:hyperlink r:id="rId81">
        <w:r>
          <w:rPr>
            <w:rStyle w:val="Hyperlink"/>
            <w:rFonts w:ascii="Times New Roman" w:hAnsi="Times New Roman"/>
            <w:b w:val="false"/>
            <w:i w:val="false"/>
            <w:color w:val="000000"/>
            <w:sz w:val="22"/>
          </w:rPr>
          <w:t>567—subrule 43.5(2)</w:t>
        </w:r>
      </w:hyperlink>
      <w:r>
        <w:rPr>
          <w:rFonts w:ascii="Times New Roman" w:hAnsi="Times New Roman"/>
          <w:b w:val="false"/>
          <w:i w:val="false"/>
          <w:color w:val="000000"/>
          <w:sz w:val="22"/>
        </w:rPr>
        <w:t xml:space="preserve">, and filtration treatment, as specified in </w:t>
      </w:r>
      <w:hyperlink r:id="rId82">
        <w:r>
          <w:rPr>
            <w:rStyle w:val="Hyperlink"/>
            <w:rFonts w:ascii="Times New Roman" w:hAnsi="Times New Roman"/>
            <w:b w:val="false"/>
            <w:i w:val="false"/>
            <w:color w:val="000000"/>
            <w:sz w:val="22"/>
          </w:rPr>
          <w:t>567—subrule 43.5(3)</w:t>
        </w:r>
      </w:hyperlink>
      <w:r>
        <w:rPr>
          <w:rFonts w:ascii="Times New Roman" w:hAnsi="Times New Roman"/>
          <w:b w:val="false"/>
          <w:i w:val="false"/>
          <w:color w:val="000000"/>
          <w:sz w:val="22"/>
        </w:rPr>
        <w:t xml:space="preserve">. The HPC is an alternate method to demonstrate a detectable disinfectant residual in accordance with </w:t>
      </w:r>
      <w:hyperlink r:id="rId83">
        <w:r>
          <w:rPr>
            <w:rStyle w:val="Hyperlink"/>
            <w:rFonts w:ascii="Times New Roman" w:hAnsi="Times New Roman"/>
            <w:b w:val="false"/>
            <w:i w:val="false"/>
            <w:color w:val="000000"/>
            <w:sz w:val="22"/>
          </w:rPr>
          <w:t>567—paragraph 43.5(2)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w:t>
      </w:r>
      <w:r>
        <w:rPr>
          <w:rFonts w:ascii="Times New Roman" w:hAnsi="Times New Roman"/>
          <w:b w:val="false"/>
          <w:i w:val="false"/>
          <w:color w:val="000000"/>
          <w:sz w:val="22"/>
        </w:rPr>
        <w:t xml:space="preserve">PWSs shall conduct HPC bacteria analysis in accordance with </w:t>
      </w:r>
      <w:hyperlink r:id="rId84">
        <w:r>
          <w:rPr>
            <w:rStyle w:val="Hyperlink"/>
            <w:rFonts w:ascii="Times New Roman" w:hAnsi="Times New Roman"/>
            <w:b w:val="false"/>
            <w:i w:val="false"/>
            <w:color w:val="000000"/>
            <w:sz w:val="22"/>
          </w:rPr>
          <w:t>567—subrule 43.5(2)</w:t>
        </w:r>
      </w:hyperlink>
      <w:r>
        <w:rPr>
          <w:rFonts w:ascii="Times New Roman" w:hAnsi="Times New Roman"/>
          <w:b w:val="false"/>
          <w:i w:val="false"/>
          <w:color w:val="000000"/>
          <w:sz w:val="22"/>
        </w:rPr>
        <w:t xml:space="preserve"> and the following analytical methods. When HPC bacteria are being measured in lieu of a detectable residual disinfectant pursuant to </w:t>
      </w:r>
      <w:hyperlink r:id="rId85">
        <w:r>
          <w:rPr>
            <w:rStyle w:val="Hyperlink"/>
            <w:rFonts w:ascii="Times New Roman" w:hAnsi="Times New Roman"/>
            <w:b w:val="false"/>
            <w:i w:val="false"/>
            <w:color w:val="000000"/>
            <w:sz w:val="22"/>
          </w:rPr>
          <w:t>567—paragraph 43.5(2)</w:t>
        </w:r>
      </w:hyperlink>
      <w:r>
        <w:rPr>
          <w:rFonts w:ascii="Times New Roman" w:hAnsi="Times New Roman"/>
          <w:b w:val="false"/>
          <w:i/>
          <w:color w:val="000000"/>
          <w:sz w:val="22"/>
        </w:rPr>
        <w:t>“d,”</w:t>
      </w:r>
      <w:r>
        <w:rPr>
          <w:rFonts w:ascii="Times New Roman" w:hAnsi="Times New Roman"/>
          <w:b w:val="false"/>
          <w:i w:val="false"/>
          <w:color w:val="000000"/>
          <w:sz w:val="22"/>
        </w:rPr>
        <w:t xml:space="preserve"> measurements must be conducted by a laboratory certified by the department to do such analysis. The time from sample collection to initiation of analysis may not exceed eight hours, and systems must hold the samples below 10 degrees Celsius during transit to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Methods. The HPC shall be performed in accordance with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 9215B Pour Plate Method, SM, 18th (1992), 19th (1995), 20th (1998), 21st (2005), and 22nd (2012) editions. The cited method in any of these editions may be used. SM Online method 9215 B-04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SimPlate Method, “IDEXX SimPlate TM HPC Test Method for Heterotrophs in Water,” November 2000, IDEXX Laboratories, Inc., One IDEXX Drive, Westbrook, ME 04092.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A PWS shall report the results of HPC bacteria in accordance with </w:t>
      </w:r>
      <w:hyperlink r:id="rId86">
        <w:r>
          <w:rPr>
            <w:rStyle w:val="Hyperlink"/>
            <w:rFonts w:ascii="Times New Roman" w:hAnsi="Times New Roman"/>
            <w:b w:val="false"/>
            <w:i w:val="false"/>
            <w:color w:val="000000"/>
            <w:sz w:val="22"/>
          </w:rPr>
          <w:t>567—subparagraph 40.8(3)</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Macroscopic organisms and algae.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to CWSs, NTNCs, and TNCs using SW or IGW, as defined by </w:t>
      </w:r>
      <w:hyperlink r:id="rId87">
        <w:r>
          <w:rPr>
            <w:rStyle w:val="Hyperlink"/>
            <w:rFonts w:ascii="Times New Roman" w:hAnsi="Times New Roman"/>
            <w:b w:val="false"/>
            <w:i w:val="false"/>
            <w:color w:val="000000"/>
            <w:sz w:val="22"/>
          </w:rPr>
          <w:t>567—subrule 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MCLs for macroscopic organisms and algae. </w:t>
      </w:r>
      <w:r>
        <w:rPr>
          <w:rFonts w:ascii="Times New Roman" w:hAnsi="Times New Roman"/>
          <w:b w:val="false"/>
          <w:i w:val="false"/>
          <w:color w:val="000000"/>
          <w:sz w:val="22"/>
        </w:rPr>
        <w:t xml:space="preserve">Finished water shall be free of any macroscopic organisms such as plankton, worms, or cysts. The finished water algal cell count shall not exceed 500 organisms per mL or 10 percent of the total cells found in the raw water, whichever is greater.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w:t>
      </w:r>
      <w:r>
        <w:rPr>
          <w:rFonts w:ascii="Times New Roman" w:hAnsi="Times New Roman"/>
          <w:b w:val="false"/>
          <w:i w:val="false"/>
          <w:color w:val="000000"/>
          <w:sz w:val="22"/>
        </w:rPr>
        <w:t>Algal cell measurement shall be in accordance with Method 10200F: Phytoplankton Counting Techniques, SM, 18th edition, pp. 10-13 to 10-16. Such measurement shall be required only when the department determines, on the basis of complaints or otherwise, that excessive algal cells may be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567—41.3</w:t>
      </w:r>
      <w:r>
        <w:rPr>
          <w:rFonts w:ascii="Times New Roman" w:hAnsi="Times New Roman"/>
          <w:b/>
          <w:i w:val="false"/>
          <w:color w:val="000000"/>
          <w:sz w:val="22"/>
        </w:rPr>
        <w:t xml:space="preserve">(455B) </w:t>
      </w:r>
      <w:r>
        <w:rPr>
          <w:rFonts w:ascii="Times New Roman" w:hAnsi="Times New Roman"/>
          <w:b/>
          <w:i w:val="false"/>
          <w:color w:val="000000"/>
          <w:sz w:val="22"/>
        </w:rPr>
        <w:t xml:space="preserve">MCLs and monitoring requirements for inorganic contaminants other than lead or copper.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MCLs and other requirements for inorganic chemical (IOC) contaminants.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MCLs, BATs, and analytical methods for IOC contaminants specified in this subrule apply to CWSs and NTNCs as specified herein. The fluoride MCL applies only to CWSs and NTNCs that primarily serve children (child care facilities and schools). The nitrate, nitrite, and total nitrate and nitrite MCLs apply to CWSs, NTNCs and TNCs. At the department’s discretion, nitrate levels not to exceed 20.0 mg/L may be allowed in a NCWS if the supplier of water demonstrates to the department’s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Such water will not be available to children under six months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is meeting the PN requirements of rule </w:t>
      </w:r>
      <w:hyperlink r:id="rId88">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 including continuous posting of the fact that nitrate levels exceed 10 mg/L and the potential health effects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public health authorities will be notified annually of nitrate levels that exceed 10 mg/L, in addition to the reporting requirements of 567—Chapters </w:t>
      </w:r>
      <w:hyperlink r:id="rId89">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the local county health officials, including the health department, sanitarian, and  public health administrator, and the Iowa department of health and human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adverse health effects shall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IOC MCLs.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table specifies the IOC MCLs: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02"/>
        <w:gridCol w:w="2738"/>
        <w:gridCol w:w="4850"/>
      </w:tblGrid>
      <w:tr>
        <w:trPr>
          <w:trHeight w:val="240" w:hRule="atLeast"/>
        </w:trPr>
        <w:tc>
          <w:tcPr>
            <w:tcW w:w="3602"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IOC Contaminant</w:t>
            </w:r>
          </w:p>
        </w:tc>
        <w:tc>
          <w:tcPr>
            <w:tcW w:w="2738"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EPA Contaminant Code</w:t>
            </w:r>
          </w:p>
        </w:tc>
        <w:tc>
          <w:tcPr>
            <w:tcW w:w="4850"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MCL (mg/L)</w:t>
            </w:r>
          </w:p>
        </w:tc>
      </w:tr>
      <w:tr>
        <w:trPr>
          <w:trHeight w:val="240"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Antimony</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1074</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0.006 </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Arsenic</w:t>
            </w:r>
          </w:p>
        </w:tc>
        <w:tc>
          <w:tcPr>
            <w:tcW w:w="273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1005</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0.010</w:t>
            </w:r>
          </w:p>
        </w:tc>
      </w:tr>
      <w:tr>
        <w:trPr>
          <w:trHeight w:val="405" w:hRule="atLeast"/>
        </w:trPr>
        <w:tc>
          <w:tcPr>
            <w:tcW w:w="3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Asbestos</w:t>
            </w:r>
          </w:p>
        </w:tc>
        <w:tc>
          <w:tcPr>
            <w:tcW w:w="273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1094</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 million fibers/liter (longer than 10 micrometers in length)</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Barium</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1010</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Beryllium</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1075</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0.004</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Cadmium</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1015</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0.005</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Chromium</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1020</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0.1</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Cyanide (as free Cyanide)</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1024</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0.2</w:t>
            </w:r>
          </w:p>
        </w:tc>
      </w:tr>
      <w:tr>
        <w:trPr>
          <w:trHeight w:val="300"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Fluoride*</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1025</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Mercury</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1035</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0.002</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Nitrate</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1040</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(as nitrogen)</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Nitrite</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1041</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(as nitrogen)</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Total Nitrate and Nitrite</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1038</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(as nitrogen)</w:t>
            </w:r>
          </w:p>
        </w:tc>
      </w:tr>
      <w:tr>
        <w:trPr>
          <w:trHeight w:val="225" w:hRule="atLeast"/>
        </w:trPr>
        <w:tc>
          <w:tcPr>
            <w:tcW w:w="36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Selenium</w:t>
            </w:r>
          </w:p>
        </w:tc>
        <w:tc>
          <w:tcPr>
            <w:tcW w:w="273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1045</w:t>
            </w:r>
          </w:p>
        </w:tc>
        <w:tc>
          <w:tcPr>
            <w:tcW w:w="48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0.05</w:t>
            </w:r>
          </w:p>
        </w:tc>
      </w:tr>
      <w:tr>
        <w:trPr>
          <w:trHeight w:val="225" w:hRule="atLeast"/>
        </w:trPr>
        <w:tc>
          <w:tcPr>
            <w:tcW w:w="3602"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Thallium</w:t>
            </w:r>
          </w:p>
        </w:tc>
        <w:tc>
          <w:tcPr>
            <w:tcW w:w="2738"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1085</w:t>
            </w:r>
          </w:p>
        </w:tc>
        <w:tc>
          <w:tcPr>
            <w:tcW w:w="485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0.002</w:t>
            </w:r>
          </w:p>
        </w:tc>
      </w:tr>
    </w:tbl>
    <w:p>
      <w:pPr>
        <w:spacing w:before="0" w:after="0"/>
        <w:ind w:left="120"/>
        <w:jc w:val="both"/>
      </w:pPr>
      <w:r>
        <w:rPr>
          <w:rFonts w:ascii="Times New Roman" w:hAnsi="Times New Roman"/>
          <w:b w:val="false"/>
          <w:i w:val="false"/>
          <w:color w:val="000000"/>
          <w:sz w:val="16"/>
        </w:rPr>
        <w:t>*The recommended fluoride level is 0.7 mg per liter as published by the U.S. Department of Health and Human Services, Public Health Service (July-August 2015). At this optimum level in drinking water, fluoride has been shown to have beneficial effects in reducing the occurrence of tooth decay.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Compliance calculations. IOC MCL compliance shall be determined using the analytical result(s) obtained at each source/entry point (SEP). When the department requires a system to collect nitrate or nitrite samples in its distribution system, IOC MCL compliance shall also be determined using the analytical result(s) obtained at each discrete sampling point in the distribution system. Arsenic sampling results must be reported to the nearest 0.001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Sampling frequencies greater than annual. For PWSs monitoring at a frequency greater than annual, compliance with the MCLs for antimony, arsenic, asbestos, barium, beryllium, cadmium, chromium, cyanide, fluoride, mercury, selenium, and thallium is determined by a running annual average (RAA) at any sampling point. If the RAA at any sampling point is greater than the MCL, then the system is out of compliance. If any one sample would cause the RAA to be exceeded, then the system is out of compliance immediately. Any sample below the method detection limit (MDL) shall be calculated at zero for the purpose of determining the RAA. If a system fails to collect the required number of samples, compliance (average concentration) will be based on the total number of samples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Sampling frequencies of annual or less. For PWSs monitoring annually or less frequently, the system is out of compliance with the MCLs for antimony, arsenic, asbestos, barium, beryllium, cadmium, chromium, cyanide, fluoride, mercury, selenium, and thallium if the level of a contaminant at any sampling point is greater than the MCL. If a confirmation sample is required by the department, it must be collected as soon as possible from the same sampling location, but not to exceed two weeks, and the compliance determination will be based on the average of the two samples. If a system fails to collect the required number of samples, compliance (average concentration) will be based on the total number of samples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Nitrate and nitrite. Compliance with the  nitrate and nitrite MCLs is determined based on one sample if the level of these contaminants is below the MCLs. If the level of nitrate or nitrite exceeds the MCLs in the initial sample, a confirmation sample may be required in accordance with </w:t>
      </w:r>
      <w:hyperlink r:id="rId91">
        <w:r>
          <w:rPr>
            <w:rStyle w:val="Hyperlink"/>
            <w:rFonts w:ascii="Times New Roman" w:hAnsi="Times New Roman"/>
            <w:b w:val="false"/>
            <w:i w:val="false"/>
            <w:color w:val="000000"/>
            <w:sz w:val="22"/>
          </w:rPr>
          <w:t>41.3(1)</w:t>
        </w:r>
        <w:r>
          <w:rPr>
            <w:rFonts w:ascii="Times New Roman" w:hAnsi="Times New Roman"/>
            <w:b w:val="false"/>
            <w:i/>
            <w:color w:val="000000"/>
            <w:sz w:val="22"/>
          </w:rPr>
          <w:t>“c”</w:t>
        </w:r>
        <w:r>
          <w:rPr>
            <w:rFonts w:ascii="Times New Roman" w:hAnsi="Times New Roman"/>
            <w:b w:val="false"/>
            <w:i w:val="false"/>
            <w:color w:val="000000"/>
            <w:sz w:val="22"/>
          </w:rPr>
          <w:t>(7)“2”</w:t>
        </w:r>
      </w:hyperlink>
      <w:r>
        <w:rPr>
          <w:rFonts w:ascii="Times New Roman" w:hAnsi="Times New Roman"/>
          <w:b w:val="false"/>
          <w:i w:val="false"/>
          <w:color w:val="000000"/>
          <w:sz w:val="22"/>
        </w:rPr>
        <w:t xml:space="preserve"> and compliance shall be determined based on the average of the initial and confirmation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requirements. The department may assign additional requirements deemed necessary to protect public health, including PN requirements or earlier compliance dates than indicated in rule. When a system is not in compliance with an MCL in this paragraph, the supplier of the water shall notify the department according to </w:t>
      </w:r>
      <w:hyperlink r:id="rId92">
        <w:r>
          <w:rPr>
            <w:rStyle w:val="Hyperlink"/>
            <w:rFonts w:ascii="Times New Roman" w:hAnsi="Times New Roman"/>
            <w:b w:val="false"/>
            <w:i w:val="false"/>
            <w:color w:val="000000"/>
            <w:sz w:val="22"/>
          </w:rPr>
          <w:t>567—subrule 40.8(1)</w:t>
        </w:r>
      </w:hyperlink>
      <w:r>
        <w:rPr>
          <w:rFonts w:ascii="Times New Roman" w:hAnsi="Times New Roman"/>
          <w:b w:val="false"/>
          <w:i w:val="false"/>
          <w:color w:val="000000"/>
          <w:sz w:val="22"/>
        </w:rPr>
        <w:t xml:space="preserve"> and provide PN according to rule </w:t>
      </w:r>
      <w:hyperlink r:id="rId93">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IOC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IOC monitoring (excluding asbestos, nitrate, and nitrite). CWSs and NTNCs shall monitor to determine compliance with the IOC MCLs, in accordance with this subrule. TNCs shall monitor to determine compliance with the nitrate and nitrite MCLs as required by </w:t>
      </w:r>
      <w:hyperlink r:id="rId94">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 xml:space="preserve">(5) and </w:t>
      </w:r>
      <w:r>
        <w:rPr>
          <w:rFonts w:ascii="Times New Roman" w:hAnsi="Times New Roman"/>
          <w:b w:val="false"/>
          <w:i/>
          <w:color w:val="000000"/>
          <w:sz w:val="22"/>
        </w:rPr>
        <w:t>“c”</w:t>
      </w:r>
      <w:r>
        <w:rPr>
          <w:rFonts w:ascii="Times New Roman" w:hAnsi="Times New Roman"/>
          <w:b w:val="false"/>
          <w:i w:val="false"/>
          <w:color w:val="000000"/>
          <w:sz w:val="22"/>
        </w:rPr>
        <w:t>(6). All new systems or systems that use a new source of water must demonstrate compliance with the IOC MCLs within a time period specified by the department. A system must also comply with the specified initial sampling frequencies to ensure it can demonstrate MCL compliance. Routine and increased monitoring shall be conducted in accordance with this paragraph. A source of water that is determined by the department to be a new SEP is considered to be a new source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Department designated sampling schedules. Each PWS shall monitor at the time designated by the department during each compliance period. The monitoring protocol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GW sampling points. GW systems shall take a minimum of one sample at every entry point to the distribution system which is representative of each well after treatment (hereafter called a source/entry point or SEP). Systems shall take each sample at the same sampling point unless conditions make another sampling point more representative of each source or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SW sampling points. SW systems shall take a minimum of one sample at every SEP after any application of treatment or in the distribution system at a point that is representative of each SEP. For purposes of this paragraph, SW systems include systems with a combination of SW and GW sources. Systems shall take each sample at the same sampling point unless conditions make another sampling point more representative of each source or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Multiple sources. If a PWS draws water from more than one source and the sources are combined before distribution, it must sample at an SEP during periods of normal operating conditions (i.e., when water is representative of all sources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Composite sampling. The department may reduce the total number of samples that must be analyzed by compositing. In systems serving less than or equal to 3,300 persons, composite samples from a maximum of five samples are allowed, provided that the detection limit of the analysis method is less than one-fifth of the MCL. Sample compositing must be done in the laboratory. If the concentration in the composite sample is greater than or equal to one-fifth of the MCL of any IOC, a follow-up sample must be taken within 14 days at each sampling point included in the composite. The follow-up samples must be analyzed for the contaminants that exceeded one-fifth of the MCL in the composite sample. If duplicates of the original sample taken from each sampling point used in the composite are available, the system may use the duplicates instead of resampling, provided the holding time of the duplicates is not exceeded. Duplicates must be analyzed and the results reported to the department within 14 days after sample analysis. If the system serves a population greater than 3,300 persons, compositing may only be allowed at sampling points within a single system. For systems serving less than or equal to 3,300 persons, the department may allow compositing among different systems provided the five-sample limit is maintained. Detection limits for each IOC analytical method are in </w:t>
      </w:r>
      <w:hyperlink r:id="rId95">
        <w:r>
          <w:rPr>
            <w:rStyle w:val="Hyperlink"/>
            <w:rFonts w:ascii="Times New Roman" w:hAnsi="Times New Roman"/>
            <w:b w:val="false"/>
            <w:i w:val="false"/>
            <w:color w:val="000000"/>
            <w:sz w:val="22"/>
          </w:rPr>
          <w:t>41.3(1)</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Asbestos monitoring frequency. Monitoring to determine compliance with the asbestos MCL shall be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sampling frequency. Each CWS and NTNC is required to monitor for asbestos during the first three-year compliance period of each nine-year compliance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Asbestos waiver. If a PWS believes it is not vulnerable to asbestos contamination either in its source water or due to the presence of asbestos-cement pipe, or both, it may apply for a waiver of the asbestos monitoring requirement in this subparagraph. If the department grants the waiver, the system is not required to monitor. The department may grant a waiver based on a consideration of potential asbestos contamination of the water source, the use of asbestos-cement pipe for finished water distribution, and the corrosive nature of the water. An asbestos waiver remains in effect until the completion of the three-year compliance period. Systems not receiving a waiver must monitor in accordance with the initial sampling frequency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Distribution system vulnerability. A PWS vulnerable to asbestos contamination due solely to the presence of asbestos-cement pipe shall take one sample at a tap served by asbestos-cement pipe and under conditions where asbestos contamination is most likely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 water vulnerability. A PWS vulnerable to asbestos contamination due solely to source water shall monitor in accordance with the department designated sampling schedules in </w:t>
      </w:r>
      <w:hyperlink r:id="rId96">
        <w:r>
          <w:rPr>
            <w:rStyle w:val="Hyperlink"/>
            <w:rFonts w:ascii="Times New Roman" w:hAnsi="Times New Roman"/>
            <w:b w:val="false"/>
            <w:i w:val="false"/>
            <w:color w:val="000000"/>
            <w:sz w:val="22"/>
          </w:rPr>
          <w:t>41.3(1)</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Combined vulnerability. A PWS vulnerable to asbestos contamination due both to its source water supply and the presence of asbestos-cement pipe shall take one sample at a tap served by asbestos-cement pipe and under conditions where asbestos contamination is most likely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Asbestos MCL exceedance. A PWS that exceeds the asbestos MCL shall monitor quarterly beginning in the next quarter after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Asbestos below the MCL. The department may decrease the quarterly monitoring requirement to the initial sampling frequency in this subparagraph provided a system is reliably and consistently below the asbestos MCL. In no case can the department make this determination unless a GW system takes a minimum of two quarterly samples and a surface (or combined surface/ground) water system takes a minimum of four quarterly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Grandfathered asbestos data. If monitoring data are generally consistent with the requirements of this subparagraph, the department may allow PWSs to use that data to satisfy the monitoring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frequency for other IOCs. Monitoring to determine compliance with the MCLs for antimony, arsenic, asbestos, barium, beryllium, cadmium, chromium, cyanide, fluoride, mercury, selenium, and thallium shall be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IOCs sampling frequency. GW systems shall take one sample at each sampling point once every three years. SW systems (or combined SW/GW systems) shall take one sample annually at each sampling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IOC sampling waiver. The PWS may apply for a waiver from the IOC sampling frequencies specified in this subparagraph. A PWS shall take a minimum of one sample while a waiver is effective. The term during which the waiver is effective shall not exceed one compliance cycle (i.e., nine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IOC waiver and grandfathered data. The department may grant a waiver provided SW systems have monitored annually for at least three years and GW systems have conducted a minimum of three rounds of monitoring. Both SW and GW systems shall demonstrate that all previous analytical results were less than the MCL. Systems that use a new water source are not eligible for a waiver until three rounds of monitoring from the new source have been completed. Systems may be granted a waiver for cyanide monitoring, provided the department determines that the system is not vulnerable due to a lack of any industrial source of cyanide.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IOC sampling frequency during a waiver. In determining the appropriate reduced monitoring frequency, the department will consider: reported concentrations from all previous monitoring; the degree of variation in reported concentrations; and other factors which may affect contaminant concentrations, such as changes in GW pumping rates,  system configuration, system operating procedures, or stream flow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Effect of an IOC waiver. A decision to grant a waiver shall be made in writing and include the basis for the determination. The determination may be initiated by the department or upon an application by a PWS. A PWS shall specify the basis for its request. The department may review and, where appropriate, revise its determination of the appropriate monitoring frequency when a system submits new monitoring data or when other data relevant to a system’s appropriate monitoring frequency become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Exceedance of an IOC MCL. PWSs that exceed the IOC MCLs shall monitor quarterly beginning in the next quarter after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IOCs reliably and consistently below the MCL. The department may decrease the quarterly monitoring requirement to the IOC sampling frequencies specified in “1” and “3” of this subparagraph provided it has determined that a PWS is reliably and consistently below the MCL. The department shall not make this determination unless a GW system takes a minimum of two quarterly samples and a SW system takes a minimum of four quarterly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Nitrate monitoring frequency. All PWSs (CWSs, NTNCs, and TNCs) shall monitor to determine compliance with the nitrate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nitrate sampling. All PWSs served by GW systems shall monitor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GW repeat nitrate sampling frequency. For GW PWS, the repeat monitoring frequency is: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Quarterly for at least one year following any one sample in which the concentration is greater than or equal to 5.0 mg/L as N. The department may allow a GW system to reduce its sampling frequency to annually after four consecutive quarterly samples are reliably and consistently less than 5.0 mg/L as 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Monthly for at least one year following any one sample in which the concentration is greater than or equal to 10.0 mg/L as 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SW repeat nitrate sampling frequency. The department may allow a PWS SW system to reduce the sampling frequency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Annually if all analytical results from four consecutive quarters are less than 5.0 mg/L as 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Quarterly for at least one year following any one sample in which the concentration is greater than or equal to 5.0 mg/L as N. The department may allow a SW system to reduce the sampling frequency to annually after four consecutive quarterly samples are reliably and consistently less than 5.0 mg/L as 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Monthly for at least one year following any nitrate MCL exceedance.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Scheduling annual nitrate repeat samples. After the initial round of quarterly sampling is completed, each CWS and NTNC monitoring annually shall take subsequent samples during the quarter(s) that previously resulted in the highest analytical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Nitrite  monitoring frequency. All PWSs shall monitor to determine compliance with the nitrite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nitrite sampling. All PWSs shall take one sample at each sampling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Nitrite repeat monitoring. After the initial sample, systems where an analytical result for nitrite is less than 0.50 mg/L as N shall monitor at the department-specified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Nitrite increased monitoring. For all PWSs, the repeat monitoring frequency 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Quarterly for at least one year following any one sample in which the concentration is greater than or equal to 0.50 mg/L as N. The department may allow a system to reduce the sampling frequency to annually after determining a system is reliably and consistently less than 0.50 mg/L.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Monthly for at least one year following any nitrite MCL exceedance.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Scheduling of annual nitrite repeat samples. Systems monitoring annually shall take each subsequent sample during the quarter(s) that previously resulted in the highest analytical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IOC confirmation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IOC confirmation sample deadline (other than nitrate and nitrite). Where the results of an analysis for antimony, arsenic, asbestos, barium, beryllium, cadmium, chromium, cyanide, fluoride, mercury, nickel, selenium, or thallium indicate an MCL exceedance, the department may require the collection of one additional sample as soon as possible after the initial sample was taken (but not to exceed two weeks) at the same sampling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Nitrate and nitrite confirmation sample deadline. Where nitrate or nitrite sampling results indicate an MCL exceedance and the sampling frequency is quarterly or annual, a system shall take a confirmation sample within 24 hours of its receipt of the analytical results. PWSs unable to comply with the 24-hour confirmation sampling requirement must immediately notify the consumers served by the area served by the PWS in accordance with </w:t>
      </w:r>
      <w:hyperlink r:id="rId97">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 Tier 1 PN and complete an analysis of a confirmation sample within two weeks of receipt of the analytical results of the first sample. Where the sampling frequency is monthly, a confirmation sample will not be used to determine MCL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Compliance calculations and confirmation samples. If a required confirmation sample collected within the time specified in “1” of this subparagraph is taken for any contaminant,  the results of the initial and confirmation sample shall be averaged. The resulting average shall be used to determine the system’s compliance with the IOC MCLs. The department has the discretion to invalidate results of obvious sampling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 Designation of increased sampling frequency. The department, at its discretion,  may require more frequent monitoring than specified for asbestos, other IOCs, nitrate, and nitrite in </w:t>
      </w:r>
      <w:hyperlink r:id="rId98">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 xml:space="preserve">(3) through </w:t>
      </w:r>
      <w:r>
        <w:rPr>
          <w:rFonts w:ascii="Times New Roman" w:hAnsi="Times New Roman"/>
          <w:b w:val="false"/>
          <w:i/>
          <w:color w:val="000000"/>
          <w:sz w:val="22"/>
        </w:rPr>
        <w:t>“c”</w:t>
      </w:r>
      <w:r>
        <w:rPr>
          <w:rFonts w:ascii="Times New Roman" w:hAnsi="Times New Roman"/>
          <w:b w:val="false"/>
          <w:i w:val="false"/>
          <w:color w:val="000000"/>
          <w:sz w:val="22"/>
        </w:rPr>
        <w:t xml:space="preserve">(6), or confirmation samples for positive and negative results. PWSs may apply to conduct more frequent monitoring than the minimum monitoring specified in this subrule. Any increase or decrease in monitoring under this subparagraph will be designated in an operation permit or administrative order. To increase or decrease such frequency, the department shall consider: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Reported concentrations from previously required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degree of variation in reported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Blending or treatment processes conducted to comply with an MCL, TT, or 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factors, including changes in pumping rates in GW supplies, significant changes in a system’s configuration, operating procedures, source of water, or streamflow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Grandfathered data. For the initial analysis required in this paragraph (</w:t>
      </w:r>
      <w:hyperlink r:id="rId99">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 data for surface waters acquired within one year prior to the effective date and data for GWs acquired within three years prior to August 13, 2025, may be substituted at the department’s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Analytical and sampling methodology.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IOC analytical methods. IOC contaminants shall be analyzed using the following methods, or their equivalent as determined by EPA. Criteria for analyzing arsenic, barium, beryllium, cadmium, chromium, copper, lead, nickel, selenium, sodium, and thallium with digestion or directly without digestion, and other analytical test procedures are contained in Technical Notes on Drinking Water Methods, EPA-600/R-94-173, October 1994, NTIS PB95-104766.</w:t>
      </w:r>
    </w:p>
    <w:p>
      <w:pPr>
        <w:spacing w:before="60" w:after="0"/>
        <w:ind w:left="120"/>
        <w:jc w:val="center"/>
      </w:pPr>
      <w:r>
        <w:rPr>
          <w:rFonts w:ascii="Times New Roman" w:hAnsi="Times New Roman"/>
          <w:b/>
          <w:i w:val="false"/>
          <w:color w:val="000000"/>
          <w:sz w:val="22"/>
        </w:rPr>
        <w:t>IOC Contaminant Analytical Methods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95"/>
        <w:gridCol w:w="2002"/>
        <w:gridCol w:w="1426"/>
        <w:gridCol w:w="1426"/>
        <w:gridCol w:w="1426"/>
        <w:gridCol w:w="1426"/>
        <w:gridCol w:w="1425"/>
        <w:gridCol w:w="1194"/>
      </w:tblGrid>
      <w:tr>
        <w:trPr>
          <w:trHeight w:val="375"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Contaminant</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Methodology</w:t>
            </w:r>
            <w:r>
              <w:rPr>
                <w:rFonts w:ascii="Times New Roman" w:hAnsi="Times New Roman"/>
                <w:b/>
                <w:i w:val="false"/>
                <w:color w:val="000000"/>
                <w:sz w:val="18"/>
                <w:vertAlign w:val="superscript"/>
              </w:rPr>
              <w:t>15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EPA</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ASTM</w:t>
            </w:r>
            <w:r>
              <w:rPr>
                <w:rFonts w:ascii="Times New Roman" w:hAnsi="Times New Roman"/>
                <w:b/>
                <w:i w:val="false"/>
                <w:color w:val="000000"/>
                <w:sz w:val="18"/>
                <w:vertAlign w:val="superscript"/>
              </w:rPr>
              <w:t>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SM</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SM Online</w:t>
            </w:r>
            <w:r>
              <w:rPr>
                <w:rFonts w:ascii="Times New Roman" w:hAnsi="Times New Roman"/>
                <w:b/>
                <w:i w:val="false"/>
                <w:color w:val="000000"/>
                <w:sz w:val="18"/>
                <w:vertAlign w:val="superscript"/>
              </w:rPr>
              <w:t>26</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Other</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MDL in mg/L</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B-10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0.003</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0.0008</w:t>
            </w:r>
            <w:r>
              <w:rPr>
                <w:rFonts w:ascii="Times New Roman" w:hAnsi="Times New Roman"/>
                <w:b w:val="false"/>
                <w:i w:val="false"/>
                <w:color w:val="000000"/>
                <w:sz w:val="18"/>
                <w:vertAlign w:val="superscript"/>
              </w:rPr>
              <w:t>12</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ICP-MS</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0.0004</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hydride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D3697-92, 02, 07, 12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w:t>
            </w:r>
          </w:p>
        </w:tc>
      </w:tr>
      <w:tr>
        <w:trPr>
          <w:trHeight w:val="24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AVICP-AES</w:t>
            </w:r>
            <w:r>
              <w:rPr>
                <w:rFonts w:ascii="Times New Roman" w:hAnsi="Times New Roman"/>
                <w:b w:val="false"/>
                <w:i w:val="false"/>
                <w:color w:val="000000"/>
                <w:sz w:val="18"/>
                <w:vertAlign w:val="superscript"/>
              </w:rPr>
              <w:t>17</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 4.2</w:t>
            </w:r>
            <w:r>
              <w:rPr>
                <w:rFonts w:ascii="Times New Roman" w:hAnsi="Times New Roman"/>
                <w:b w:val="false"/>
                <w:i w:val="false"/>
                <w:color w:val="000000"/>
                <w:sz w:val="18"/>
                <w:vertAlign w:val="superscript"/>
              </w:rPr>
              <w:t>28</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ICP-MS</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0.0014</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0.0005</w:t>
            </w:r>
            <w:r>
              <w:rPr>
                <w:rFonts w:ascii="Times New Roman" w:hAnsi="Times New Roman"/>
                <w:b w:val="false"/>
                <w:i w:val="false"/>
                <w:color w:val="000000"/>
                <w:sz w:val="18"/>
                <w:vertAlign w:val="superscript"/>
              </w:rPr>
              <w:t>15</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D2972-97C, 03C, 08C</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B-10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Arsenic</w:t>
            </w:r>
            <w:r>
              <w:rPr>
                <w:rFonts w:ascii="Times New Roman" w:hAnsi="Times New Roman"/>
                <w:b w:val="false"/>
                <w:i w:val="false"/>
                <w:color w:val="000000"/>
                <w:sz w:val="18"/>
                <w:vertAlign w:val="superscript"/>
              </w:rPr>
              <w:t>16</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hydride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D2972-97B, 03B, 08B</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3114B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3114 B-09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w:t>
            </w:r>
          </w:p>
        </w:tc>
      </w:tr>
      <w:tr>
        <w:trPr>
          <w:trHeight w:val="24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AVICP-AES</w:t>
            </w:r>
            <w:r>
              <w:rPr>
                <w:rFonts w:ascii="Times New Roman" w:hAnsi="Times New Roman"/>
                <w:b w:val="false"/>
                <w:i w:val="false"/>
                <w:color w:val="000000"/>
                <w:sz w:val="18"/>
                <w:vertAlign w:val="superscript"/>
              </w:rPr>
              <w:t>17</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 4.2</w:t>
            </w:r>
            <w:r>
              <w:rPr>
                <w:rFonts w:ascii="Times New Roman" w:hAnsi="Times New Roman"/>
                <w:b w:val="false"/>
                <w:i w:val="false"/>
                <w:color w:val="000000"/>
                <w:sz w:val="18"/>
                <w:vertAlign w:val="superscript"/>
              </w:rPr>
              <w:t>28</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Asbestos</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Transmission electron microscopy</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100.1</w:t>
            </w:r>
            <w:r>
              <w:rPr>
                <w:rFonts w:ascii="Times New Roman" w:hAnsi="Times New Roman"/>
                <w:b w:val="false"/>
                <w:i w:val="false"/>
                <w:color w:val="000000"/>
                <w:sz w:val="18"/>
                <w:vertAlign w:val="superscript"/>
              </w:rPr>
              <w:t>9</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 MFL</w:t>
            </w:r>
          </w:p>
        </w:tc>
      </w:tr>
      <w:tr>
        <w:trPr>
          <w:trHeight w:val="36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Transmission electron microscopy</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100.2</w:t>
            </w:r>
            <w:r>
              <w:rPr>
                <w:rFonts w:ascii="Times New Roman" w:hAnsi="Times New Roman"/>
                <w:b w:val="false"/>
                <w:i w:val="false"/>
                <w:color w:val="000000"/>
                <w:sz w:val="18"/>
                <w:vertAlign w:val="superscript"/>
              </w:rPr>
              <w:t>10</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3120B</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 B-99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0.002</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ICP-MS</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direct</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3111D</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 D-99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0.1</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B-10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0.002</w:t>
            </w:r>
          </w:p>
        </w:tc>
      </w:tr>
      <w:tr>
        <w:trPr>
          <w:trHeight w:val="24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AVICP-AES</w:t>
            </w:r>
            <w:r>
              <w:rPr>
                <w:rFonts w:ascii="Times New Roman" w:hAnsi="Times New Roman"/>
                <w:b w:val="false"/>
                <w:i w:val="false"/>
                <w:color w:val="000000"/>
                <w:sz w:val="18"/>
                <w:vertAlign w:val="superscript"/>
              </w:rPr>
              <w:t>17</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 4.2</w:t>
            </w:r>
            <w:r>
              <w:rPr>
                <w:rFonts w:ascii="Times New Roman" w:hAnsi="Times New Roman"/>
                <w:b w:val="false"/>
                <w:i w:val="false"/>
                <w:color w:val="000000"/>
                <w:sz w:val="18"/>
                <w:vertAlign w:val="superscript"/>
              </w:rPr>
              <w:t>28</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3120B</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 B-99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0.0003</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ICP-MS</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0.0003</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Beryllium</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0.00002</w:t>
            </w:r>
            <w:r>
              <w:rPr>
                <w:rFonts w:ascii="Times New Roman" w:hAnsi="Times New Roman"/>
                <w:b w:val="false"/>
                <w:i w:val="false"/>
                <w:color w:val="000000"/>
                <w:sz w:val="18"/>
                <w:vertAlign w:val="superscript"/>
              </w:rPr>
              <w:t>12</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D3645-97B, 03B, 08B</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B-10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0.0002</w:t>
            </w:r>
          </w:p>
        </w:tc>
      </w:tr>
      <w:tr>
        <w:trPr>
          <w:trHeight w:val="24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AVICP-AES</w:t>
            </w:r>
            <w:r>
              <w:rPr>
                <w:rFonts w:ascii="Times New Roman" w:hAnsi="Times New Roman"/>
                <w:b w:val="false"/>
                <w:i w:val="false"/>
                <w:color w:val="000000"/>
                <w:sz w:val="18"/>
                <w:vertAlign w:val="superscript"/>
              </w:rPr>
              <w:t>17</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 4.2</w:t>
            </w:r>
            <w:r>
              <w:rPr>
                <w:rFonts w:ascii="Times New Roman" w:hAnsi="Times New Roman"/>
                <w:b w:val="false"/>
                <w:i w:val="false"/>
                <w:color w:val="000000"/>
                <w:sz w:val="18"/>
                <w:vertAlign w:val="superscript"/>
              </w:rPr>
              <w:t>28</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ICP-MS</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Cadmium</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B-10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0.0001</w:t>
            </w:r>
          </w:p>
        </w:tc>
      </w:tr>
      <w:tr>
        <w:trPr>
          <w:trHeight w:val="24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AVICP-AES</w:t>
            </w:r>
            <w:r>
              <w:rPr>
                <w:rFonts w:ascii="Times New Roman" w:hAnsi="Times New Roman"/>
                <w:b w:val="false"/>
                <w:i w:val="false"/>
                <w:color w:val="000000"/>
                <w:sz w:val="18"/>
                <w:vertAlign w:val="superscript"/>
              </w:rPr>
              <w:t>17</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 4.2</w:t>
            </w:r>
            <w:r>
              <w:rPr>
                <w:rFonts w:ascii="Times New Roman" w:hAnsi="Times New Roman"/>
                <w:b w:val="false"/>
                <w:i w:val="false"/>
                <w:color w:val="000000"/>
                <w:sz w:val="18"/>
                <w:vertAlign w:val="superscript"/>
              </w:rPr>
              <w:t>28</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3120B</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 B-99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0.007</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ICP-MS</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Chromium</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B-10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w:t>
            </w:r>
          </w:p>
        </w:tc>
      </w:tr>
      <w:tr>
        <w:trPr>
          <w:trHeight w:val="24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AVICP-AES</w:t>
            </w:r>
            <w:r>
              <w:rPr>
                <w:rFonts w:ascii="Times New Roman" w:hAnsi="Times New Roman"/>
                <w:b w:val="false"/>
                <w:i w:val="false"/>
                <w:color w:val="000000"/>
                <w:sz w:val="18"/>
                <w:vertAlign w:val="superscript"/>
              </w:rPr>
              <w:t>17</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 4.2</w:t>
            </w:r>
            <w:r>
              <w:rPr>
                <w:rFonts w:ascii="Times New Roman" w:hAnsi="Times New Roman"/>
                <w:b w:val="false"/>
                <w:i w:val="false"/>
                <w:color w:val="000000"/>
                <w:sz w:val="18"/>
                <w:vertAlign w:val="superscript"/>
              </w:rPr>
              <w:t>28</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525"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Manual distillation (followed by 1 of the 4 methods listed below:)</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D2036-98A, D2036-06A</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4500-CN-C</w:t>
            </w:r>
            <w:r>
              <w:rPr>
                <w:rFonts w:ascii="Times New Roman" w:hAnsi="Times New Roman"/>
                <w:b w:val="false"/>
                <w:i w:val="false"/>
                <w:color w:val="000000"/>
                <w:sz w:val="18"/>
                <w:vertAlign w:val="superscript"/>
              </w:rPr>
              <w:t>18,</w:t>
            </w:r>
            <w:r>
              <w:br/>
            </w:r>
            <w:r>
              <w:rPr>
                <w:rFonts w:ascii="Times New Roman" w:hAnsi="Times New Roman"/>
                <w:b w:val="false"/>
                <w:i w:val="false"/>
                <w:color w:val="000000"/>
                <w:sz w:val="18"/>
                <w:vertAlign w:val="superscript"/>
              </w:rPr>
              <w:t>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9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Spectrophotometric; amenable</w:t>
            </w:r>
            <w:r>
              <w:rPr>
                <w:rFonts w:ascii="Times New Roman" w:hAnsi="Times New Roman"/>
                <w:b w:val="false"/>
                <w:i w:val="false"/>
                <w:color w:val="000000"/>
                <w:sz w:val="18"/>
                <w:vertAlign w:val="superscript"/>
              </w:rPr>
              <w:t>14</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D2036-98B, D2036-06B</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4500-CN-G</w:t>
            </w:r>
            <w:r>
              <w:rPr>
                <w:rFonts w:ascii="Times New Roman" w:hAnsi="Times New Roman"/>
                <w:b w:val="false"/>
                <w:i w:val="false"/>
                <w:color w:val="000000"/>
                <w:sz w:val="18"/>
                <w:vertAlign w:val="superscript"/>
              </w:rPr>
              <w:t>18,</w:t>
            </w:r>
            <w:r>
              <w:br/>
            </w:r>
            <w:r>
              <w:rPr>
                <w:rFonts w:ascii="Times New Roman" w:hAnsi="Times New Roman"/>
                <w:b w:val="false"/>
                <w:i w:val="false"/>
                <w:color w:val="000000"/>
                <w:sz w:val="18"/>
                <w:vertAlign w:val="superscript"/>
              </w:rPr>
              <w:t>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4500-CN-G-99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0.02</w:t>
            </w:r>
          </w:p>
        </w:tc>
      </w:tr>
      <w:tr>
        <w:trPr>
          <w:trHeight w:val="39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Spectrophotometric; manual</w:t>
            </w:r>
            <w:r>
              <w:rPr>
                <w:rFonts w:ascii="Times New Roman" w:hAnsi="Times New Roman"/>
                <w:b w:val="false"/>
                <w:i w:val="false"/>
                <w:color w:val="000000"/>
                <w:sz w:val="18"/>
                <w:vertAlign w:val="superscript"/>
              </w:rPr>
              <w:t>13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D2036-98A, D2036-06A</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4500-CN-E</w:t>
            </w:r>
            <w:r>
              <w:rPr>
                <w:rFonts w:ascii="Times New Roman" w:hAnsi="Times New Roman"/>
                <w:b w:val="false"/>
                <w:i w:val="false"/>
                <w:color w:val="000000"/>
                <w:sz w:val="18"/>
                <w:vertAlign w:val="superscript"/>
              </w:rPr>
              <w:t>18,</w:t>
            </w:r>
            <w:r>
              <w:br/>
            </w:r>
            <w:r>
              <w:rPr>
                <w:rFonts w:ascii="Times New Roman" w:hAnsi="Times New Roman"/>
                <w:b w:val="false"/>
                <w:i w:val="false"/>
                <w:color w:val="000000"/>
                <w:sz w:val="18"/>
                <w:vertAlign w:val="superscript"/>
              </w:rPr>
              <w:t>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4500-CN-E-99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I-3300-85</w:t>
            </w:r>
            <w:r>
              <w:rPr>
                <w:rFonts w:ascii="Times New Roman" w:hAnsi="Times New Roman"/>
                <w:b w:val="false"/>
                <w:i w:val="false"/>
                <w:color w:val="000000"/>
                <w:sz w:val="18"/>
                <w:vertAlign w:val="superscript"/>
              </w:rPr>
              <w:t>5</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0.02</w:t>
            </w:r>
          </w:p>
        </w:tc>
      </w:tr>
      <w:tr>
        <w:trPr>
          <w:trHeight w:val="39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Spectrophotometric; semi-automated</w:t>
            </w:r>
            <w:r>
              <w:rPr>
                <w:rFonts w:ascii="Times New Roman" w:hAnsi="Times New Roman"/>
                <w:b w:val="false"/>
                <w:i w:val="false"/>
                <w:color w:val="000000"/>
                <w:sz w:val="18"/>
                <w:vertAlign w:val="superscript"/>
              </w:rPr>
              <w:t>13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335.4</w:t>
            </w:r>
            <w:r>
              <w:rPr>
                <w:rFonts w:ascii="Times New Roman" w:hAnsi="Times New Roman"/>
                <w:b w:val="false"/>
                <w:i w:val="false"/>
                <w:color w:val="000000"/>
                <w:sz w:val="18"/>
                <w:vertAlign w:val="superscript"/>
              </w:rPr>
              <w:t>6</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0.005</w:t>
            </w:r>
          </w:p>
        </w:tc>
      </w:tr>
      <w:tr>
        <w:trPr>
          <w:trHeight w:val="39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Cyanide</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Selective electrode</w:t>
            </w:r>
            <w:r>
              <w:rPr>
                <w:rFonts w:ascii="Times New Roman" w:hAnsi="Times New Roman"/>
                <w:b w:val="false"/>
                <w:i w:val="false"/>
                <w:color w:val="000000"/>
                <w:sz w:val="18"/>
                <w:vertAlign w:val="superscript"/>
              </w:rPr>
              <w:t>13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4500-CN-F</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4500-CN-F-99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0.05</w:t>
            </w:r>
          </w:p>
        </w:tc>
      </w:tr>
      <w:tr>
        <w:trPr>
          <w:trHeight w:val="39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UV, distillation, spectrophotometric</w:t>
            </w:r>
            <w:r>
              <w:rPr>
                <w:rFonts w:ascii="Times New Roman" w:hAnsi="Times New Roman"/>
                <w:b w:val="false"/>
                <w:i w:val="false"/>
                <w:color w:val="000000"/>
                <w:sz w:val="18"/>
                <w:vertAlign w:val="superscript"/>
              </w:rPr>
              <w:t>22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Kelada 01</w:t>
            </w:r>
            <w:r>
              <w:rPr>
                <w:rFonts w:ascii="Times New Roman" w:hAnsi="Times New Roman"/>
                <w:b w:val="false"/>
                <w:i w:val="false"/>
                <w:color w:val="000000"/>
                <w:sz w:val="18"/>
                <w:vertAlign w:val="superscript"/>
              </w:rPr>
              <w:t>20</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0.0005</w:t>
            </w:r>
          </w:p>
        </w:tc>
      </w:tr>
      <w:tr>
        <w:trPr>
          <w:trHeight w:val="555"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Micro distillation, flow injection, spectrophotometric</w:t>
            </w:r>
            <w:r>
              <w:rPr>
                <w:rFonts w:ascii="Times New Roman" w:hAnsi="Times New Roman"/>
                <w:b w:val="false"/>
                <w:i w:val="false"/>
                <w:color w:val="000000"/>
                <w:sz w:val="18"/>
                <w:vertAlign w:val="superscript"/>
              </w:rPr>
              <w:t>13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QuikChem</w:t>
            </w:r>
            <w:r>
              <w:br/>
            </w:r>
            <w:r>
              <w:rPr>
                <w:rFonts w:ascii="Times New Roman" w:hAnsi="Times New Roman"/>
                <w:b w:val="false"/>
                <w:i w:val="false"/>
                <w:color w:val="000000"/>
                <w:sz w:val="14"/>
              </w:rPr>
              <w:t>10-204-00-1-X</w:t>
            </w:r>
            <w:r>
              <w:rPr>
                <w:rFonts w:ascii="Times New Roman" w:hAnsi="Times New Roman"/>
                <w:b w:val="false"/>
                <w:i w:val="false"/>
                <w:color w:val="000000"/>
                <w:sz w:val="18"/>
                <w:vertAlign w:val="superscript"/>
              </w:rPr>
              <w:t>21</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0.0006</w:t>
            </w:r>
          </w:p>
        </w:tc>
      </w:tr>
      <w:tr>
        <w:trPr>
          <w:trHeight w:val="39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Ligand exchange with amperometry</w:t>
            </w:r>
            <w:r>
              <w:rPr>
                <w:rFonts w:ascii="Times New Roman" w:hAnsi="Times New Roman"/>
                <w:b w:val="false"/>
                <w:i w:val="false"/>
                <w:color w:val="000000"/>
                <w:sz w:val="18"/>
                <w:vertAlign w:val="superscript"/>
              </w:rPr>
              <w:t>14</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D6888-04</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OIA-1677, DW</w:t>
            </w:r>
            <w:r>
              <w:rPr>
                <w:rFonts w:ascii="Times New Roman" w:hAnsi="Times New Roman"/>
                <w:b w:val="false"/>
                <w:i w:val="false"/>
                <w:color w:val="000000"/>
                <w:sz w:val="18"/>
                <w:vertAlign w:val="superscript"/>
              </w:rPr>
              <w:t>25</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0.0005</w:t>
            </w:r>
          </w:p>
        </w:tc>
      </w:tr>
      <w:tr>
        <w:trPr>
          <w:trHeight w:val="24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GC/MS headspace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ME355.01</w:t>
            </w:r>
            <w:r>
              <w:rPr>
                <w:rFonts w:ascii="Times New Roman" w:hAnsi="Times New Roman"/>
                <w:b w:val="false"/>
                <w:i w:val="false"/>
                <w:color w:val="000000"/>
                <w:sz w:val="18"/>
                <w:vertAlign w:val="superscript"/>
              </w:rPr>
              <w:t>29</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w:t>
            </w:r>
            <w:r>
              <w:rPr>
                <w:rFonts w:ascii="Times New Roman" w:hAnsi="Times New Roman"/>
                <w:b w:val="false"/>
                <w:i w:val="false"/>
                <w:color w:val="000000"/>
                <w:sz w:val="18"/>
                <w:vertAlign w:val="superscript"/>
              </w:rPr>
              <w:t>36</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300.0</w:t>
            </w:r>
            <w:r>
              <w:rPr>
                <w:rFonts w:ascii="Times New Roman" w:hAnsi="Times New Roman"/>
                <w:b w:val="false"/>
                <w:i w:val="false"/>
                <w:color w:val="000000"/>
                <w:sz w:val="18"/>
                <w:vertAlign w:val="superscript"/>
              </w:rPr>
              <w:t>6</w:t>
            </w:r>
            <w:r>
              <w:rPr>
                <w:rFonts w:ascii="Times New Roman" w:hAnsi="Times New Roman"/>
                <w:b w:val="false"/>
                <w:i w:val="false"/>
                <w:color w:val="000000"/>
                <w:sz w:val="14"/>
              </w:rPr>
              <w:t>, 300.12</w:t>
            </w:r>
            <w:r>
              <w:rPr>
                <w:rFonts w:ascii="Times New Roman" w:hAnsi="Times New Roman"/>
                <w:b w:val="false"/>
                <w:i w:val="false"/>
                <w:color w:val="000000"/>
                <w:sz w:val="18"/>
                <w:vertAlign w:val="superscript"/>
              </w:rPr>
              <w:t>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D4327-97, 03, 11</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4110B</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4110 B-00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9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Manual distillation; colorimetric; SPADNS</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4500F-B,D</w:t>
            </w:r>
            <w:r>
              <w:rPr>
                <w:rFonts w:ascii="Times New Roman" w:hAnsi="Times New Roman"/>
                <w:b w:val="false"/>
                <w:i w:val="false"/>
                <w:color w:val="000000"/>
                <w:sz w:val="18"/>
                <w:vertAlign w:val="superscript"/>
              </w:rPr>
              <w:t>18,</w:t>
            </w:r>
            <w:r>
              <w:br/>
            </w:r>
            <w:r>
              <w:rPr>
                <w:rFonts w:ascii="Times New Roman" w:hAnsi="Times New Roman"/>
                <w:b w:val="false"/>
                <w:i w:val="false"/>
                <w:color w:val="000000"/>
                <w:sz w:val="18"/>
                <w:vertAlign w:val="superscript"/>
              </w:rPr>
              <w:t>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 F-B,D-97</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525"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Manual electrode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D1179-93B, 99B, D1179-04B, 10B</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4500F-C</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 F-C-97</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Fluoride</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Automated electrode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380-75WE</w:t>
            </w:r>
            <w:r>
              <w:rPr>
                <w:rFonts w:ascii="Times New Roman" w:hAnsi="Times New Roman"/>
                <w:b w:val="false"/>
                <w:i w:val="false"/>
                <w:color w:val="000000"/>
                <w:sz w:val="18"/>
                <w:vertAlign w:val="superscript"/>
              </w:rPr>
              <w:t>11</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Automated alizarin</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4500F-E</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 F-E-97</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129-71W</w:t>
            </w:r>
            <w:r>
              <w:rPr>
                <w:rFonts w:ascii="Times New Roman" w:hAnsi="Times New Roman"/>
                <w:b w:val="false"/>
                <w:i w:val="false"/>
                <w:color w:val="000000"/>
                <w:sz w:val="18"/>
                <w:vertAlign w:val="superscript"/>
              </w:rPr>
              <w:t>11</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Capillary ion electrophoresis</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D6508, Rev.2</w:t>
            </w:r>
            <w:r>
              <w:rPr>
                <w:rFonts w:ascii="Times New Roman" w:hAnsi="Times New Roman"/>
                <w:b w:val="false"/>
                <w:i w:val="false"/>
                <w:color w:val="000000"/>
                <w:sz w:val="18"/>
                <w:vertAlign w:val="superscript"/>
              </w:rPr>
              <w:t>24</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525"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Arsenite-free colorimetric; SPADNS</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Hach SPADNS 2 Method 10225</w:t>
            </w:r>
            <w:r>
              <w:rPr>
                <w:rFonts w:ascii="Times New Roman" w:hAnsi="Times New Roman"/>
                <w:b w:val="false"/>
                <w:i w:val="false"/>
                <w:color w:val="000000"/>
                <w:sz w:val="18"/>
                <w:vertAlign w:val="superscript"/>
              </w:rPr>
              <w:t>31</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direct</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D511-93, 03B, 09B, 14B</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 B-99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1</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3120B</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 B-99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63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Magnesium</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Complexation Titrimetric Methods</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D511-93, 03A, 09A, 14B</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3500-Mg E</w:t>
            </w:r>
            <w:r>
              <w:rPr>
                <w:rFonts w:ascii="Times New Roman" w:hAnsi="Times New Roman"/>
                <w:b w:val="false"/>
                <w:i w:val="false"/>
                <w:color w:val="000000"/>
                <w:sz w:val="18"/>
                <w:vertAlign w:val="superscript"/>
              </w:rPr>
              <w:t>4</w:t>
            </w:r>
            <w:r>
              <w:br/>
            </w:r>
            <w:r>
              <w:rPr>
                <w:rFonts w:ascii="Times New Roman" w:hAnsi="Times New Roman"/>
                <w:b w:val="false"/>
                <w:i w:val="false"/>
                <w:color w:val="000000"/>
                <w:sz w:val="14"/>
              </w:rPr>
              <w:t>3500-Mg B</w:t>
            </w:r>
            <w:r>
              <w:rPr>
                <w:rFonts w:ascii="Times New Roman" w:hAnsi="Times New Roman"/>
                <w:b w:val="false"/>
                <w:i w:val="false"/>
                <w:color w:val="000000"/>
                <w:sz w:val="18"/>
                <w:vertAlign w:val="superscript"/>
              </w:rPr>
              <w:t>19, 27, 33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3500-Mg B-97</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D6919-03, 09</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AVICP-AES</w:t>
            </w:r>
            <w:r>
              <w:rPr>
                <w:rFonts w:ascii="Times New Roman" w:hAnsi="Times New Roman"/>
                <w:b w:val="false"/>
                <w:i w:val="false"/>
                <w:color w:val="000000"/>
                <w:sz w:val="18"/>
                <w:vertAlign w:val="superscript"/>
              </w:rPr>
              <w:t>17</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 4.2</w:t>
            </w:r>
            <w:r>
              <w:rPr>
                <w:rFonts w:ascii="Times New Roman" w:hAnsi="Times New Roman"/>
                <w:b w:val="false"/>
                <w:i w:val="false"/>
                <w:color w:val="000000"/>
                <w:sz w:val="18"/>
                <w:vertAlign w:val="superscript"/>
              </w:rPr>
              <w:t>28</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Manual, cold vapor</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245.1</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D3223-97, 02, 12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3112B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3112 B-09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0.0002</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Mercury</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Automated, cold vapor</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245.2</w:t>
            </w:r>
            <w:r>
              <w:rPr>
                <w:rFonts w:ascii="Times New Roman" w:hAnsi="Times New Roman"/>
                <w:b w:val="false"/>
                <w:i w:val="false"/>
                <w:color w:val="000000"/>
                <w:sz w:val="18"/>
                <w:vertAlign w:val="superscript"/>
              </w:rPr>
              <w:t>1</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0.0002</w:t>
            </w:r>
          </w:p>
        </w:tc>
      </w:tr>
      <w:tr>
        <w:trPr>
          <w:trHeight w:val="24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ICP-MS</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3120B</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3120 B-99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0.005</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ICP-MS</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0.0005</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0.0006</w:t>
            </w:r>
            <w:r>
              <w:rPr>
                <w:rFonts w:ascii="Times New Roman" w:hAnsi="Times New Roman"/>
                <w:b w:val="false"/>
                <w:i w:val="false"/>
                <w:color w:val="000000"/>
                <w:sz w:val="18"/>
                <w:vertAlign w:val="superscript"/>
              </w:rPr>
              <w:t>12</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Nickel</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direct</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 B-99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10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0.001</w:t>
            </w:r>
          </w:p>
        </w:tc>
      </w:tr>
      <w:tr>
        <w:trPr>
          <w:trHeight w:val="24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AVICP-AES</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 4.2</w:t>
            </w:r>
            <w:r>
              <w:rPr>
                <w:rFonts w:ascii="Times New Roman" w:hAnsi="Times New Roman"/>
                <w:b w:val="false"/>
                <w:i w:val="false"/>
                <w:color w:val="000000"/>
                <w:sz w:val="18"/>
                <w:vertAlign w:val="superscript"/>
              </w:rPr>
              <w:t>28</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w:t>
            </w:r>
            <w:r>
              <w:rPr>
                <w:rFonts w:ascii="Times New Roman" w:hAnsi="Times New Roman"/>
                <w:b w:val="false"/>
                <w:i w:val="false"/>
                <w:color w:val="000000"/>
                <w:sz w:val="18"/>
                <w:vertAlign w:val="superscript"/>
              </w:rPr>
              <w:t>36</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300.0</w:t>
            </w:r>
            <w:r>
              <w:rPr>
                <w:rFonts w:ascii="Times New Roman" w:hAnsi="Times New Roman"/>
                <w:b w:val="false"/>
                <w:i w:val="false"/>
                <w:color w:val="000000"/>
                <w:sz w:val="18"/>
                <w:vertAlign w:val="superscript"/>
              </w:rPr>
              <w:t>6</w:t>
            </w:r>
            <w:r>
              <w:rPr>
                <w:rFonts w:ascii="Times New Roman" w:hAnsi="Times New Roman"/>
                <w:b w:val="false"/>
                <w:i w:val="false"/>
                <w:color w:val="000000"/>
                <w:sz w:val="14"/>
              </w:rPr>
              <w:t>, 300.1</w:t>
            </w:r>
            <w:r>
              <w:rPr>
                <w:rFonts w:ascii="Times New Roman" w:hAnsi="Times New Roman"/>
                <w:b w:val="false"/>
                <w:i w:val="false"/>
                <w:color w:val="000000"/>
                <w:sz w:val="18"/>
                <w:vertAlign w:val="superscript"/>
              </w:rPr>
              <w:t>23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D4327-97, 03, 11</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4110B</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4110 B-00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B-1011</w:t>
            </w:r>
            <w:r>
              <w:rPr>
                <w:rFonts w:ascii="Times New Roman" w:hAnsi="Times New Roman"/>
                <w:b w:val="false"/>
                <w:i w:val="false"/>
                <w:color w:val="000000"/>
                <w:sz w:val="18"/>
                <w:vertAlign w:val="superscript"/>
              </w:rPr>
              <w:t>8</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w:t>
            </w:r>
          </w:p>
        </w:tc>
      </w:tr>
      <w:tr>
        <w:trPr>
          <w:trHeight w:val="435"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Automated cadmium reduction</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353.2</w:t>
            </w:r>
            <w:r>
              <w:rPr>
                <w:rFonts w:ascii="Times New Roman" w:hAnsi="Times New Roman"/>
                <w:b w:val="false"/>
                <w:i w:val="false"/>
                <w:color w:val="000000"/>
                <w:sz w:val="18"/>
                <w:vertAlign w:val="superscript"/>
              </w:rPr>
              <w:t>6</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D3867-90A</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F</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-F-00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0.05</w:t>
            </w:r>
          </w:p>
        </w:tc>
      </w:tr>
      <w:tr>
        <w:trPr>
          <w:trHeight w:val="435"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Ion selective electrode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-D</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-D-00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601</w:t>
            </w:r>
            <w:r>
              <w:rPr>
                <w:rFonts w:ascii="Times New Roman" w:hAnsi="Times New Roman"/>
                <w:b w:val="false"/>
                <w:i w:val="false"/>
                <w:color w:val="000000"/>
                <w:sz w:val="18"/>
                <w:vertAlign w:val="superscript"/>
              </w:rPr>
              <w:t>7</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w:t>
            </w:r>
          </w:p>
        </w:tc>
      </w:tr>
      <w:tr>
        <w:trPr>
          <w:trHeight w:val="435"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Manual cadmium reduction</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D3867-90B</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-E-00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Nitrate</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Capillary ion electrophoresis</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D6508, Rev.2</w:t>
            </w:r>
            <w:r>
              <w:rPr>
                <w:rFonts w:ascii="Times New Roman" w:hAnsi="Times New Roman"/>
                <w:b w:val="false"/>
                <w:i w:val="false"/>
                <w:color w:val="000000"/>
                <w:sz w:val="18"/>
                <w:vertAlign w:val="superscript"/>
              </w:rPr>
              <w:t>24</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0.076</w:t>
            </w:r>
          </w:p>
        </w:tc>
      </w:tr>
      <w:tr>
        <w:trPr>
          <w:trHeight w:val="735"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Reduction/colorimetric</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Systea Easy (1-Reagent)</w:t>
            </w:r>
            <w:r>
              <w:rPr>
                <w:rFonts w:ascii="Times New Roman" w:hAnsi="Times New Roman"/>
                <w:b w:val="false"/>
                <w:i w:val="false"/>
                <w:color w:val="000000"/>
                <w:sz w:val="18"/>
                <w:vertAlign w:val="superscript"/>
              </w:rPr>
              <w:t>30</w:t>
            </w:r>
            <w:r>
              <w:rPr>
                <w:rFonts w:ascii="Times New Roman" w:hAnsi="Times New Roman"/>
                <w:b w:val="false"/>
                <w:i w:val="false"/>
                <w:color w:val="000000"/>
                <w:sz w:val="14"/>
              </w:rPr>
              <w:t xml:space="preserve"> NECi Nitrate-</w:t>
            </w:r>
            <w:r>
              <w:br/>
            </w:r>
            <w:r>
              <w:rPr>
                <w:rFonts w:ascii="Times New Roman" w:hAnsi="Times New Roman"/>
                <w:b w:val="false"/>
                <w:i w:val="false"/>
                <w:color w:val="000000"/>
                <w:sz w:val="14"/>
              </w:rPr>
              <w:t>Reductase</w:t>
            </w:r>
            <w:r>
              <w:rPr>
                <w:rFonts w:ascii="Times New Roman" w:hAnsi="Times New Roman"/>
                <w:b w:val="false"/>
                <w:i w:val="false"/>
                <w:color w:val="000000"/>
                <w:sz w:val="18"/>
                <w:vertAlign w:val="superscript"/>
              </w:rPr>
              <w:t>34</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585"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Colorimetric; direct</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Hach TNTplus</w:t>
            </w:r>
            <w:r>
              <w:rPr>
                <w:rFonts w:ascii="Times New Roman" w:hAnsi="Times New Roman"/>
                <w:b w:val="false"/>
                <w:i w:val="false"/>
                <w:color w:val="000000"/>
                <w:sz w:val="18"/>
                <w:vertAlign w:val="superscript"/>
              </w:rPr>
              <w:t>TM</w:t>
            </w:r>
            <w:r>
              <w:rPr>
                <w:rFonts w:ascii="Times New Roman" w:hAnsi="Times New Roman"/>
                <w:b w:val="false"/>
                <w:i w:val="false"/>
                <w:color w:val="000000"/>
                <w:sz w:val="14"/>
              </w:rPr>
              <w:t xml:space="preserve"> 835/836 Method 10206</w:t>
            </w:r>
            <w:r>
              <w:rPr>
                <w:rFonts w:ascii="Times New Roman" w:hAnsi="Times New Roman"/>
                <w:b w:val="false"/>
                <w:i w:val="false"/>
                <w:color w:val="000000"/>
                <w:sz w:val="18"/>
                <w:vertAlign w:val="superscript"/>
              </w:rPr>
              <w:t>32</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w:t>
            </w:r>
            <w:r>
              <w:rPr>
                <w:rFonts w:ascii="Times New Roman" w:hAnsi="Times New Roman"/>
                <w:b w:val="false"/>
                <w:i w:val="false"/>
                <w:color w:val="000000"/>
                <w:sz w:val="18"/>
                <w:vertAlign w:val="superscript"/>
              </w:rPr>
              <w:t>36</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300.0</w:t>
            </w:r>
            <w:r>
              <w:rPr>
                <w:rFonts w:ascii="Times New Roman" w:hAnsi="Times New Roman"/>
                <w:b w:val="false"/>
                <w:i w:val="false"/>
                <w:color w:val="000000"/>
                <w:sz w:val="18"/>
                <w:vertAlign w:val="superscript"/>
              </w:rPr>
              <w:t>6</w:t>
            </w:r>
            <w:r>
              <w:rPr>
                <w:rFonts w:ascii="Times New Roman" w:hAnsi="Times New Roman"/>
                <w:b w:val="false"/>
                <w:i w:val="false"/>
                <w:color w:val="000000"/>
                <w:sz w:val="14"/>
              </w:rPr>
              <w:t>, 300.1</w:t>
            </w:r>
            <w:r>
              <w:rPr>
                <w:rFonts w:ascii="Times New Roman" w:hAnsi="Times New Roman"/>
                <w:b w:val="false"/>
                <w:i w:val="false"/>
                <w:color w:val="000000"/>
                <w:sz w:val="18"/>
                <w:vertAlign w:val="superscript"/>
              </w:rPr>
              <w:t>23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D4327-97, 03, 11</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4110B</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4110 B-00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B-1011</w:t>
            </w:r>
            <w:r>
              <w:rPr>
                <w:rFonts w:ascii="Times New Roman" w:hAnsi="Times New Roman"/>
                <w:b w:val="false"/>
                <w:i w:val="false"/>
                <w:color w:val="000000"/>
                <w:sz w:val="18"/>
                <w:vertAlign w:val="superscript"/>
              </w:rPr>
              <w:t>8</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0.004</w:t>
            </w:r>
          </w:p>
        </w:tc>
      </w:tr>
      <w:tr>
        <w:trPr>
          <w:trHeight w:val="435"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Automated cadmium reduction</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353.2</w:t>
            </w:r>
            <w:r>
              <w:rPr>
                <w:rFonts w:ascii="Times New Roman" w:hAnsi="Times New Roman"/>
                <w:b w:val="false"/>
                <w:i w:val="false"/>
                <w:color w:val="000000"/>
                <w:sz w:val="18"/>
                <w:vertAlign w:val="superscript"/>
              </w:rPr>
              <w:t>6</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D3867-90A</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-F</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-F-00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0.05</w:t>
            </w:r>
          </w:p>
        </w:tc>
      </w:tr>
      <w:tr>
        <w:trPr>
          <w:trHeight w:val="435"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Manual cadmium reduction</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D3867-90B</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-E-00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w:t>
            </w:r>
          </w:p>
        </w:tc>
      </w:tr>
      <w:tr>
        <w:trPr>
          <w:trHeight w:val="435"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Nitrite</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Spectrophotometric</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-B</w:t>
            </w:r>
            <w:r>
              <w:rPr>
                <w:rFonts w:ascii="Times New Roman" w:hAnsi="Times New Roman"/>
                <w:b w:val="false"/>
                <w:i w:val="false"/>
                <w:color w:val="000000"/>
                <w:sz w:val="18"/>
                <w:vertAlign w:val="superscript"/>
              </w:rPr>
              <w:t>18, 27, 33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4500-NO</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-B-00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Capillary ion electrophoresis</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D6508, Rev.</w:t>
            </w:r>
            <w:r>
              <w:rPr>
                <w:rFonts w:ascii="Times New Roman" w:hAnsi="Times New Roman"/>
                <w:b w:val="false"/>
                <w:i w:val="false"/>
                <w:color w:val="000000"/>
                <w:sz w:val="14"/>
              </w:rPr>
              <w:t> </w:t>
            </w:r>
          </w:p>
          <w:p>
            <w:pPr>
              <w:spacing w:before="0" w:after="0"/>
              <w:ind w:left="0"/>
              <w:jc w:val="left"/>
            </w:pPr>
            <w:r>
              <w:rPr>
                <w:rFonts w:ascii="Times New Roman" w:hAnsi="Times New Roman"/>
                <w:b w:val="false"/>
                <w:i w:val="false"/>
                <w:color w:val="000000"/>
                <w:sz w:val="14"/>
              </w:rPr>
              <w:t>2</w:t>
            </w:r>
            <w:r>
              <w:rPr>
                <w:rFonts w:ascii="Times New Roman" w:hAnsi="Times New Roman"/>
                <w:b w:val="false"/>
                <w:i w:val="false"/>
                <w:color w:val="000000"/>
                <w:sz w:val="18"/>
                <w:vertAlign w:val="superscript"/>
              </w:rPr>
              <w:t>24</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0.103</w:t>
            </w:r>
          </w:p>
        </w:tc>
      </w:tr>
      <w:tr>
        <w:trPr>
          <w:trHeight w:val="735"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Reduction/colorimetric</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Systea Easy (1-Reagent)</w:t>
            </w:r>
            <w:r>
              <w:rPr>
                <w:rFonts w:ascii="Times New Roman" w:hAnsi="Times New Roman"/>
                <w:b w:val="false"/>
                <w:i w:val="false"/>
                <w:color w:val="000000"/>
                <w:sz w:val="18"/>
                <w:vertAlign w:val="superscript"/>
              </w:rPr>
              <w:t>30</w:t>
            </w:r>
            <w:r>
              <w:br/>
            </w:r>
            <w:r>
              <w:rPr>
                <w:rFonts w:ascii="Times New Roman" w:hAnsi="Times New Roman"/>
                <w:b w:val="false"/>
                <w:i w:val="false"/>
                <w:color w:val="000000"/>
                <w:sz w:val="14"/>
              </w:rPr>
              <w:t>NECi Nitrate-</w:t>
            </w:r>
            <w:r>
              <w:br/>
            </w:r>
            <w:r>
              <w:rPr>
                <w:rFonts w:ascii="Times New Roman" w:hAnsi="Times New Roman"/>
                <w:b w:val="false"/>
                <w:i w:val="false"/>
                <w:color w:val="000000"/>
                <w:sz w:val="14"/>
              </w:rPr>
              <w:t>Reductase</w:t>
            </w:r>
            <w:r>
              <w:rPr>
                <w:rFonts w:ascii="Times New Roman" w:hAnsi="Times New Roman"/>
                <w:b w:val="false"/>
                <w:i w:val="false"/>
                <w:color w:val="000000"/>
                <w:sz w:val="18"/>
                <w:vertAlign w:val="superscript"/>
              </w:rPr>
              <w:t>34</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hydride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D3859-98, 03A, 08A</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3114B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3114 B-09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0.002</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ICP-MS</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Selenium</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furnace</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D3859-98, 03B, 08B</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3113 B-04, 10</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0.002</w:t>
            </w:r>
          </w:p>
        </w:tc>
      </w:tr>
      <w:tr>
        <w:trPr>
          <w:trHeight w:val="24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AVICP-AES</w:t>
            </w:r>
            <w:r>
              <w:rPr>
                <w:rFonts w:ascii="Times New Roman" w:hAnsi="Times New Roman"/>
                <w:b w:val="false"/>
                <w:i w:val="false"/>
                <w:color w:val="000000"/>
                <w:sz w:val="18"/>
                <w:vertAlign w:val="superscript"/>
              </w:rPr>
              <w:t>17</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 4.2</w:t>
            </w:r>
            <w:r>
              <w:rPr>
                <w:rFonts w:ascii="Times New Roman" w:hAnsi="Times New Roman"/>
                <w:b w:val="false"/>
                <w:i w:val="false"/>
                <w:color w:val="000000"/>
                <w:sz w:val="18"/>
                <w:vertAlign w:val="superscript"/>
              </w:rPr>
              <w:t>28</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200.7</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direct</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3111B</w:t>
            </w:r>
            <w:r>
              <w:rPr>
                <w:rFonts w:ascii="Times New Roman" w:hAnsi="Times New Roman"/>
                <w:b w:val="false"/>
                <w:i w:val="false"/>
                <w:color w:val="000000"/>
                <w:sz w:val="18"/>
                <w:vertAlign w:val="superscript"/>
              </w:rPr>
              <w:t>4, 27, 33</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3111 B-99</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Sodium</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w:t>
            </w:r>
            <w:r>
              <w:rPr>
                <w:rFonts w:ascii="Times New Roman" w:hAnsi="Times New Roman"/>
                <w:b w:val="false"/>
                <w:i w:val="false"/>
                <w:color w:val="000000"/>
                <w:sz w:val="18"/>
                <w:vertAlign w:val="superscript"/>
              </w:rPr>
              <w:t>36</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D6919-03, 09</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40" w:hRule="atLeast"/>
        </w:trPr>
        <w:tc>
          <w:tcPr>
            <w:tcW w:w="11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AVICP-AES</w:t>
            </w:r>
            <w:r>
              <w:rPr>
                <w:rFonts w:ascii="Times New Roman" w:hAnsi="Times New Roman"/>
                <w:b w:val="false"/>
                <w:i w:val="false"/>
                <w:color w:val="000000"/>
                <w:sz w:val="18"/>
                <w:vertAlign w:val="superscript"/>
              </w:rPr>
              <w:t>17</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200.5, Rev. 4.2</w:t>
            </w:r>
            <w:r>
              <w:rPr>
                <w:rFonts w:ascii="Times New Roman" w:hAnsi="Times New Roman"/>
                <w:b w:val="false"/>
                <w:i w:val="false"/>
                <w:color w:val="000000"/>
                <w:sz w:val="18"/>
                <w:vertAlign w:val="superscript"/>
              </w:rPr>
              <w:t>28</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15"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ICP-MS</w:t>
            </w:r>
            <w:r>
              <w:rPr>
                <w:rFonts w:ascii="Times New Roman" w:hAnsi="Times New Roman"/>
                <w:b w:val="false"/>
                <w:i w:val="false"/>
                <w:color w:val="000000"/>
                <w:sz w:val="18"/>
                <w:vertAlign w:val="superscript"/>
              </w:rPr>
              <w:t>35</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200.8</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11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w:t>
            </w:r>
          </w:p>
        </w:tc>
        <w:tc>
          <w:tcPr>
            <w:tcW w:w="20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Atomic absorption; platform</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200.9</w:t>
            </w:r>
            <w:r>
              <w:rPr>
                <w:rFonts w:ascii="Times New Roman" w:hAnsi="Times New Roman"/>
                <w:b w:val="false"/>
                <w:i w:val="false"/>
                <w:color w:val="000000"/>
                <w:sz w:val="18"/>
                <w:vertAlign w:val="superscript"/>
              </w:rPr>
              <w:t>2</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4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1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0.0007</w:t>
            </w:r>
            <w:r>
              <w:rPr>
                <w:rFonts w:ascii="Times New Roman" w:hAnsi="Times New Roman"/>
                <w:b w:val="false"/>
                <w:i w:val="false"/>
                <w:color w:val="000000"/>
                <w:sz w:val="18"/>
                <w:vertAlign w:val="superscript"/>
              </w:rPr>
              <w:t>12</w:t>
            </w:r>
          </w:p>
        </w:tc>
      </w:tr>
    </w:tbl>
    <w:p>
      <w:pPr>
        <w:spacing w:before="0" w:after="0"/>
        <w:ind w:left="120"/>
        <w:jc w:val="both"/>
      </w:pPr>
      <w:r>
        <w:rPr>
          <w:rFonts w:ascii="Times New Roman" w:hAnsi="Times New Roman"/>
          <w:b w:val="false"/>
          <w:i w:val="false"/>
          <w:color w:val="000000"/>
          <w:sz w:val="16"/>
        </w:rPr>
        <w:t xml:space="preserve">The procedures shall be done in accordance with the documents listed below. The incorporation by reference of the following documents was approved by the Director of the Federal Register in accordance with </w:t>
      </w:r>
      <w:r>
        <w:rPr>
          <w:rFonts w:ascii="Times New Roman" w:hAnsi="Times New Roman"/>
          <w:b w:val="false"/>
          <w:i w:val="false"/>
          <w:color w:val="000000"/>
          <w:sz w:val="16"/>
        </w:rPr>
        <w:t>5 U.S.C. 552(a)</w:t>
      </w:r>
      <w:r>
        <w:rPr>
          <w:rFonts w:ascii="Times New Roman" w:hAnsi="Times New Roman"/>
          <w:b w:val="false"/>
          <w:i w:val="false"/>
          <w:color w:val="000000"/>
          <w:sz w:val="16"/>
        </w:rPr>
        <w:t xml:space="preserve"> and </w:t>
      </w:r>
      <w:r>
        <w:rPr>
          <w:rFonts w:ascii="Times New Roman" w:hAnsi="Times New Roman"/>
          <w:b w:val="false"/>
          <w:i w:val="false"/>
          <w:color w:val="000000"/>
          <w:sz w:val="16"/>
        </w:rPr>
        <w:t>1 CFR Part 51</w:t>
      </w:r>
      <w:r>
        <w:rPr>
          <w:rFonts w:ascii="Times New Roman" w:hAnsi="Times New Roman"/>
          <w:b w:val="false"/>
          <w:i w:val="false"/>
          <w:color w:val="000000"/>
          <w:sz w:val="16"/>
        </w:rPr>
        <w:t xml:space="preserve">. Copies may be obtained from the sources listed below. Information regarding the documents can be obtained from the Safe Drinking Water Hotline at 800.426.4791. Documents may be inspected at EPA’s Drinking Water Docket or at the Office of Federal Register. </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“Methods for Chemical Analysis of Water and Wastes,” EPA-600/4-79-020, March 1983. NTIS, PB84-128677.</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“Methods for the Determination of Metals in Environmental Samples—Supplement I,” EPA-600/R-94-111, May 1994. NTIS, PB95-125472.</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ASTM, 1994, 1996, 1999 or 2003, Vols. 11.01 and 11.02; the methods listed are the only versions that may be used. </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18th and 19th editions, SM, 1992 and 1995, respectively.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Techniques of Water Resources Investigation of the USGS, Book 5, Chapter A-1, 3rd edition, 1989, Method I-3300-85. Information Services, USGS, Federal Center, Box 25286, Denver, CO 80225-0425.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“Methods for the Determination of Inorganic Substances in Environmental Samples,” EPA-600-R-93-100, August 1993. NTIS, PB94-120821.</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The procedure shall be done in accordance with the Technical Bulletin 601, “Standard Method of Test for Nitrate in Drinking Water,” July 1994, PN221890-001, Analytical Technology, Inc. ATI Orion, 529 Main Street, Boston, MA 02129. </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Method B-1011, “Waters Test Method for Determination of Nitrite/Nitrate in Water Using Single Column Ion Chromatography,” August 1987. Waters Corporation, Technical Services Division, 34 Maple Street, Milford, MA 01757. </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 xml:space="preserve">Method 100.1, “Analytical Method for Determination of Asbestos Fibers in Water,” EPA-600/4-83-043, EPA, September 1983. NTIS, PB83-260471. </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Method 100.2, “Determination of Asbestos Structure Over 10 Microns in Length in Drinking Water,” EPA-600/R-94-134, June 1994. NTIS, PB94-201902. </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Industrial Method No. 129-71W, “Fluoride in Water and Wastewater,” December 1972, and Method No. 380-75WE, “Fluoride in Water and Wastewater,” February 1976, Technicon Industrial Systems. Bran &amp; Luebbe, 1025 Busch Parkway, Buffalo Grove, IL 60089. </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 xml:space="preserve">Lower MDLs are reported using stabilized temperature graphite furnace atomic absorption. </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 xml:space="preserve">Screening method for total cyanides. </w:t>
      </w:r>
    </w:p>
    <w:p>
      <w:pPr>
        <w:spacing w:before="0" w:after="0"/>
        <w:ind w:left="120"/>
        <w:jc w:val="both"/>
      </w:pPr>
      <w:r>
        <w:rPr>
          <w:rFonts w:ascii="Times New Roman" w:hAnsi="Times New Roman"/>
          <w:b w:val="false"/>
          <w:i w:val="false"/>
          <w:color w:val="000000"/>
          <w:sz w:val="18"/>
          <w:vertAlign w:val="superscript"/>
        </w:rPr>
        <w:t>14</w:t>
      </w:r>
      <w:r>
        <w:rPr>
          <w:rFonts w:ascii="Times New Roman" w:hAnsi="Times New Roman"/>
          <w:b w:val="false"/>
          <w:i w:val="false"/>
          <w:color w:val="000000"/>
          <w:sz w:val="16"/>
        </w:rPr>
        <w:t xml:space="preserve">Measures “free” cyanides when distillation, digestion, or ligand exchange is omitted. </w:t>
      </w:r>
    </w:p>
    <w:p>
      <w:pPr>
        <w:spacing w:before="0" w:after="0"/>
        <w:ind w:left="120"/>
        <w:jc w:val="both"/>
      </w:pPr>
      <w:r>
        <w:rPr>
          <w:rFonts w:ascii="Times New Roman" w:hAnsi="Times New Roman"/>
          <w:b w:val="false"/>
          <w:i w:val="false"/>
          <w:color w:val="000000"/>
          <w:sz w:val="18"/>
          <w:vertAlign w:val="superscript"/>
        </w:rPr>
        <w:t>15</w:t>
      </w:r>
      <w:r>
        <w:rPr>
          <w:rFonts w:ascii="Times New Roman" w:hAnsi="Times New Roman"/>
          <w:b w:val="false"/>
          <w:i w:val="false"/>
          <w:color w:val="000000"/>
          <w:sz w:val="16"/>
        </w:rPr>
        <w:t xml:space="preserve">Because MDLs reported in EPA Methods 200.7 and 200.9 were determined using a 2X preconcentration step during sample digestion, MDLs determined when samples are analyzed by direct analysis (i.e., no sample digestion) will be higher. For direct analysis of cadmium by Method 200.7, sample preconcentration using pneumatic nebulization may be required to achieve lower detection limits. Preconcentration may also be required for direct analysis of antimony and thallium by Method 200.9, and antimony by Method 3113B, unless multiple in-furnace depositions are made. </w:t>
      </w:r>
    </w:p>
    <w:p>
      <w:pPr>
        <w:spacing w:before="0" w:after="0"/>
        <w:ind w:left="120"/>
        <w:jc w:val="both"/>
      </w:pPr>
      <w:r>
        <w:rPr>
          <w:rFonts w:ascii="Times New Roman" w:hAnsi="Times New Roman"/>
          <w:b w:val="false"/>
          <w:i w:val="false"/>
          <w:color w:val="000000"/>
          <w:sz w:val="18"/>
          <w:vertAlign w:val="superscript"/>
        </w:rPr>
        <w:t>16</w:t>
      </w:r>
      <w:r>
        <w:rPr>
          <w:rFonts w:ascii="Times New Roman" w:hAnsi="Times New Roman"/>
          <w:b w:val="false"/>
          <w:i w:val="false"/>
          <w:color w:val="000000"/>
          <w:sz w:val="16"/>
        </w:rPr>
        <w:t xml:space="preserve">If ultrasonic nebulization is used in arsenic determination by Method 200.8, the arsenic must be in the pentavalent state to provide uniform signal response. For direct analysis of arsenic with Method 200.8 using ultrasonic nebulization, samples and standards must contain 1 mg/L of sodium hypochlorite. </w:t>
      </w:r>
    </w:p>
    <w:p>
      <w:pPr>
        <w:spacing w:before="0" w:after="0"/>
        <w:ind w:left="120"/>
        <w:jc w:val="both"/>
      </w:pPr>
      <w:r>
        <w:rPr>
          <w:rFonts w:ascii="Times New Roman" w:hAnsi="Times New Roman"/>
          <w:b w:val="false"/>
          <w:i w:val="false"/>
          <w:color w:val="000000"/>
          <w:sz w:val="18"/>
          <w:vertAlign w:val="superscript"/>
        </w:rPr>
        <w:t>17</w:t>
      </w:r>
      <w:r>
        <w:rPr>
          <w:rFonts w:ascii="Times New Roman" w:hAnsi="Times New Roman"/>
          <w:b w:val="false"/>
          <w:i w:val="false"/>
          <w:color w:val="000000"/>
          <w:sz w:val="16"/>
        </w:rPr>
        <w:t xml:space="preserve">AVICP-AES means axially viewed inductively coupled plasma-atomic emission spectrometry. </w:t>
      </w:r>
    </w:p>
    <w:p>
      <w:pPr>
        <w:spacing w:before="0" w:after="0"/>
        <w:ind w:left="120"/>
        <w:jc w:val="both"/>
      </w:pPr>
      <w:r>
        <w:rPr>
          <w:rFonts w:ascii="Times New Roman" w:hAnsi="Times New Roman"/>
          <w:b w:val="false"/>
          <w:i w:val="false"/>
          <w:color w:val="000000"/>
          <w:sz w:val="18"/>
          <w:vertAlign w:val="superscript"/>
        </w:rPr>
        <w:t>18</w:t>
      </w:r>
      <w:r>
        <w:rPr>
          <w:rFonts w:ascii="Times New Roman" w:hAnsi="Times New Roman"/>
          <w:b w:val="false"/>
          <w:i w:val="false"/>
          <w:color w:val="000000"/>
          <w:sz w:val="16"/>
        </w:rPr>
        <w:t>18th, 19th, and 20th editions, SM, 1992, 1995, and 1998, respectively.</w:t>
      </w:r>
    </w:p>
    <w:p>
      <w:pPr>
        <w:spacing w:before="0" w:after="0"/>
        <w:ind w:left="120"/>
        <w:jc w:val="both"/>
      </w:pPr>
      <w:r>
        <w:rPr>
          <w:rFonts w:ascii="Times New Roman" w:hAnsi="Times New Roman"/>
          <w:b w:val="false"/>
          <w:i w:val="false"/>
          <w:color w:val="000000"/>
          <w:sz w:val="18"/>
          <w:vertAlign w:val="superscript"/>
        </w:rPr>
        <w:t>19</w:t>
      </w:r>
      <w:r>
        <w:rPr>
          <w:rFonts w:ascii="Times New Roman" w:hAnsi="Times New Roman"/>
          <w:b w:val="false"/>
          <w:i w:val="false"/>
          <w:color w:val="000000"/>
          <w:sz w:val="16"/>
        </w:rPr>
        <w:t xml:space="preserve">20th edition, SM, 1998. </w:t>
      </w:r>
    </w:p>
    <w:p>
      <w:pPr>
        <w:spacing w:before="0" w:after="0"/>
        <w:ind w:left="120"/>
        <w:jc w:val="both"/>
      </w:pPr>
      <w:r>
        <w:rPr>
          <w:rFonts w:ascii="Times New Roman" w:hAnsi="Times New Roman"/>
          <w:b w:val="false"/>
          <w:i w:val="false"/>
          <w:color w:val="000000"/>
          <w:sz w:val="18"/>
          <w:vertAlign w:val="superscript"/>
        </w:rPr>
        <w:t>20</w:t>
      </w:r>
      <w:r>
        <w:rPr>
          <w:rFonts w:ascii="Times New Roman" w:hAnsi="Times New Roman"/>
          <w:b w:val="false"/>
          <w:i w:val="false"/>
          <w:color w:val="000000"/>
          <w:sz w:val="16"/>
        </w:rPr>
        <w:t xml:space="preserve">Kelada 01 Method, “Kelada Automated Test Methods for Total Cyanide, Acid Dissociable Cyanide, and Thiocyanate,” Revision 1.2, August 2001, EPA #821-B-01-009 for cyanide, NTIS PB 2001-108275. Note: A 450W UV lamp may be used in this method instead of the 550W lamp specified if it provides performance within the quality control acceptance criteria of the method in a given instrument. Similarly, modified flow cell configurations and flow conditions may be used in the method, provided that the quality control acceptance criteria are met. </w:t>
      </w:r>
    </w:p>
    <w:p>
      <w:pPr>
        <w:spacing w:before="0" w:after="0"/>
        <w:ind w:left="120"/>
        <w:jc w:val="both"/>
      </w:pPr>
      <w:r>
        <w:rPr>
          <w:rFonts w:ascii="Times New Roman" w:hAnsi="Times New Roman"/>
          <w:b w:val="false"/>
          <w:i w:val="false"/>
          <w:color w:val="000000"/>
          <w:sz w:val="18"/>
          <w:vertAlign w:val="superscript"/>
        </w:rPr>
        <w:t>21</w:t>
      </w:r>
      <w:r>
        <w:rPr>
          <w:rFonts w:ascii="Times New Roman" w:hAnsi="Times New Roman"/>
          <w:b w:val="false"/>
          <w:i w:val="false"/>
          <w:color w:val="000000"/>
          <w:sz w:val="16"/>
        </w:rPr>
        <w:t xml:space="preserve">QuikChem Method 10-204-00-1-X, “Digestion and distillation of total cyanide in drinking water and wastewaters using MICRO DIST and determination of cyanide by flow injection analysis,” Revision 2.1, November 30, 2000, Lachat Instruments, 6645 W. Mill Road, Milwaukee, WI 53218. </w:t>
      </w:r>
    </w:p>
    <w:p>
      <w:pPr>
        <w:spacing w:before="0" w:after="0"/>
        <w:ind w:left="120"/>
        <w:jc w:val="both"/>
      </w:pPr>
      <w:r>
        <w:rPr>
          <w:rFonts w:ascii="Times New Roman" w:hAnsi="Times New Roman"/>
          <w:b w:val="false"/>
          <w:i w:val="false"/>
          <w:color w:val="000000"/>
          <w:sz w:val="18"/>
          <w:vertAlign w:val="superscript"/>
        </w:rPr>
        <w:t>22</w:t>
      </w:r>
      <w:r>
        <w:rPr>
          <w:rFonts w:ascii="Times New Roman" w:hAnsi="Times New Roman"/>
          <w:b w:val="false"/>
          <w:i w:val="false"/>
          <w:color w:val="000000"/>
          <w:sz w:val="16"/>
        </w:rPr>
        <w:t xml:space="preserve">Measures total cyanides when UV-digestor is used, and “free” cyanides when UV-digestor is bypassed. </w:t>
      </w:r>
    </w:p>
    <w:p>
      <w:pPr>
        <w:spacing w:before="0" w:after="0"/>
        <w:ind w:left="120"/>
        <w:jc w:val="both"/>
      </w:pPr>
      <w:r>
        <w:rPr>
          <w:rFonts w:ascii="Times New Roman" w:hAnsi="Times New Roman"/>
          <w:b w:val="false"/>
          <w:i w:val="false"/>
          <w:color w:val="000000"/>
          <w:sz w:val="18"/>
          <w:vertAlign w:val="superscript"/>
        </w:rPr>
        <w:t>23</w:t>
      </w:r>
      <w:r>
        <w:rPr>
          <w:rFonts w:ascii="Times New Roman" w:hAnsi="Times New Roman"/>
          <w:b w:val="false"/>
          <w:i w:val="false"/>
          <w:color w:val="000000"/>
          <w:sz w:val="16"/>
        </w:rPr>
        <w:t xml:space="preserve">“Methods for the Determination of Organic and Inorganic Compounds in Drinking Water,” Volume 1, EPA 815-R-00-014, August 2000. NTIC, PB2000-106981. </w:t>
      </w:r>
    </w:p>
    <w:p>
      <w:pPr>
        <w:spacing w:before="0" w:after="0"/>
        <w:ind w:left="120"/>
        <w:jc w:val="both"/>
      </w:pPr>
      <w:r>
        <w:rPr>
          <w:rFonts w:ascii="Times New Roman" w:hAnsi="Times New Roman"/>
          <w:b w:val="false"/>
          <w:i w:val="false"/>
          <w:color w:val="000000"/>
          <w:sz w:val="18"/>
          <w:vertAlign w:val="superscript"/>
        </w:rPr>
        <w:t>24</w:t>
      </w:r>
      <w:r>
        <w:rPr>
          <w:rFonts w:ascii="Times New Roman" w:hAnsi="Times New Roman"/>
          <w:b w:val="false"/>
          <w:i w:val="false"/>
          <w:color w:val="000000"/>
          <w:sz w:val="16"/>
        </w:rPr>
        <w:t xml:space="preserve">Method D6508, Rev. 2, “Test Method for Determination of Dissolved Inorganic Anions in Aqueous Matrices Using Capillary Ion Electrophoresis and Chromate Electrolyte,” Waters Corp., 34 Maple Street, Milford, MA 01757. </w:t>
      </w:r>
    </w:p>
    <w:p>
      <w:pPr>
        <w:spacing w:before="0" w:after="0"/>
        <w:ind w:left="120"/>
        <w:jc w:val="both"/>
      </w:pPr>
      <w:r>
        <w:rPr>
          <w:rFonts w:ascii="Times New Roman" w:hAnsi="Times New Roman"/>
          <w:b w:val="false"/>
          <w:i w:val="false"/>
          <w:color w:val="000000"/>
          <w:sz w:val="18"/>
          <w:vertAlign w:val="superscript"/>
        </w:rPr>
        <w:t>25</w:t>
      </w:r>
      <w:r>
        <w:rPr>
          <w:rFonts w:ascii="Times New Roman" w:hAnsi="Times New Roman"/>
          <w:b w:val="false"/>
          <w:i w:val="false"/>
          <w:color w:val="000000"/>
          <w:sz w:val="16"/>
        </w:rPr>
        <w:t xml:space="preserve">Method OIA-1677, DW “Available Cyanide by Flow Injection, Ligand Exchange, and Amperometry,” January 2004. EPA-821-R-04-001. ALPKEM, a division of OI Analytical, P.O. Box 9010, College Station, TX 77542-9010. </w:t>
      </w:r>
    </w:p>
    <w:p>
      <w:pPr>
        <w:spacing w:before="0" w:after="0"/>
        <w:ind w:left="120"/>
        <w:jc w:val="both"/>
      </w:pPr>
      <w:r>
        <w:rPr>
          <w:rFonts w:ascii="Times New Roman" w:hAnsi="Times New Roman"/>
          <w:b w:val="false"/>
          <w:i w:val="false"/>
          <w:color w:val="000000"/>
          <w:sz w:val="18"/>
          <w:vertAlign w:val="superscript"/>
        </w:rPr>
        <w:t>26</w:t>
      </w:r>
      <w:r>
        <w:rPr>
          <w:rFonts w:ascii="Times New Roman" w:hAnsi="Times New Roman"/>
          <w:b w:val="false"/>
          <w:i w:val="false"/>
          <w:color w:val="000000"/>
          <w:sz w:val="16"/>
        </w:rPr>
        <w:t xml:space="preserve">SM Online. The year that each method was approved is designated by the last two digits in the method number. The methods listed are the only online versions that may be used. </w:t>
      </w:r>
    </w:p>
    <w:p>
      <w:pPr>
        <w:spacing w:before="0" w:after="0"/>
        <w:ind w:left="120"/>
        <w:jc w:val="both"/>
      </w:pPr>
      <w:r>
        <w:rPr>
          <w:rFonts w:ascii="Times New Roman" w:hAnsi="Times New Roman"/>
          <w:b w:val="false"/>
          <w:i w:val="false"/>
          <w:color w:val="000000"/>
          <w:sz w:val="18"/>
          <w:vertAlign w:val="superscript"/>
        </w:rPr>
        <w:t>27</w:t>
      </w:r>
      <w:r>
        <w:rPr>
          <w:rFonts w:ascii="Times New Roman" w:hAnsi="Times New Roman"/>
          <w:b w:val="false"/>
          <w:i w:val="false"/>
          <w:color w:val="000000"/>
          <w:sz w:val="16"/>
        </w:rPr>
        <w:t xml:space="preserve">SM, 21st edition (2005). </w:t>
      </w:r>
    </w:p>
    <w:p>
      <w:pPr>
        <w:spacing w:before="0" w:after="0"/>
        <w:ind w:left="120"/>
        <w:jc w:val="both"/>
      </w:pPr>
      <w:r>
        <w:rPr>
          <w:rFonts w:ascii="Times New Roman" w:hAnsi="Times New Roman"/>
          <w:b w:val="false"/>
          <w:i w:val="false"/>
          <w:color w:val="000000"/>
          <w:sz w:val="18"/>
          <w:vertAlign w:val="superscript"/>
        </w:rPr>
        <w:t>28</w:t>
      </w:r>
      <w:r>
        <w:rPr>
          <w:rFonts w:ascii="Times New Roman" w:hAnsi="Times New Roman"/>
          <w:b w:val="false"/>
          <w:i w:val="false"/>
          <w:color w:val="000000"/>
          <w:sz w:val="16"/>
        </w:rPr>
        <w:t xml:space="preserve">EPA Method 200.5, Revision 4.2: “Determination of Trace Elements in Drinking Water by Axially Viewed Inductively Coupled Plasma-Atomic Emission Spectrometry,” 2003. EPA/600/R-06/115, </w:t>
      </w:r>
      <w:hyperlink r:id="rId100">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29</w:t>
      </w:r>
      <w:r>
        <w:rPr>
          <w:rFonts w:ascii="Times New Roman" w:hAnsi="Times New Roman"/>
          <w:b w:val="false"/>
          <w:i w:val="false"/>
          <w:color w:val="000000"/>
          <w:sz w:val="16"/>
        </w:rPr>
        <w:t xml:space="preserve">Method ME355.01, Revision 1.0, “Determination of Cyanide in Drinking Water by GC/MS Headspace,” May 26, 2009, </w:t>
      </w:r>
      <w:hyperlink r:id="rId101">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H &amp; E Testing Laboratory, 221 State Street, Augusta, ME 04333. </w:t>
      </w:r>
    </w:p>
    <w:p>
      <w:pPr>
        <w:spacing w:before="0" w:after="0"/>
        <w:ind w:left="120"/>
        <w:jc w:val="both"/>
      </w:pPr>
      <w:r>
        <w:rPr>
          <w:rFonts w:ascii="Times New Roman" w:hAnsi="Times New Roman"/>
          <w:b w:val="false"/>
          <w:i w:val="false"/>
          <w:color w:val="000000"/>
          <w:sz w:val="18"/>
          <w:vertAlign w:val="superscript"/>
        </w:rPr>
        <w:t>30</w:t>
      </w:r>
      <w:r>
        <w:rPr>
          <w:rFonts w:ascii="Times New Roman" w:hAnsi="Times New Roman"/>
          <w:b w:val="false"/>
          <w:i w:val="false"/>
          <w:color w:val="000000"/>
          <w:sz w:val="16"/>
        </w:rPr>
        <w:t xml:space="preserve">Systea Easy (1-Reagent), “Systea Easy (1-Reagent) Nitrate Method,” February 4, 2009, </w:t>
      </w:r>
      <w:hyperlink r:id="rId102">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Systea Scientific, LLC, 900 Jorie Blvd., Suite 35, Oak Brook, IL 60523. </w:t>
      </w:r>
    </w:p>
    <w:p>
      <w:pPr>
        <w:spacing w:before="0" w:after="0"/>
        <w:ind w:left="120"/>
        <w:jc w:val="both"/>
      </w:pPr>
      <w:r>
        <w:rPr>
          <w:rFonts w:ascii="Times New Roman" w:hAnsi="Times New Roman"/>
          <w:b w:val="false"/>
          <w:i w:val="false"/>
          <w:color w:val="000000"/>
          <w:sz w:val="18"/>
          <w:vertAlign w:val="superscript"/>
        </w:rPr>
        <w:t>31</w:t>
      </w:r>
      <w:r>
        <w:rPr>
          <w:rFonts w:ascii="Times New Roman" w:hAnsi="Times New Roman"/>
          <w:b w:val="false"/>
          <w:i w:val="false"/>
          <w:color w:val="000000"/>
          <w:sz w:val="16"/>
        </w:rPr>
        <w:t>Hach Company Method, “Hach Company SPADNS 2 (Arsenic-free) Fluoride Method 10225 – Spectrophotometric Measurement of Fluoride in Water and Wastewater,” January 2011, </w:t>
      </w:r>
      <w:hyperlink r:id="rId103">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32</w:t>
      </w:r>
      <w:r>
        <w:rPr>
          <w:rFonts w:ascii="Times New Roman" w:hAnsi="Times New Roman"/>
          <w:b w:val="false"/>
          <w:i w:val="false"/>
          <w:color w:val="000000"/>
          <w:sz w:val="16"/>
        </w:rPr>
        <w:t>Hach Company Method, “Hach Company TNTplusTM 835/836 Nitrate Method 10206 – Spectrophotometric Measurement of Nitrate in Water and Wastewater,” January 2011, </w:t>
      </w:r>
      <w:hyperlink r:id="rId104">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33</w:t>
      </w:r>
      <w:r>
        <w:rPr>
          <w:rFonts w:ascii="Times New Roman" w:hAnsi="Times New Roman"/>
          <w:b w:val="false"/>
          <w:i w:val="false"/>
          <w:color w:val="000000"/>
          <w:sz w:val="16"/>
        </w:rPr>
        <w:t xml:space="preserve">SM, 22nd edition (2012). </w:t>
      </w:r>
    </w:p>
    <w:p>
      <w:pPr>
        <w:spacing w:before="0" w:after="0"/>
        <w:ind w:left="120"/>
        <w:jc w:val="both"/>
      </w:pPr>
      <w:r>
        <w:rPr>
          <w:rFonts w:ascii="Times New Roman" w:hAnsi="Times New Roman"/>
          <w:b w:val="false"/>
          <w:i w:val="false"/>
          <w:color w:val="000000"/>
          <w:sz w:val="18"/>
          <w:vertAlign w:val="superscript"/>
        </w:rPr>
        <w:t>34</w:t>
      </w:r>
      <w:r>
        <w:rPr>
          <w:rFonts w:ascii="Times New Roman" w:hAnsi="Times New Roman"/>
          <w:b w:val="false"/>
          <w:i w:val="false"/>
          <w:color w:val="000000"/>
          <w:sz w:val="16"/>
        </w:rPr>
        <w:t xml:space="preserve">Nitrate Elimination Company, Inc. (NECi). “Method for Nitrate Reductase Nitrate-Nitrogen Analysis of Drinking Water,” February 2016. Superior Enzymes, Inc., 334 Hecla Street, Lake Linden, MI 49945. </w:t>
      </w:r>
    </w:p>
    <w:p>
      <w:pPr>
        <w:spacing w:before="0" w:after="0"/>
        <w:ind w:left="120"/>
        <w:jc w:val="both"/>
      </w:pPr>
      <w:r>
        <w:rPr>
          <w:rFonts w:ascii="Times New Roman" w:hAnsi="Times New Roman"/>
          <w:b w:val="false"/>
          <w:i w:val="false"/>
          <w:color w:val="000000"/>
          <w:sz w:val="18"/>
          <w:vertAlign w:val="superscript"/>
        </w:rPr>
        <w:t>35</w:t>
      </w:r>
      <w:r>
        <w:rPr>
          <w:rFonts w:ascii="Times New Roman" w:hAnsi="Times New Roman"/>
          <w:b w:val="false"/>
          <w:i w:val="false"/>
          <w:color w:val="000000"/>
          <w:sz w:val="16"/>
        </w:rPr>
        <w:t xml:space="preserve">IPC means inductively coupled plasma, and ICP-MS means inductively coupled plasma mass spectrometry. </w:t>
      </w:r>
    </w:p>
    <w:p>
      <w:pPr>
        <w:spacing w:before="0" w:after="0"/>
        <w:ind w:left="120"/>
        <w:jc w:val="both"/>
      </w:pPr>
      <w:r>
        <w:rPr>
          <w:rFonts w:ascii="Times New Roman" w:hAnsi="Times New Roman"/>
          <w:b w:val="false"/>
          <w:i w:val="false"/>
          <w:color w:val="000000"/>
          <w:sz w:val="18"/>
          <w:vertAlign w:val="superscript"/>
        </w:rPr>
        <w:t>36</w:t>
      </w:r>
      <w:r>
        <w:rPr>
          <w:rFonts w:ascii="Times New Roman" w:hAnsi="Times New Roman"/>
          <w:b w:val="false"/>
          <w:i w:val="false"/>
          <w:color w:val="000000"/>
          <w:sz w:val="16"/>
        </w:rPr>
        <w:t xml:space="preserve">IC means ion chromatography.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IOC sampling methods. Samples for antimony, arsenic, asbestos, barium, beryllium, cadmium, chromium, cyanide, fluoride, mercury, nickel, nitrate, nitrite, selenium, and thallium under this subparagraph shall be collected using the sample preservation, container, and maximum holding time procedures specified in the table below: </w:t>
      </w:r>
    </w:p>
    <w:p>
      <w:pPr>
        <w:spacing w:before="60" w:after="0"/>
        <w:ind w:left="120"/>
        <w:jc w:val="center"/>
      </w:pPr>
      <w:r>
        <w:rPr>
          <w:rFonts w:ascii="Times New Roman" w:hAnsi="Times New Roman"/>
          <w:b/>
          <w:i w:val="false"/>
          <w:color w:val="000000"/>
          <w:sz w:val="22"/>
        </w:rPr>
        <w:t>IOC Sampling Methods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3456"/>
        <w:gridCol w:w="2304"/>
        <w:gridCol w:w="2880"/>
      </w:tblGrid>
      <w:tr>
        <w:trPr>
          <w:trHeight w:val="285" w:hRule="atLeast"/>
        </w:trPr>
        <w:tc>
          <w:tcPr>
            <w:tcW w:w="288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Contaminant</w:t>
            </w:r>
          </w:p>
        </w:tc>
        <w:tc>
          <w:tcPr>
            <w:tcW w:w="3456"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Preservative</w:t>
            </w:r>
            <w:r>
              <w:rPr>
                <w:rFonts w:ascii="Times New Roman" w:hAnsi="Times New Roman"/>
                <w:b/>
                <w:i w:val="false"/>
                <w:color w:val="000000"/>
                <w:sz w:val="18"/>
                <w:vertAlign w:val="superscript"/>
              </w:rPr>
              <w:t>1</w:t>
            </w:r>
          </w:p>
        </w:tc>
        <w:tc>
          <w:tcPr>
            <w:tcW w:w="2304"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Container</w:t>
            </w:r>
            <w:r>
              <w:rPr>
                <w:rFonts w:ascii="Times New Roman" w:hAnsi="Times New Roman"/>
                <w:b/>
                <w:i w:val="false"/>
                <w:color w:val="000000"/>
                <w:sz w:val="18"/>
                <w:vertAlign w:val="superscript"/>
              </w:rPr>
              <w:t>2</w:t>
            </w:r>
          </w:p>
        </w:tc>
        <w:tc>
          <w:tcPr>
            <w:tcW w:w="2880"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Time</w:t>
            </w:r>
            <w:r>
              <w:rPr>
                <w:rFonts w:ascii="Times New Roman" w:hAnsi="Times New Roman"/>
                <w:b/>
                <w:i w:val="false"/>
                <w:color w:val="000000"/>
                <w:sz w:val="18"/>
                <w:vertAlign w:val="superscript"/>
              </w:rPr>
              <w:t>3</w:t>
            </w:r>
          </w:p>
        </w:tc>
      </w:tr>
      <w:tr>
        <w:trPr>
          <w:trHeight w:val="285"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Antimony</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7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Arsenic</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4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Asbestos</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 degrees C</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48 hours for filtration</w:t>
            </w:r>
            <w:r>
              <w:rPr>
                <w:rFonts w:ascii="Times New Roman" w:hAnsi="Times New Roman"/>
                <w:b w:val="false"/>
                <w:i w:val="false"/>
                <w:color w:val="000000"/>
                <w:sz w:val="18"/>
                <w:vertAlign w:val="superscript"/>
              </w:rPr>
              <w:t>5</w:t>
            </w:r>
          </w:p>
        </w:tc>
      </w:tr>
      <w:tr>
        <w:trPr>
          <w:trHeight w:val="27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Barium</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7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Beryllium</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7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Cadmium</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7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Chromium</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1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Cyanide</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 degrees C, NaOH</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14 days</w:t>
            </w:r>
          </w:p>
        </w:tc>
      </w:tr>
      <w:tr>
        <w:trPr>
          <w:trHeight w:val="21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Fluoride</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None</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 month</w:t>
            </w:r>
          </w:p>
        </w:tc>
      </w:tr>
      <w:tr>
        <w:trPr>
          <w:trHeight w:val="27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Mercury</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28 days</w:t>
            </w:r>
          </w:p>
        </w:tc>
      </w:tr>
      <w:tr>
        <w:trPr>
          <w:trHeight w:val="27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Nickel</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4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Nitrate</w:t>
            </w:r>
            <w:r>
              <w:rPr>
                <w:rFonts w:ascii="Times New Roman" w:hAnsi="Times New Roman"/>
                <w:b w:val="false"/>
                <w:i w:val="false"/>
                <w:color w:val="000000"/>
                <w:sz w:val="18"/>
                <w:vertAlign w:val="superscript"/>
              </w:rPr>
              <w:t>4</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 degrees C</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48 hours</w:t>
            </w:r>
          </w:p>
        </w:tc>
      </w:tr>
      <w:tr>
        <w:trPr>
          <w:trHeight w:val="24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Nitrite</w:t>
            </w:r>
            <w:r>
              <w:rPr>
                <w:rFonts w:ascii="Times New Roman" w:hAnsi="Times New Roman"/>
                <w:b w:val="false"/>
                <w:i w:val="false"/>
                <w:color w:val="000000"/>
                <w:sz w:val="18"/>
                <w:vertAlign w:val="superscript"/>
              </w:rPr>
              <w:t>4</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 degrees C</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48 hours</w:t>
            </w:r>
          </w:p>
        </w:tc>
      </w:tr>
      <w:tr>
        <w:trPr>
          <w:trHeight w:val="27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Selenium</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r>
        <w:trPr>
          <w:trHeight w:val="270" w:hRule="atLeast"/>
        </w:trPr>
        <w:tc>
          <w:tcPr>
            <w:tcW w:w="288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Thallium</w:t>
            </w:r>
          </w:p>
        </w:tc>
        <w:tc>
          <w:tcPr>
            <w:tcW w:w="3456"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HNO</w:t>
            </w:r>
            <w:r>
              <w:rPr>
                <w:rFonts w:ascii="Times New Roman" w:hAnsi="Times New Roman"/>
                <w:b w:val="false"/>
                <w:i w:val="false"/>
                <w:color w:val="000000"/>
                <w:sz w:val="18"/>
                <w:vertAlign w:val="subscript"/>
              </w:rPr>
              <w:t>3</w:t>
            </w:r>
          </w:p>
        </w:tc>
        <w:tc>
          <w:tcPr>
            <w:tcW w:w="230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 or G</w:t>
            </w:r>
          </w:p>
        </w:tc>
        <w:tc>
          <w:tcPr>
            <w:tcW w:w="288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 months</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When indicated, samples must be acidified at the time of collection to pH &lt; 2 with concentrated acid, or adjusted with sodium hydroxide to pH &gt; 12. Samples collected for metals analysis may be preserved by acidification at the laboratory, using a 1:1 nitric acid solution (50 percent by volume), provided the shipping time and other instructions in Section 8.3 of EPA Methods 200.7, 200.8, and 200.9 are followed. When chilling is indicated, the sample must be shipped and stored at 4 degrees Celsius or less.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P: plastic, hard or soft; G: glass, hard or soft.</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All samples should be analyzed as soon after collection as possible. Follow additional (if any) information on preservation, containers, or holding times that is specified in the method. </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Nitrate may only be measured separate from nitrite in samples that have not been acidified. Measurement of acidified samples provides a total nitrate (sum of nitrate plus nitrite) concentration.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Instructions for containers, preservation procedures, and holding times as specified in Method 100.2 must be adhered to for all compliance analyses, including those conducted with Method 100.1.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567—41.4</w:t>
      </w:r>
      <w:r>
        <w:rPr>
          <w:rFonts w:ascii="Times New Roman" w:hAnsi="Times New Roman"/>
          <w:b/>
          <w:i w:val="false"/>
          <w:color w:val="000000"/>
          <w:sz w:val="22"/>
        </w:rPr>
        <w:t xml:space="preserve">(455B) </w:t>
      </w:r>
      <w:r>
        <w:rPr>
          <w:rFonts w:ascii="Times New Roman" w:hAnsi="Times New Roman"/>
          <w:b/>
          <w:i w:val="false"/>
          <w:color w:val="000000"/>
          <w:sz w:val="22"/>
        </w:rPr>
        <w:t xml:space="preserve">Lead, copper, and corrosivity.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Lead, copper, and corrosivity regulation by the setting of a TT requirement. </w:t>
      </w:r>
      <w:r>
        <w:rPr>
          <w:rFonts w:ascii="Times New Roman" w:hAnsi="Times New Roman"/>
          <w:b w:val="false"/>
          <w:i w:val="false"/>
          <w:color w:val="000000"/>
          <w:sz w:val="22"/>
        </w:rPr>
        <w:t>The lead and copper rules establish a TT that includes requirements for corrosion control treatment (CCT), source water treatment, lead service line (LSL) replacement, and public education (PE). These requirements are triggered, in some cases, by lead and copper action levels (ALs) measured in samples collected at consumers’ taps.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Unless otherwise indicated, the provisions of this subrule apply to CWSs and NTNCs (hereinafter referred to as “PWSs” or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Action levels (ALs).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lead AL is exceeded if the lead concentration in more than 10 percent of tap water samples collected during any monitoring period, in accordance with </w:t>
      </w:r>
      <w:r>
        <w:rPr>
          <w:rFonts w:ascii="Times New Roman" w:hAnsi="Times New Roman"/>
          <w:b w:val="false"/>
          <w:i w:val="false"/>
          <w:color w:val="000000"/>
          <w:sz w:val="22"/>
        </w:rPr>
        <w:t>41.4(1)</w:t>
      </w:r>
      <w:r>
        <w:rPr>
          <w:rFonts w:ascii="Times New Roman" w:hAnsi="Times New Roman"/>
          <w:b w:val="false"/>
          <w:i/>
          <w:color w:val="000000"/>
          <w:sz w:val="22"/>
        </w:rPr>
        <w:t>“c,”</w:t>
      </w:r>
      <w:r>
        <w:rPr>
          <w:rFonts w:ascii="Times New Roman" w:hAnsi="Times New Roman"/>
          <w:b w:val="false"/>
          <w:i w:val="false"/>
          <w:color w:val="000000"/>
          <w:sz w:val="22"/>
        </w:rPr>
        <w:t xml:space="preserve"> is greater than 0.015 mg/L (i.e., if the “90th percentile” lead level is greater than 0.015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copper AL is exceeded if the copper concentration in more than 10 percent of tap water samples collected during any monitoring period, in accordance with </w:t>
      </w:r>
      <w:r>
        <w:rPr>
          <w:rFonts w:ascii="Times New Roman" w:hAnsi="Times New Roman"/>
          <w:b w:val="false"/>
          <w:i w:val="false"/>
          <w:color w:val="000000"/>
          <w:sz w:val="22"/>
        </w:rPr>
        <w:t>41.4(1)</w:t>
      </w:r>
      <w:r>
        <w:rPr>
          <w:rFonts w:ascii="Times New Roman" w:hAnsi="Times New Roman"/>
          <w:b w:val="false"/>
          <w:i/>
          <w:color w:val="000000"/>
          <w:sz w:val="22"/>
        </w:rPr>
        <w:t>“c,”</w:t>
      </w:r>
      <w:r>
        <w:rPr>
          <w:rFonts w:ascii="Times New Roman" w:hAnsi="Times New Roman"/>
          <w:b w:val="false"/>
          <w:i w:val="false"/>
          <w:color w:val="000000"/>
          <w:sz w:val="22"/>
        </w:rPr>
        <w:t xml:space="preserve"> is greater than 1.3 mg/L (i.e., if the “90th percentile” copper level is greater than 1.3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90th percentile calculation. The 90th percentile lead and copper levels shall be computed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results of all lead or copper samples taken during a monitoring period shall be placed in ascending order from lowest concentration to highest concentration. Each sample shall be assigned a number, ascending by single integers beginning with the number 1 for the sample with the lowest concentration. The number assigned to the sample with the highest concentration shall be equal to the total number of samples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samples taken during the monitoring period shall be multiplied by 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contaminant concentration in the numbered sample yielded by this calculation is the 90th percentile contaminant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systems serving fewer than 100 people that collect five samples per monitoring period, the 90th percentile is computed by taking the average of the highest and second highest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PWS allowed by the department to collect fewer than five samples, in accordance with  </w:t>
      </w:r>
      <w:hyperlink r:id="rId10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 the sample result with the highest concentration is considered the 90th percentile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Lead and copper tap water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Sample site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PWSs shall complete a materials evaluation of their distribution systems by the date indicated in </w:t>
      </w:r>
      <w:hyperlink r:id="rId106">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 in order to identify a pool of sampling sites that meets the requirements of this subrule, and that is sufficiently large to ensure that the system can collect the number of lead and copper tap samples required in </w:t>
      </w:r>
      <w:hyperlink r:id="rId10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 All sites from which first-draw samples are collected shall be selected from this pool of targeted sampling sites. Sampling sites may not include faucets that have POU or POE treatment devices designed to remove inorganic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sources. A PWS shall use the information on lead, copper, and galvanized steel collected under </w:t>
      </w:r>
      <w:hyperlink r:id="rId108">
        <w:r>
          <w:rPr>
            <w:rStyle w:val="Hyperlink"/>
            <w:rFonts w:ascii="Times New Roman" w:hAnsi="Times New Roman"/>
            <w:b w:val="false"/>
            <w:i w:val="false"/>
            <w:color w:val="000000"/>
            <w:sz w:val="22"/>
          </w:rPr>
          <w:t>41.4(1)</w:t>
        </w:r>
      </w:hyperlink>
      <w:r>
        <w:rPr>
          <w:rFonts w:ascii="Times New Roman" w:hAnsi="Times New Roman"/>
          <w:b w:val="false"/>
          <w:i/>
          <w:color w:val="000000"/>
          <w:sz w:val="22"/>
        </w:rPr>
        <w:t>“f”</w:t>
      </w:r>
      <w:r>
        <w:rPr>
          <w:rFonts w:ascii="Times New Roman" w:hAnsi="Times New Roman"/>
          <w:b w:val="false"/>
          <w:i w:val="false"/>
          <w:color w:val="000000"/>
          <w:sz w:val="22"/>
        </w:rPr>
        <w:t xml:space="preserve"> when conducting a materials evaluation. When an evaluation of the information is insufficient to locate the requisite number of lead and copper sampling sites meeting the targeting criteria in this subparagraph, the PWS shall review additional information to indicate locations that may be particularly susceptible to high lead or copper concentrations. The additional information includes all building department plumbing codes, permits, and records that indicate the plumbing materials installed within all structures connected to the distribution system; all distribution system inspections and records that indicate the material composition of the service connections that connect a structure to the distribution system; and all existing water quality information, including the results of all prior analyses of the system or individual structures connected to the system. System shall seek to collect such additional information where possible in the course of normal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Tier 1 CWS sampling sites. The Tier 1 sampling sites selected for a CWS’s sampling pool shall consist of single-family structures containing copper pipes with lead solder installed after 1982 or containing lead pipes; or served by an LSL. When multiple-family residences comprise at least 20 percent of the structures served by a water system, the system may include these types of structures in its sampling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Tier 2 CWS sampling sites. Any CWS with insufficient Tier 1 sampling sites shall complete its sampling pool with Tier 2 sampling sites, consisting of buildings, including multiple-family residences containing copper pipes with lead solder installed after 1982 or containing lead pipes; or served by an LSL.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Tier 3 CWS sampling sites. Any CWS with insufficient Tier 1 and Tier 2 sampling sites shall complete its sampling pool with Tier 3 sampling sites, consisting of single-family structures containing copper pipes with lead solder installed before 1983. A CWS with insufficient Tier 1, Tier 2, and Tier 3 sampling sites shall complete its sampling pool with representative sites throughout the distribution system. A representative site is defined as a site in which the plumbing materials used at that site would be commonly found at other sites served by the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Tier 1 NTNC sampling sites. The Tier 1 sampling sites selected for a NTNC shall consist of buildings containing copper pipes with lead solder installed after 1982 or containing lead pipes; or served by an LSL.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NTNC sampling sites. An NTNC with insufficient Tier 1 NTNC sites shall complete its sampling pool with sites containing copper pipes with lead solder installed before 1983. If additional sites are needed to complete the sampling pool, the NTNC shall use representative sites throughout the distribution system. A representative site is defined as a site in which the plumbing materials used at that site would be commonly found at other sites served by the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LSL sampling sites. Any PWS whose distribution system contains LSLs shall draw 50 percent of the samples collected during each monitoring period from sites containing lead pipes or copper pipes with lead solder, and 50 percent of the samples from sites served by an LSL. A system that cannot identify a sufficient number of sampling sites served by an LSL shall collect first-draw samples from all of the sites identified as being served by such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Sample collection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Tap samples for lead and copper collected in accordance with this subparagraph shall be first-draw samples, except for LSL samples collected under 567—subrule </w:t>
      </w:r>
      <w:hyperlink r:id="rId109">
        <w:r>
          <w:rPr>
            <w:rStyle w:val="Hyperlink"/>
            <w:rFonts w:ascii="Times New Roman" w:hAnsi="Times New Roman"/>
            <w:b w:val="false"/>
            <w:i w:val="false"/>
            <w:color w:val="000000"/>
            <w:sz w:val="22"/>
          </w:rPr>
          <w:t>43.7(4)</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First-draw tap samples for lead and copper shall be one liter in volume and have stood motionless in the plumbing system of each sampling site for at least six hours. First-draw samples from residential housing shall be collected from the cold-water kitchen tap or bathroom sink tap. First-draw samples from a nonresidential building shall be collected at an interior tap from which water is typically drawn for consumption. First-draw samples may be collected by the system, or it may allow residents to collect first-draw samples after instructing the residents of the sampling procedures specified in this paragraph. To avoid problems of residents handling nitric acid, acidification of first-draw samples may be done up to 14 days after the sample is collected. After acidification, the sample must stand in the original container for the time specified in the approved EPA method before the sample can be analyzed. If a system allows residents to perform sampling, the system may not challenge, based on alleged errors in sample collection, the accuracy of sampling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LSL samples collected to determine if the service line is directly contributing lead (as described in </w:t>
      </w:r>
      <w:hyperlink r:id="rId111">
        <w:r>
          <w:rPr>
            <w:rStyle w:val="Hyperlink"/>
            <w:rFonts w:ascii="Times New Roman" w:hAnsi="Times New Roman"/>
            <w:b w:val="false"/>
            <w:i w:val="false"/>
            <w:color w:val="000000"/>
            <w:sz w:val="22"/>
          </w:rPr>
          <w:t>567—subrule 43.7(4)</w:t>
        </w:r>
      </w:hyperlink>
      <w:r>
        <w:rPr>
          <w:rFonts w:ascii="Times New Roman" w:hAnsi="Times New Roman"/>
          <w:b w:val="false"/>
          <w:i w:val="false"/>
          <w:color w:val="000000"/>
          <w:sz w:val="22"/>
        </w:rPr>
        <w:t>) shall be one liter in volume, have stood motionless in the LSL for at least six hours, and be collected at the tap after flushing the volume of water between the tap and the LSL. The volume of water shall be calculated based on the interior diameter and length of the pipe between the tap and the LSL; tapping directly into the LSL; or if the sampling site is a building constructed as a single-family residence, allowing the water to run until there is a significant change in temperature, indicative of water that has been standing in the LSL.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PWS shall collect each first-draw tap sample from the same sampling site from which it collected a previous sample. If, for any reason, a system cannot gain entry to a sampling site in order to collect a follow-up tap sample, it may collect the follow-up tap sample from another sampling site in its sampling pool as long as the new site meets the same targeting criteria, and is within reasonable proximity of the original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 NTNC system, or a CWS system meeting the criteria of </w:t>
      </w:r>
      <w:hyperlink r:id="rId112">
        <w:r>
          <w:rPr>
            <w:rStyle w:val="Hyperlink"/>
            <w:rFonts w:ascii="Times New Roman" w:hAnsi="Times New Roman"/>
            <w:b w:val="false"/>
            <w:i w:val="false"/>
            <w:color w:val="000000"/>
            <w:sz w:val="22"/>
          </w:rPr>
          <w:t>567—subparagraph 40.6(2)</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that does not have enough taps that can supply first-draw samples, may apply to the department in writing to substitute non-first-draw samples. Such systems must collect as many first-draw samples from appropriate taps as possible and identify sampling times and locations that would likely result in the longest standing time for the remaining sites. The department may waive the requirement for prior approval of non-first-draw sample sites selected by the system through written notification to the system. Non-first-draw samples collected in lieu of first-draw samples in accordance with this subparagraph shall be one liter in volume and shall be collected at an interior tap from which water is typically drawn for consumption.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Number of samples. PWS shall collect at least one sample during each monitoring period specified in </w:t>
      </w:r>
      <w:hyperlink r:id="rId11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 from the number of sites specified below in the “standard monitoring” column. A system conducting reduced monitoring under </w:t>
      </w:r>
      <w:hyperlink r:id="rId11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 shall collect at least one sample from the number of sites specified below in the “reduced monitoring” column during each monitoring period. Reduced monitoring sites shall be representative of the sites required for standard monitoring. A PWS with fewer than five drinking water taps used for human consumption that meet the sample site criteria of </w:t>
      </w:r>
      <w:hyperlink r:id="rId11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(1) and that can be used to reach the required number of sample sites specified in this subparagraph must collect at least one sample from each tap and then must collect additional samples from those taps on different days during the monitoring period to meet the required number of sites. Alternatively, the department may allow these systems to collect a number of samples less than the number of sites specified in </w:t>
      </w:r>
      <w:hyperlink r:id="rId116">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(1), provided that 100 percent of all taps that can be used for human consumption are sampled. This reduction of the minimum number of samples must be approved in writing by the department, based upon on-site verification or a request from the system. The department may specify sampling locations when a system is conducting reduced monitoring.</w:t>
      </w:r>
    </w:p>
    <w:p>
      <w:pPr>
        <w:spacing w:before="60" w:after="0"/>
        <w:ind w:left="120"/>
        <w:jc w:val="center"/>
      </w:pPr>
      <w:r>
        <w:rPr>
          <w:rFonts w:ascii="Times New Roman" w:hAnsi="Times New Roman"/>
          <w:b/>
          <w:i w:val="false"/>
          <w:color w:val="000000"/>
          <w:sz w:val="22"/>
        </w:rPr>
        <w:t>Required Number of Lead/Copper Samples</w:t>
      </w:r>
    </w:p>
    <w:tbl>
      <w:tblPr>
        <w:tblW w:w="5000" w:type="pct"/>
        <w:tblCellSpacing w:w="0" w:type="auto"/>
        <w:tblBorders>
          <w:top w:val="none"/>
          <w:left w:val="none"/>
          <w:bottom w:val="none"/>
          <w:right w:val="none"/>
          <w:insideH w:val="none"/>
          <w:insideV w:val="none"/>
        </w:tblBorders>
        <w:tblLayout w:type="fixed"/>
      </w:tblPr>
      <w:tblGrid>
        <w:gridCol w:w="4608"/>
        <w:gridCol w:w="3456"/>
        <w:gridCol w:w="3456"/>
      </w:tblGrid>
      <w:tr>
        <w:trPr>
          <w:trHeight w:val="210"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System Size</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Standard Monitoring</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Reduced Monitoring</w:t>
            </w:r>
          </w:p>
        </w:tc>
      </w:tr>
      <w:tr>
        <w:trPr>
          <w:trHeight w:val="210"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(Number of People Served)</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(Number of Sites)</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(Number of Sites)</w:t>
            </w:r>
          </w:p>
        </w:tc>
      </w:tr>
      <w:tr>
        <w:trPr>
          <w:trHeight w:val="210" w:hRule="atLeast"/>
        </w:trPr>
        <w:tc>
          <w:tcPr>
            <w:tcW w:w="4608"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greater than 100,000</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10" w:hRule="atLeast"/>
        </w:trPr>
        <w:tc>
          <w:tcPr>
            <w:tcW w:w="4608"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10,001 to 100,000</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10" w:hRule="atLeast"/>
        </w:trPr>
        <w:tc>
          <w:tcPr>
            <w:tcW w:w="4608"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3,301 to 10,000</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10" w:hRule="atLeast"/>
        </w:trPr>
        <w:tc>
          <w:tcPr>
            <w:tcW w:w="4608"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501 to 3,300</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4608"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101 to 500</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r>
        <w:trPr>
          <w:trHeight w:val="210" w:hRule="atLeast"/>
        </w:trPr>
        <w:tc>
          <w:tcPr>
            <w:tcW w:w="4608"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less than or equal to 100</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3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tap sampling. The first six-month monitoring period for small, medium-size and large systems shall begin on the following dates:</w:t>
      </w: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10"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System Size (Number of People Served)</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First Six-month Monitoring Period Begins on:</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greater than 50,000 (large system)</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January 1, 1992</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3,301 to 50,000 (medium system)</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July 1, 1992</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than or equal to 3,300 (small system)</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July 1, 1993</w:t>
            </w:r>
          </w:p>
        </w:tc>
      </w:tr>
    </w:tbl>
    <w:p>
      <w:pPr>
        <w:spacing w:before="0" w:after="0"/>
        <w:ind w:left="120"/>
        <w:jc w:val="both"/>
      </w:pPr>
      <w:r>
        <w:rPr>
          <w:rFonts w:ascii="Times New Roman" w:hAnsi="Times New Roman"/>
          <w:b w:val="false"/>
          <w:i w:val="false"/>
          <w:color w:val="000000"/>
          <w:sz w:val="22"/>
        </w:rPr>
        <w:t xml:space="preserve"> All large systems shall monitor during two consecutive six-month periods. All small and medium-size systems shall monitor during each six-month monitoring period until the system exceeds the lead or copper AL and is, therefore, required to implement the CCT requirements under </w:t>
      </w:r>
      <w:hyperlink r:id="rId117">
        <w:r>
          <w:rPr>
            <w:rStyle w:val="Hyperlink"/>
            <w:rFonts w:ascii="Times New Roman" w:hAnsi="Times New Roman"/>
            <w:b w:val="false"/>
            <w:i w:val="false"/>
            <w:color w:val="000000"/>
            <w:sz w:val="22"/>
          </w:rPr>
          <w:t>567—paragraph 43.7(1)</w:t>
        </w:r>
        <w:r>
          <w:rPr>
            <w:rFonts w:ascii="Times New Roman" w:hAnsi="Times New Roman"/>
            <w:b w:val="false"/>
            <w:i/>
            <w:color w:val="000000"/>
            <w:sz w:val="22"/>
          </w:rPr>
          <w:t>“a,”</w:t>
        </w:r>
      </w:hyperlink>
      <w:r>
        <w:rPr>
          <w:rFonts w:ascii="Times New Roman" w:hAnsi="Times New Roman"/>
          <w:b w:val="false"/>
          <w:i w:val="false"/>
          <w:color w:val="000000"/>
          <w:sz w:val="22"/>
        </w:rPr>
        <w:t xml:space="preserve"> in which case it shall continue monitoring in accordance with this subparagraph, or the system meets the lead and copper ALs during two consecutive six-month monitoring periods, in which case it may reduce monitoring in accordance with this subparagraph.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after installation of CCT and source water treatment. Large systems that install optimal corrosion control treatment (OCCT) pursuant to </w:t>
      </w:r>
      <w:hyperlink r:id="rId118">
        <w:r>
          <w:rPr>
            <w:rStyle w:val="Hyperlink"/>
            <w:rFonts w:ascii="Times New Roman" w:hAnsi="Times New Roman"/>
            <w:b w:val="false"/>
            <w:i w:val="false"/>
            <w:color w:val="000000"/>
            <w:sz w:val="22"/>
          </w:rPr>
          <w:t>567—subparagraph 43.7(1)</w:t>
        </w:r>
      </w:hyperlink>
      <w:r>
        <w:rPr>
          <w:rFonts w:ascii="Times New Roman" w:hAnsi="Times New Roman"/>
          <w:b w:val="false"/>
          <w:i/>
          <w:color w:val="000000"/>
          <w:sz w:val="22"/>
        </w:rPr>
        <w:t>“d”</w:t>
      </w:r>
      <w:r>
        <w:rPr>
          <w:rFonts w:ascii="Times New Roman" w:hAnsi="Times New Roman"/>
          <w:b w:val="false"/>
          <w:i w:val="false"/>
          <w:color w:val="000000"/>
          <w:sz w:val="22"/>
        </w:rPr>
        <w:t xml:space="preserve">(4) shall monitor during two consecutive six-month monitoring periods by the date specified in </w:t>
      </w:r>
      <w:hyperlink r:id="rId119">
        <w:r>
          <w:rPr>
            <w:rStyle w:val="Hyperlink"/>
            <w:rFonts w:ascii="Times New Roman" w:hAnsi="Times New Roman"/>
            <w:b w:val="false"/>
            <w:i w:val="false"/>
            <w:color w:val="000000"/>
            <w:sz w:val="22"/>
          </w:rPr>
          <w:t>567—subparagraph 43.7(1)</w:t>
        </w:r>
      </w:hyperlink>
      <w:r>
        <w:rPr>
          <w:rFonts w:ascii="Times New Roman" w:hAnsi="Times New Roman"/>
          <w:b w:val="false"/>
          <w:i/>
          <w:color w:val="000000"/>
          <w:sz w:val="22"/>
        </w:rPr>
        <w:t>“d”</w:t>
      </w:r>
      <w:r>
        <w:rPr>
          <w:rFonts w:ascii="Times New Roman" w:hAnsi="Times New Roman"/>
          <w:b w:val="false"/>
          <w:i w:val="false"/>
          <w:color w:val="000000"/>
          <w:sz w:val="22"/>
        </w:rPr>
        <w:t xml:space="preserve">(5). Small or medium-size systems that install OCCT pursuant to </w:t>
      </w:r>
      <w:hyperlink r:id="rId120">
        <w:r>
          <w:rPr>
            <w:rStyle w:val="Hyperlink"/>
            <w:rFonts w:ascii="Times New Roman" w:hAnsi="Times New Roman"/>
            <w:b w:val="false"/>
            <w:i w:val="false"/>
            <w:color w:val="000000"/>
            <w:sz w:val="22"/>
          </w:rPr>
          <w:t>567—subparagraph 43.7(1)</w:t>
        </w:r>
      </w:hyperlink>
      <w:r>
        <w:rPr>
          <w:rFonts w:ascii="Times New Roman" w:hAnsi="Times New Roman"/>
          <w:b w:val="false"/>
          <w:i/>
          <w:color w:val="000000"/>
          <w:sz w:val="22"/>
        </w:rPr>
        <w:t>“e”</w:t>
      </w:r>
      <w:r>
        <w:rPr>
          <w:rFonts w:ascii="Times New Roman" w:hAnsi="Times New Roman"/>
          <w:b w:val="false"/>
          <w:i w:val="false"/>
          <w:color w:val="000000"/>
          <w:sz w:val="22"/>
        </w:rPr>
        <w:t xml:space="preserve">(5) shall monitor during two consecutive six-month monitoring periods, as specified in </w:t>
      </w:r>
      <w:hyperlink r:id="rId121">
        <w:r>
          <w:rPr>
            <w:rStyle w:val="Hyperlink"/>
            <w:rFonts w:ascii="Times New Roman" w:hAnsi="Times New Roman"/>
            <w:b w:val="false"/>
            <w:i w:val="false"/>
            <w:color w:val="000000"/>
            <w:sz w:val="22"/>
          </w:rPr>
          <w:t>567—subparagraph 43.7(1)</w:t>
        </w:r>
      </w:hyperlink>
      <w:r>
        <w:rPr>
          <w:rFonts w:ascii="Times New Roman" w:hAnsi="Times New Roman"/>
          <w:b w:val="false"/>
          <w:i/>
          <w:color w:val="000000"/>
          <w:sz w:val="22"/>
        </w:rPr>
        <w:t>“e”</w:t>
      </w:r>
      <w:r>
        <w:rPr>
          <w:rFonts w:ascii="Times New Roman" w:hAnsi="Times New Roman"/>
          <w:b w:val="false"/>
          <w:i w:val="false"/>
          <w:color w:val="000000"/>
          <w:sz w:val="22"/>
        </w:rPr>
        <w:t xml:space="preserve">(6). Systems that install source water treatment shall monitor during two consecutive six-month monitoring periods by the date specified in </w:t>
      </w:r>
      <w:hyperlink r:id="rId122">
        <w:r>
          <w:rPr>
            <w:rStyle w:val="Hyperlink"/>
            <w:rFonts w:ascii="Times New Roman" w:hAnsi="Times New Roman"/>
            <w:b w:val="false"/>
            <w:i w:val="false"/>
            <w:color w:val="000000"/>
            <w:sz w:val="22"/>
          </w:rPr>
          <w:t>567—subparagraph 43.7(3)</w:t>
        </w:r>
      </w:hyperlink>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after the department specifies WQP values for optimal corrosion control (OCC). After the department specifies the values for WQP under </w:t>
      </w:r>
      <w:hyperlink r:id="rId123">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system shall monitor during each subsequent six-month monitoring period, with the first monitoring period to begin on the date the department specifies the OCC values under </w:t>
      </w:r>
      <w:hyperlink r:id="rId124">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Reduced monitoring: a small or medium-size PWS that meets the lead and copper ALs during each of two consecutive six-month monitoring periods may reduce the number of lead and copper samples according to </w:t>
      </w:r>
      <w:hyperlink r:id="rId12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and reduce the sampling frequency to once per year. A small or medium-size system collecting fewer than five samples as specified in </w:t>
      </w:r>
      <w:hyperlink r:id="rId126">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 that meets the lead and copper ALs during each of two consecutive six-month monitoring periods may reduce the sampling frequency to once per year. This reduced sampling shall begin during the calendar year immediately following the end of the second consecutive six-month monitoring period. A system shall not ever reduce the number of samples required below the minimum of one sample per available tap.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Reduced monitoring: any PWS that meets the lead AL and maintains the range of values for the WQPs reflecting OCCT specified in </w:t>
      </w:r>
      <w:hyperlink r:id="rId127">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during each of two consecutive six-month monitoring periods may reduce the monitoring frequency to once per year and reduce the number of lead and copper samples according to </w:t>
      </w:r>
      <w:hyperlink r:id="rId12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upon written department approval. This monitoring shall begin during the calendar year immediately following the end of the second consecutive six-month monitoring period. The department shall review monitoring, treatment, and other relevant information submitted by the system in accordance with </w:t>
      </w:r>
      <w:hyperlink r:id="rId129">
        <w:r>
          <w:rPr>
            <w:rStyle w:val="Hyperlink"/>
            <w:rFonts w:ascii="Times New Roman" w:hAnsi="Times New Roman"/>
            <w:b w:val="false"/>
            <w:i w:val="false"/>
            <w:color w:val="000000"/>
            <w:sz w:val="22"/>
          </w:rPr>
          <w:t>567—subrule 40.8(2)</w:t>
        </w:r>
      </w:hyperlink>
      <w:r>
        <w:rPr>
          <w:rFonts w:ascii="Times New Roman" w:hAnsi="Times New Roman"/>
          <w:b w:val="false"/>
          <w:i w:val="false"/>
          <w:color w:val="000000"/>
          <w:sz w:val="22"/>
        </w:rPr>
        <w:t xml:space="preserve"> and shall notify a system in writing when it determines that a system is eligible to commence reduced monitoring. The department will review and, where appropriate, revise its determination when a system submits new monitoring or treatment data, or when other data relevant to the number and frequency of tap sampling becomes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Reduced monitoring: a small or medium-size PWS that meets the lead and copper ALs during three consecutive years of monitoring may reduce the monitoring frequency for lead and copper from annually to once every three years. Any system that meets the lead AL and maintains the range of values for the WQP reflecting OCCT specified in </w:t>
      </w:r>
      <w:hyperlink r:id="rId130">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during three consecutive years of monitoring may reduce the monitoring frequency from annually to once every three years if it receives written department approval. Samples collected once every three years shall be collected no later than every third calendar year. The department shall review monitoring, treatment, and other relevant information submitted by a system in accordance with </w:t>
      </w:r>
      <w:hyperlink r:id="rId131">
        <w:r>
          <w:rPr>
            <w:rStyle w:val="Hyperlink"/>
            <w:rFonts w:ascii="Times New Roman" w:hAnsi="Times New Roman"/>
            <w:b w:val="false"/>
            <w:i w:val="false"/>
            <w:color w:val="000000"/>
            <w:sz w:val="22"/>
          </w:rPr>
          <w:t>567—subrule 40.8(2)</w:t>
        </w:r>
      </w:hyperlink>
      <w:r>
        <w:rPr>
          <w:rFonts w:ascii="Times New Roman" w:hAnsi="Times New Roman"/>
          <w:b w:val="false"/>
          <w:i w:val="false"/>
          <w:color w:val="000000"/>
          <w:sz w:val="22"/>
        </w:rPr>
        <w:t xml:space="preserve"> and shall notify a system in writing when it determines that a system is eligible to commence reduced monitoring. The department will review and, where appropriate, revise its determination when a system submits new monitoring or treatment data, or when other data relevant to the number and frequency of tap sampling becomes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PWS that reduces the number and frequency of sampling shall collect samples from sites included in the pool of targeted sampling sites identified in </w:t>
      </w:r>
      <w:hyperlink r:id="rId132">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(1). Systems sampling annually or less frequently shall conduct lead and copper tap sampling during June through September unless the department, at its discretion, has approved a different sampling period. If approved, the sampling period shall be no longer than four consecutive months and must represent a time of normal operation where the highest levels of lead are most likely to occur. The department shall designate a sampling period representing normal operation for an NTNC system that does not operate during June through September, and for which the period of normal operation where the highest levels of lead are most likely to occur is not known. Sampling shall begin during the approved or designated sampling period in the calendar year immediately following the end of the second consecutive six-month monitoring period for systems initiating annual monitoring and during the three-year period following the end of the third consecutive calendar year of annual monitoring for systems initiating triennial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Systems monitoring annually or triennially that have been collecting samples during June through September and that receive department approval to alter their sample collection period must collect their next round of samples during a time period that ends no later than 21 months (for annual monitoring) or 45 months (for triennial monitoring) after the previous round of sampling. Subsequent rounds of sampling must be collected annually or triennially, as required by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Small systems that have been granted waivers pursuant to </w:t>
      </w:r>
      <w:hyperlink r:id="rId13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 that have been collecting samples during June through September, and that receive department approval to alter their sample collection period as previously stated must collect their next round of samples before the end of the nine-year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Any PWS that demonstrates for two consecutive six-month monitoring periods that the 90th percentile tap water level computed under </w:t>
      </w:r>
      <w:hyperlink r:id="rId134">
        <w:r>
          <w:rPr>
            <w:rStyle w:val="Hyperlink"/>
            <w:rFonts w:ascii="Times New Roman" w:hAnsi="Times New Roman"/>
            <w:b w:val="false"/>
            <w:i w:val="false"/>
            <w:color w:val="000000"/>
            <w:sz w:val="22"/>
          </w:rPr>
          <w:t>41.4(1)</w:t>
        </w:r>
      </w:hyperlink>
      <w:r>
        <w:rPr>
          <w:rFonts w:ascii="Times New Roman" w:hAnsi="Times New Roman"/>
          <w:b w:val="false"/>
          <w:i/>
          <w:color w:val="000000"/>
          <w:sz w:val="22"/>
        </w:rPr>
        <w:t>“b”</w:t>
      </w:r>
      <w:r>
        <w:rPr>
          <w:rFonts w:ascii="Times New Roman" w:hAnsi="Times New Roman"/>
          <w:b w:val="false"/>
          <w:i w:val="false"/>
          <w:color w:val="000000"/>
          <w:sz w:val="22"/>
        </w:rPr>
        <w:t xml:space="preserve">(3) is less than or equal to 0.005 mg/L for lead and is less than or equal to 0.65 mg/L for copper may reduce the number of samples in accordance with </w:t>
      </w:r>
      <w:hyperlink r:id="rId13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 and reduce the sampling frequency to once every three calendar years, if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 A small or medium-size PWS subject to reduced monitoring that exceeds the lead or copper AL shall resume sampling according to </w:t>
      </w:r>
      <w:hyperlink r:id="rId136">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(4)“3” and collect the number of samples specified for standard monitoring in </w:t>
      </w:r>
      <w:hyperlink r:id="rId13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Any such system shall also conduct WQP monitoring in accordance with </w:t>
      </w:r>
      <w:hyperlink r:id="rId138">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(2), </w:t>
      </w:r>
      <w:r>
        <w:rPr>
          <w:rFonts w:ascii="Times New Roman" w:hAnsi="Times New Roman"/>
          <w:b w:val="false"/>
          <w:i/>
          <w:color w:val="000000"/>
          <w:sz w:val="22"/>
        </w:rPr>
        <w:t>“d”</w:t>
      </w:r>
      <w:r>
        <w:rPr>
          <w:rFonts w:ascii="Times New Roman" w:hAnsi="Times New Roman"/>
          <w:b w:val="false"/>
          <w:i w:val="false"/>
          <w:color w:val="000000"/>
          <w:sz w:val="22"/>
        </w:rPr>
        <w:t xml:space="preserve">(3), or </w:t>
      </w:r>
      <w:r>
        <w:rPr>
          <w:rFonts w:ascii="Times New Roman" w:hAnsi="Times New Roman"/>
          <w:b w:val="false"/>
          <w:i/>
          <w:color w:val="000000"/>
          <w:sz w:val="22"/>
        </w:rPr>
        <w:t>“d”</w:t>
      </w:r>
      <w:r>
        <w:rPr>
          <w:rFonts w:ascii="Times New Roman" w:hAnsi="Times New Roman"/>
          <w:b w:val="false"/>
          <w:i w:val="false"/>
          <w:color w:val="000000"/>
          <w:sz w:val="22"/>
        </w:rPr>
        <w:t xml:space="preserve">(4), as appropriate, during the monitoring period in which it exceeded the AL. Any such system may resume annual lead and copper tap monitoring at the reduced number of sites specified in </w:t>
      </w:r>
      <w:hyperlink r:id="rId139">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after completing two subsequent consecutive six-month rounds of monitoring meeting the criteria of </w:t>
      </w:r>
      <w:hyperlink r:id="rId14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and may resume triennial lead and copper monitoring at the reduced number of sites after demonstrating through subsequent rounds of monitoring that it meets the criteria of either </w:t>
      </w:r>
      <w:hyperlink r:id="rId14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(4)“6” or “10” and upon written department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Any water system subject to reduced monitoring frequency that fails to meet the lead AL during any four-month monitoring period or that fails to operate at or above the minimum value or within the range of values for the OWQP specified in </w:t>
      </w:r>
      <w:hyperlink r:id="rId142">
        <w:r>
          <w:rPr>
            <w:rStyle w:val="Hyperlink"/>
            <w:rFonts w:ascii="Times New Roman" w:hAnsi="Times New Roman"/>
            <w:b w:val="false"/>
            <w:i w:val="false"/>
            <w:color w:val="000000"/>
            <w:sz w:val="22"/>
          </w:rPr>
          <w:t>567—paragraph 43.7(2)</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more than nine days in any six-month period specified in </w:t>
      </w:r>
      <w:hyperlink r:id="rId143">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(4) shall resume tap water sampling according to </w:t>
      </w:r>
      <w:hyperlink r:id="rId144">
        <w:r>
          <w:rPr>
            <w:rStyle w:val="Hyperlink"/>
            <w:rFonts w:ascii="Times New Roman" w:hAnsi="Times New Roman"/>
            <w:b w:val="false"/>
            <w:i w:val="false"/>
            <w:color w:val="000000"/>
            <w:sz w:val="22"/>
          </w:rPr>
          <w:t>41.4(1)</w:t>
        </w:r>
        <w:r>
          <w:rPr>
            <w:rFonts w:ascii="Times New Roman" w:hAnsi="Times New Roman"/>
            <w:b w:val="false"/>
            <w:i/>
            <w:color w:val="000000"/>
            <w:sz w:val="22"/>
          </w:rPr>
          <w:t>“c”</w:t>
        </w:r>
        <w:r>
          <w:rPr>
            <w:rFonts w:ascii="Times New Roman" w:hAnsi="Times New Roman"/>
            <w:b w:val="false"/>
            <w:i w:val="false"/>
            <w:color w:val="000000"/>
            <w:sz w:val="22"/>
          </w:rPr>
          <w:t>(4)“3,”</w:t>
        </w:r>
      </w:hyperlink>
      <w:r>
        <w:rPr>
          <w:rFonts w:ascii="Times New Roman" w:hAnsi="Times New Roman"/>
          <w:b w:val="false"/>
          <w:i w:val="false"/>
          <w:color w:val="000000"/>
          <w:sz w:val="22"/>
        </w:rPr>
        <w:t xml:space="preserve"> collect the number of samples specified for standard monitoring in </w:t>
      </w:r>
      <w:hyperlink r:id="rId14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and resume monitoring for WQP within the distribution system in accordance with </w:t>
      </w:r>
      <w:hyperlink r:id="rId146">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(4). This standard tap water sampling shall begin no later than the six-month period beginning January 1 of the calendar year following the lead AL exceedance or WQP excursion. Systems may resume reduced monitoring for lead and copper at the tap and for WQPs within the distribution system under the following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system may resume annual lead and copper monitoring at the tap at the reduced number of sites specified in </w:t>
      </w:r>
      <w:hyperlink r:id="rId14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after completing two subsequent six-month rounds of monitoring meeting the criteria of </w:t>
      </w:r>
      <w:hyperlink r:id="rId14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(4)“5” and upon written department approval. This sampling shall begin during the calendar year immediately following the end of the second consecutive six-month monitoring period.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system may resume triennial lead and copper monitoring at the tap at the reduced number of sites after demonstrating, through subsequent rounds of monitoring, that it meets the criteria of either </w:t>
      </w:r>
      <w:hyperlink r:id="rId149">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(4)“6” or”10” and upon written department approval.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system may reduce the number of WQP tap water samples required in </w:t>
      </w:r>
      <w:hyperlink r:id="rId150">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(5)“1” and the sampling frequency required in </w:t>
      </w:r>
      <w:hyperlink r:id="rId151">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(5)“2.” Such a system may not resume triennial monitoring for WQPs at the tap until it demonstrates that it has requalified for triennial monitoring, pursuant to </w:t>
      </w:r>
      <w:hyperlink r:id="rId152">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PWS subject to a reduced monitoring frequency under </w:t>
      </w:r>
      <w:hyperlink r:id="rId15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through “12” must notify the department of any upcoming long-term change in treatment or addition of a new source in accordance with </w:t>
      </w:r>
      <w:hyperlink r:id="rId154">
        <w:r>
          <w:rPr>
            <w:rStyle w:val="Hyperlink"/>
            <w:rFonts w:ascii="Times New Roman" w:hAnsi="Times New Roman"/>
            <w:b w:val="false"/>
            <w:i w:val="false"/>
            <w:color w:val="000000"/>
            <w:sz w:val="22"/>
          </w:rPr>
          <w:t>567—subparagraph 40.8(2)</w:t>
        </w:r>
      </w:hyperlink>
      <w:r>
        <w:rPr>
          <w:rFonts w:ascii="Times New Roman" w:hAnsi="Times New Roman"/>
          <w:b w:val="false"/>
          <w:i/>
          <w:color w:val="000000"/>
          <w:sz w:val="22"/>
        </w:rPr>
        <w:t>“a”</w:t>
      </w:r>
      <w:r>
        <w:rPr>
          <w:rFonts w:ascii="Times New Roman" w:hAnsi="Times New Roman"/>
          <w:b w:val="false"/>
          <w:i w:val="false"/>
          <w:color w:val="000000"/>
          <w:sz w:val="22"/>
        </w:rPr>
        <w:t xml:space="preserve">(3). The department must review and approve the addition of a new source or long-term change in water treatment before it is implemented. The department may require a system to resume sampling pursuant to </w:t>
      </w:r>
      <w:hyperlink r:id="rId15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(4)“3” and collect the number of samples specified for standard monitoring under </w:t>
      </w:r>
      <w:hyperlink r:id="rId156">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 or take other appropriate steps such as increased WQP monitoring or reevaluation of CCT.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Additional monitoring. The results of any monitoring conducted in addition to the minimum requirements of this paragraph shall be considered by a system and the department in making any determinations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Invalidation of lead or copper tap water samples. A sample invalidated under this paragraph does not count toward determining the lead or copper 90th percentile levels under </w:t>
      </w:r>
      <w:hyperlink r:id="rId157">
        <w:r>
          <w:rPr>
            <w:rStyle w:val="Hyperlink"/>
            <w:rFonts w:ascii="Times New Roman" w:hAnsi="Times New Roman"/>
            <w:b w:val="false"/>
            <w:i w:val="false"/>
            <w:color w:val="000000"/>
            <w:sz w:val="22"/>
          </w:rPr>
          <w:t>41.4(1)</w:t>
        </w:r>
      </w:hyperlink>
      <w:r>
        <w:rPr>
          <w:rFonts w:ascii="Times New Roman" w:hAnsi="Times New Roman"/>
          <w:b w:val="false"/>
          <w:i/>
          <w:color w:val="000000"/>
          <w:sz w:val="22"/>
        </w:rPr>
        <w:t>“b”</w:t>
      </w:r>
      <w:r>
        <w:rPr>
          <w:rFonts w:ascii="Times New Roman" w:hAnsi="Times New Roman"/>
          <w:b w:val="false"/>
          <w:i w:val="false"/>
          <w:color w:val="000000"/>
          <w:sz w:val="22"/>
        </w:rPr>
        <w:t xml:space="preserve">(3) or toward meeting the minimum monitoring requirements of </w:t>
      </w:r>
      <w:hyperlink r:id="rId15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invalidate a lead or copper tap water sample if one or more of the following conditions are met: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laboratory establishes that improper sample analysis caused erroneous results;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department determines the sample was taken from a site that did not meet the site selection criteria of </w:t>
      </w:r>
      <w:hyperlink r:id="rId159">
        <w:r>
          <w:rPr>
            <w:rStyle w:val="Hyperlink"/>
            <w:rFonts w:ascii="Times New Roman" w:hAnsi="Times New Roman"/>
            <w:b w:val="false"/>
            <w:i w:val="false"/>
            <w:color w:val="000000"/>
            <w:sz w:val="22"/>
          </w:rPr>
          <w:t>567—41.4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sample container was damaged in transit to the laboratory;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There is a substantial reason to believe that the sample was subject to tampering;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sample is not representative of water that would be consumed from the tap;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department determined that a major disruption of the water flow occurred in the system or building plumbing prior to sample collection, which resulted in lead or copper levels that were not representative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system must report the results of all samples to the department and all supporting documentation for samples it believes should be invalidated.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sample invalidation decision under </w:t>
      </w:r>
      <w:hyperlink r:id="rId16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(6)“1” must be documented in writing and include the reason(s) for invalidation. The department may not invalidate a sample solely on the grounds that a follow-up sample result is higher or lower than that of the original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must collect replacement samples for any samples invalidated under this subparagraph if, after the sample invalidation(s), a system has too few samples to meet the minimum requirements of </w:t>
      </w:r>
      <w:hyperlink r:id="rId16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(3). Replacement samples must be taken as soon as possible, but no later than 20 days after the invalidation date, or by the end of the applicable monitoring period, whichever occurs later. Replacement samples taken after the end of the applicable monitoring period shall not also be used to meet the monitoring requirements of a subsequent monitoring period. Replacement samples shall be taken at the same locations as the invalidated samples or, if that is not possible, at locations other than those already used for sampling during the monitoring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waivers for small systems. Any small system meeting the criteria of this subparagraph may apply to the department to reduce the lead and copper monitoring frequency under this subrule to once every nine years if it meets all of the materials criteria and monitoring criteria specified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Materials criteria. A system must demonstrate that its distribution system, service lines, and all  plumbing, including plumbing conveying drinking water within all residences and buildings connected to the system, are free of lead-containing materials and copper-containing materials, as defined below: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Lead. A PWS must provide certification and supporting documentation to the department that it is free of all lead-containing materials. The system must not contain any plastic pipes that contain lead plasticizers or plastic service lines that contain lead plasticizers. The system must be free of LSLs, lead pipes, lead soldered pipe joints, and leaded brass or bronze alloy fittings and fixtures unless such fittings and fixtures meet the specifications of any standard established pursuant to </w:t>
      </w:r>
      <w:r>
        <w:rPr>
          <w:rFonts w:ascii="Times New Roman" w:hAnsi="Times New Roman"/>
          <w:b w:val="false"/>
          <w:i w:val="false"/>
          <w:color w:val="000000"/>
          <w:sz w:val="22"/>
        </w:rPr>
        <w:t>42 U.S.C. 300</w:t>
      </w:r>
      <w:r>
        <w:rPr>
          <w:rFonts w:ascii="Times New Roman" w:hAnsi="Times New Roman"/>
          <w:b w:val="false"/>
          <w:i w:val="false"/>
          <w:color w:val="000000"/>
          <w:sz w:val="22"/>
        </w:rPr>
        <w:t>-g-6(e).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Copper. A PWS must provide certification and supporting documentation to the department that the system contains no copper pipes or copper service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criteria. A system must have completed at least one six-month round of standard tap water monitoring for lead and copper at approved sites and from the number of sites required by </w:t>
      </w:r>
      <w:hyperlink r:id="rId162">
        <w:r>
          <w:rPr>
            <w:rStyle w:val="Hyperlink"/>
            <w:rFonts w:ascii="Times New Roman" w:hAnsi="Times New Roman"/>
            <w:b w:val="false"/>
            <w:i w:val="false"/>
            <w:color w:val="000000"/>
            <w:sz w:val="22"/>
          </w:rPr>
          <w:t>41.4(1)</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demonstrate that the 90th percentile levels do not exceed 0.005 mg/L for lead and 0.65 mg/L for copper for any and all rounds of monitoring conducted since the system became free of all lead- and copper-containing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 determination. The department shall notify a system of its waiver determination in writing, including the basis of its decision and any condition of the waiver. The department may require as a waiver condition that a system conduct specific activities, such as limited monitoring or periodic customer outreach to remind them to avoid installation of materials that would void the waiver. A system must continue monitoring for lead and copper at the tap as required by </w:t>
      </w:r>
      <w:hyperlink r:id="rId163">
        <w:r>
          <w:rPr>
            <w:rStyle w:val="Hyperlink"/>
            <w:rFonts w:ascii="Times New Roman" w:hAnsi="Times New Roman"/>
            <w:b w:val="false"/>
            <w:i w:val="false"/>
            <w:color w:val="000000"/>
            <w:sz w:val="22"/>
          </w:rPr>
          <w:t>41.4(1)</w:t>
        </w:r>
        <w:r>
          <w:rPr>
            <w:rFonts w:ascii="Times New Roman" w:hAnsi="Times New Roman"/>
            <w:b w:val="false"/>
            <w:i/>
            <w:color w:val="000000"/>
            <w:sz w:val="22"/>
          </w:rPr>
          <w:t>“c”</w:t>
        </w:r>
        <w:r>
          <w:rPr>
            <w:rFonts w:ascii="Times New Roman" w:hAnsi="Times New Roman"/>
            <w:b w:val="false"/>
            <w:i w:val="false"/>
            <w:color w:val="000000"/>
            <w:sz w:val="22"/>
          </w:rPr>
          <w:t>(4)“1”</w:t>
        </w:r>
      </w:hyperlink>
      <w:r>
        <w:rPr>
          <w:rFonts w:ascii="Times New Roman" w:hAnsi="Times New Roman"/>
          <w:b w:val="false"/>
          <w:i w:val="false"/>
          <w:color w:val="000000"/>
          <w:sz w:val="22"/>
        </w:rPr>
        <w:t xml:space="preserve"> through “4,” as appropriate, until it receives written department approval for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frequency for systems with waivers.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system with a waiver must conduct tap water monitoring for lead and copper in accordance with </w:t>
      </w:r>
      <w:hyperlink r:id="rId16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at the reduced number of sampling sites identified in </w:t>
      </w:r>
      <w:hyperlink r:id="rId16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(3) at least once every nine years and provide the materials certification specified in </w:t>
      </w:r>
      <w:hyperlink r:id="rId166">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(7)“1” for both lead and copper to the department along with the monitoring results. Samples collected every nine years shall be collected no later than every ninth calendar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system with a waiver must notify the department of any upcoming long-term change in treatment or addition of a new source, pursuant to </w:t>
      </w:r>
      <w:hyperlink r:id="rId167">
        <w:r>
          <w:rPr>
            <w:rStyle w:val="Hyperlink"/>
            <w:rFonts w:ascii="Times New Roman" w:hAnsi="Times New Roman"/>
            <w:b w:val="false"/>
            <w:i w:val="false"/>
            <w:color w:val="000000"/>
            <w:sz w:val="22"/>
          </w:rPr>
          <w:t>567—subparagraph 40.8(2)</w:t>
        </w:r>
      </w:hyperlink>
      <w:r>
        <w:rPr>
          <w:rFonts w:ascii="Times New Roman" w:hAnsi="Times New Roman"/>
          <w:b w:val="false"/>
          <w:i/>
          <w:color w:val="000000"/>
          <w:sz w:val="22"/>
        </w:rPr>
        <w:t>“a”</w:t>
      </w:r>
      <w:r>
        <w:rPr>
          <w:rFonts w:ascii="Times New Roman" w:hAnsi="Times New Roman"/>
          <w:b w:val="false"/>
          <w:i w:val="false"/>
          <w:color w:val="000000"/>
          <w:sz w:val="22"/>
        </w:rPr>
        <w:t>(3). The department must review and approve the addition of a new source or long-term change in water treatment before it is implemented by the system. The department has the authority to add or modify waiver conditions if it deems such modifications are necessary.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 system with a waiver becomes aware that it is no longer free of lead-containing or copper-containing materials,  it shall notify the department in writing no later than 60 days after becoming aware of such a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Continued waiver eligibility. If a system continues to satisfy the requirements of </w:t>
      </w:r>
      <w:hyperlink r:id="rId168">
        <w:r>
          <w:rPr>
            <w:rStyle w:val="Hyperlink"/>
            <w:rFonts w:ascii="Times New Roman" w:hAnsi="Times New Roman"/>
            <w:b w:val="false"/>
            <w:i w:val="false"/>
            <w:color w:val="000000"/>
            <w:sz w:val="22"/>
          </w:rPr>
          <w:t>41.4(1)</w:t>
        </w:r>
        <w:r>
          <w:rPr>
            <w:rFonts w:ascii="Times New Roman" w:hAnsi="Times New Roman"/>
            <w:b w:val="false"/>
            <w:i/>
            <w:color w:val="000000"/>
            <w:sz w:val="22"/>
          </w:rPr>
          <w:t>“c”</w:t>
        </w:r>
      </w:hyperlink>
      <w:r>
        <w:rPr>
          <w:rFonts w:ascii="Times New Roman" w:hAnsi="Times New Roman"/>
          <w:b w:val="false"/>
          <w:i w:val="false"/>
          <w:color w:val="000000"/>
          <w:sz w:val="22"/>
        </w:rPr>
        <w:t>(7)“4,” the waiver will be renewed automatically unless either of the conditions below occur. A system whose waiver has been revoked may reapply for a waiver at such time as it again meets the appropriate materials and monitoring criteria in “1” and “2” of this subparagraph.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system no longer satisfies the materials criteria of </w:t>
      </w:r>
      <w:hyperlink r:id="rId169">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(7)“1” or has a 90th percentile lead level greater than 0.005 mg/L or a 90th percentile copper level greater than 0.65 mg/L.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department notifies the system in writing that the waiver has been revoked, including the basis of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 Requirements following waiver revocation. A system whose waiver has been revoked by the department is subject to the following CCT and lead and copper tap water monitoring requirements: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a system exceeds the lead or copper AL, it must implement CCT in accordance with the deadlines specified in </w:t>
      </w:r>
      <w:hyperlink r:id="rId170">
        <w:r>
          <w:rPr>
            <w:rStyle w:val="Hyperlink"/>
            <w:rFonts w:ascii="Times New Roman" w:hAnsi="Times New Roman"/>
            <w:b w:val="false"/>
            <w:i w:val="false"/>
            <w:color w:val="000000"/>
            <w:sz w:val="22"/>
          </w:rPr>
          <w:t>567—paragraph 43.7(1)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any other applicable parts of </w:t>
      </w:r>
      <w:hyperlink r:id="rId171">
        <w:r>
          <w:rPr>
            <w:rStyle w:val="Hyperlink"/>
            <w:rFonts w:ascii="Times New Roman" w:hAnsi="Times New Roman"/>
            <w:b w:val="false"/>
            <w:i w:val="false"/>
            <w:color w:val="000000"/>
            <w:sz w:val="22"/>
          </w:rPr>
          <w:t>567—41.4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a system meets both the lead and copper ALs, it must monitor for lead and copper at the tap no less frequently than once every three years using the reduced number of sample sites specified in </w:t>
      </w:r>
      <w:hyperlink r:id="rId172">
        <w:r>
          <w:rPr>
            <w:rStyle w:val="Hyperlink"/>
            <w:rFonts w:ascii="Times New Roman" w:hAnsi="Times New Roman"/>
            <w:b w:val="false"/>
            <w:i w:val="false"/>
            <w:color w:val="000000"/>
            <w:sz w:val="22"/>
          </w:rPr>
          <w:t>41.4(1)</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quality parameter (WQP) monitoring requirements. </w:t>
      </w:r>
      <w:r>
        <w:rPr>
          <w:rFonts w:ascii="Times New Roman" w:hAnsi="Times New Roman"/>
          <w:b w:val="false"/>
          <w:i w:val="false"/>
          <w:color w:val="000000"/>
          <w:sz w:val="22"/>
        </w:rPr>
        <w:t xml:space="preserve">All large PWSs (and all small and medium-size PWSs that exceed the lead or copper AL) shall monitor WQPs in addition to lead and copper in accordance with this subrule. The requirements of this subrule are summarized in the table at the end of </w:t>
      </w:r>
      <w:hyperlink r:id="rId173">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(6). The WQPs must be reported in accordance with the monthly operation report (MOR) requirements in </w:t>
      </w:r>
      <w:hyperlink r:id="rId174">
        <w:r>
          <w:rPr>
            <w:rStyle w:val="Hyperlink"/>
            <w:rFonts w:ascii="Times New Roman" w:hAnsi="Times New Roman"/>
            <w:b w:val="false"/>
            <w:i w:val="false"/>
            <w:color w:val="000000"/>
            <w:sz w:val="22"/>
          </w:rPr>
          <w:t>567—subrule 40.8(3)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Sample collection methods. Tap samples shall be representative of water quality throughout the distribution system and account for the number of persons served, the different sources of water, the different treatment methods employed by the system, and seasonal variability. Tap sampling under this subrule is not required to be conducted at taps targeted for lead and copper sampling under </w:t>
      </w:r>
      <w:hyperlink r:id="rId175">
        <w:r>
          <w:rPr>
            <w:rStyle w:val="Hyperlink"/>
            <w:rFonts w:ascii="Times New Roman" w:hAnsi="Times New Roman"/>
            <w:b w:val="false"/>
            <w:i w:val="false"/>
            <w:color w:val="000000"/>
            <w:sz w:val="22"/>
          </w:rPr>
          <w:t>41.4(1)</w:t>
        </w:r>
        <w:r>
          <w:rPr>
            <w:rFonts w:ascii="Times New Roman" w:hAnsi="Times New Roman"/>
            <w:b w:val="false"/>
            <w:i/>
            <w:color w:val="000000"/>
            <w:sz w:val="22"/>
          </w:rPr>
          <w:t>“c”</w:t>
        </w:r>
        <w:r>
          <w:rPr>
            <w:rFonts w:ascii="Times New Roman" w:hAnsi="Times New Roman"/>
            <w:b w:val="false"/>
            <w:i w:val="false"/>
            <w:color w:val="000000"/>
            <w:sz w:val="22"/>
          </w:rPr>
          <w:t>(1)“1.”</w:t>
        </w:r>
      </w:hyperlink>
      <w:r>
        <w:rPr>
          <w:rFonts w:ascii="Times New Roman" w:hAnsi="Times New Roman"/>
          <w:b w:val="false"/>
          <w:i w:val="false"/>
          <w:color w:val="000000"/>
          <w:sz w:val="22"/>
        </w:rPr>
        <w:t xml:space="preserve"> Systems may conduct tap sampling for WQPs at sites used for coliform sampling. Samples collected at the SEP(s) shall be from locations representative of each source after treatment. If a system draws water from more than one source and the sources are combined before distribution, it must sample at an SEP during periods of normal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samples.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Systems shall collect two tap samples for applicable WQPs during each monitoring period specified in </w:t>
      </w:r>
      <w:hyperlink r:id="rId176">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(2) through </w:t>
      </w:r>
      <w:r>
        <w:rPr>
          <w:rFonts w:ascii="Times New Roman" w:hAnsi="Times New Roman"/>
          <w:b w:val="false"/>
          <w:i/>
          <w:color w:val="000000"/>
          <w:sz w:val="22"/>
        </w:rPr>
        <w:t>“d”</w:t>
      </w:r>
      <w:r>
        <w:rPr>
          <w:rFonts w:ascii="Times New Roman" w:hAnsi="Times New Roman"/>
          <w:b w:val="false"/>
          <w:i w:val="false"/>
          <w:color w:val="000000"/>
          <w:sz w:val="22"/>
        </w:rPr>
        <w:t>(5) from the following number of sites.</w:t>
      </w:r>
    </w:p>
    <w:p>
      <w:pPr>
        <w:spacing w:before="60" w:after="0"/>
        <w:ind w:left="120"/>
        <w:jc w:val="center"/>
      </w:pPr>
      <w:r>
        <w:rPr>
          <w:rFonts w:ascii="Times New Roman" w:hAnsi="Times New Roman"/>
          <w:b/>
          <w:i w:val="false"/>
          <w:color w:val="000000"/>
          <w:sz w:val="22"/>
        </w:rPr>
        <w:t>Required Number of Samples: WQPs</w:t>
      </w: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10"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System Size (Number of People Served)</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Number of Sites for WQPs</w:t>
            </w:r>
          </w:p>
        </w:tc>
      </w:tr>
      <w:tr>
        <w:trPr>
          <w:trHeight w:val="210" w:hRule="atLeast"/>
        </w:trPr>
        <w:tc>
          <w:tcPr>
            <w:tcW w:w="5760"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greater than 100,000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10" w:hRule="atLeast"/>
        </w:trPr>
        <w:tc>
          <w:tcPr>
            <w:tcW w:w="5760"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10,001 to 100,000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5760"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3,301 to 10,000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10" w:hRule="atLeast"/>
        </w:trPr>
        <w:tc>
          <w:tcPr>
            <w:tcW w:w="5760"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501 to 3,300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10" w:hRule="atLeast"/>
        </w:trPr>
        <w:tc>
          <w:tcPr>
            <w:tcW w:w="5760"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101 to 500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r>
        <w:trPr>
          <w:trHeight w:val="210" w:hRule="atLeast"/>
        </w:trPr>
        <w:tc>
          <w:tcPr>
            <w:tcW w:w="5760"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less than or equal to 100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bl>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Except as provided in </w:t>
      </w:r>
      <w:hyperlink r:id="rId177">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(3)“3,” systems shall collect two samples for each applicable WQP at each SEP during each six-month monitoring period specified in </w:t>
      </w:r>
      <w:hyperlink r:id="rId178">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(2). During each monitoring period specified in </w:t>
      </w:r>
      <w:hyperlink r:id="rId179">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(3) through </w:t>
      </w:r>
      <w:hyperlink r:id="rId180">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(5), systems shall collect one sample for each applicable WQP at each SEP.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sampling.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each six-month monitoring period specified in </w:t>
      </w:r>
      <w:hyperlink r:id="rId18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Large PWS shall measure the applicable WQP specified below at taps and at each SEP.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Small and medium-size systems shall measure the applicable WQPs at taps and at each SEP,  during which the system exceeds the lead or copper 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Tap water and SEP monitoring shall include: pH; alkalinity; orthophosphate, when an inhibitor containing a phosphate compound is used; silica, when an inhibitor containing a silicate compound is used; calcium; conductivity; and water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after installation of corrosion control. Large systems that install OCCT pursuant to </w:t>
      </w:r>
      <w:hyperlink r:id="rId182">
        <w:r>
          <w:rPr>
            <w:rStyle w:val="Hyperlink"/>
            <w:rFonts w:ascii="Times New Roman" w:hAnsi="Times New Roman"/>
            <w:b w:val="false"/>
            <w:i w:val="false"/>
            <w:color w:val="000000"/>
            <w:sz w:val="22"/>
          </w:rPr>
          <w:t>567—subparagraph 43.7(1)</w:t>
        </w:r>
      </w:hyperlink>
      <w:r>
        <w:rPr>
          <w:rFonts w:ascii="Times New Roman" w:hAnsi="Times New Roman"/>
          <w:b w:val="false"/>
          <w:i/>
          <w:color w:val="000000"/>
          <w:sz w:val="22"/>
        </w:rPr>
        <w:t>“d”</w:t>
      </w:r>
      <w:r>
        <w:rPr>
          <w:rFonts w:ascii="Times New Roman" w:hAnsi="Times New Roman"/>
          <w:b w:val="false"/>
          <w:i w:val="false"/>
          <w:color w:val="000000"/>
          <w:sz w:val="22"/>
        </w:rPr>
        <w:t xml:space="preserve">(4) shall measure the WQPs at the locations and frequencies specified below during each six-month monitoring period specified in </w:t>
      </w:r>
      <w:hyperlink r:id="rId18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(4)“2.” Small or medium-size systems that install OCCT shall conduct such monitoring during each six-month monitoring period specified in </w:t>
      </w:r>
      <w:hyperlink r:id="rId18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(4)“2” in which the system exceeds the lead or copper 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Tap water monitoring shall include two samples for: pH; alkalinity; orthophosphate, when an inhibitor containing a phosphate compound is used; silica, when an inhibitor containing a silicate compound is used; and calcium, when calcium carbonate stabilization is used as part of corrosion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Except as provided in </w:t>
      </w:r>
      <w:hyperlink r:id="rId185">
        <w:r>
          <w:rPr>
            <w:rStyle w:val="Hyperlink"/>
            <w:rFonts w:ascii="Times New Roman" w:hAnsi="Times New Roman"/>
            <w:b w:val="false"/>
            <w:i w:val="false"/>
            <w:color w:val="000000"/>
            <w:sz w:val="22"/>
          </w:rPr>
          <w:t>41.4(1)</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“3,” monitoring at each SEP shall include one sample every two weeks (biweekly) for: pH; a reading of the dosage rate of the chemical used to adjust alkalinity, and the alkalinity concentration when alkalinity is adjusted as part of OCC; and a reading of the dosage rate of the inhibitor used, and the concentration of orthophosphate or silica (whichever is applicable) when a corrosion inhibitor is used as part of OCC.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GW system can limit SEP sampling to those entry points that are representative of water quality and treatment conditions throughout the system. If water from untreated GW sources mixes with water from treated GW sources, a system must monitor for WQPs both at representative SEPs receiving treatment and representative SEPs receiving no treatment. Prior to the start of any monitoring under this paragraph, the system shall provide the department with written information identifying the selected SEPs and documentation sufficient to demonstrate that the sites are representative of water quality and treatment conditions throughout the system, including information on seasonal variability.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after the department specifies WQPs for OCC. After the department specifies the values for applicable WQP  reflecting OCCT under </w:t>
      </w:r>
      <w:hyperlink r:id="rId186">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all large systems shall measure the applicable WQPs according to </w:t>
      </w:r>
      <w:hyperlink r:id="rId187">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(3) and determine compliance with </w:t>
      </w:r>
      <w:hyperlink r:id="rId188">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“g”</w:t>
      </w:r>
      <w:r>
        <w:rPr>
          <w:rFonts w:ascii="Times New Roman" w:hAnsi="Times New Roman"/>
          <w:b w:val="false"/>
          <w:i w:val="false"/>
          <w:color w:val="000000"/>
          <w:sz w:val="22"/>
        </w:rPr>
        <w:t xml:space="preserve"> every six months, with the first six-month period to begin on either January 1 or July 1, whichever comes first. Any small or medium-size system shall conduct such monitoring during each monitoring period specified in </w:t>
      </w:r>
      <w:hyperlink r:id="rId189">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(4)“3” in which the system exceeds the lead or copper AL. For any such small and medium-size system subject to a reduced monitoring frequency pursuant to </w:t>
      </w:r>
      <w:hyperlink r:id="rId19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through “12” at the time of the AL exceedance, the start of the applicable six-month monitoring period under this paragraph shall coincide with the end of the applicable monitoring period under </w:t>
      </w:r>
      <w:hyperlink r:id="rId19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through “12.” Compliance with department-designated optimal WQP values shall be determined as specified in </w:t>
      </w:r>
      <w:hyperlink r:id="rId192">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Reduced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PWSs that maintain the range of values for the WQP reflecting OCCT during each of two consecutive six-month monitoring periods under </w:t>
      </w:r>
      <w:hyperlink r:id="rId19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 shall continue monitoring at the SEP(s) as specified in </w:t>
      </w:r>
      <w:hyperlink r:id="rId194">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Such systems may collect two tap samples for applicable WQPs from the following reduced number of sites during each six-month monitoring period.</w:t>
      </w:r>
    </w:p>
    <w:p>
      <w:pPr>
        <w:spacing w:before="60" w:after="0"/>
        <w:ind w:left="120"/>
        <w:jc w:val="center"/>
      </w:pPr>
      <w:r>
        <w:rPr>
          <w:rFonts w:ascii="Times New Roman" w:hAnsi="Times New Roman"/>
          <w:b/>
          <w:i w:val="false"/>
          <w:color w:val="000000"/>
          <w:sz w:val="22"/>
        </w:rPr>
        <w:t>Reduced WQP  Monitoring</w:t>
      </w: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10"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System Size (Number of People Served)</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Reduced Number of Sites for WQP</w:t>
            </w:r>
          </w:p>
        </w:tc>
      </w:tr>
      <w:tr>
        <w:trPr>
          <w:trHeight w:val="210" w:hRule="atLeast"/>
        </w:trPr>
        <w:tc>
          <w:tcPr>
            <w:tcW w:w="5760"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greater than 100,000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5760"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10,001 to 100,000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r>
      <w:tr>
        <w:trPr>
          <w:trHeight w:val="210" w:hRule="atLeast"/>
        </w:trPr>
        <w:tc>
          <w:tcPr>
            <w:tcW w:w="5760"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3,301 to 10,000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10" w:hRule="atLeast"/>
        </w:trPr>
        <w:tc>
          <w:tcPr>
            <w:tcW w:w="5760"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501 to 3,300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10" w:hRule="atLeast"/>
        </w:trPr>
        <w:tc>
          <w:tcPr>
            <w:tcW w:w="5760"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101 to 500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r>
        <w:trPr>
          <w:trHeight w:val="210" w:hRule="atLeast"/>
        </w:trPr>
        <w:tc>
          <w:tcPr>
            <w:tcW w:w="5760" w:type="dxa"/>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less than or equal to 100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PWS that maintains the range of values for the WQPs reflecting OCCT specified in </w:t>
      </w:r>
      <w:hyperlink r:id="rId195">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during three consecutive years of monitoring may reduce the sample collection frequency for the number of tap samples for the applicable WQPs specified in </w:t>
      </w:r>
      <w:hyperlink r:id="rId196">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(5) from every six months to annually. This sampling shall begin during the calendar year immediately following the end of the monitoring period in which the third consecutive year of six-month monitoring occurs. Any system that maintains the range of values for the WQP reflecting OCCT specified in </w:t>
      </w:r>
      <w:hyperlink r:id="rId197">
        <w:r>
          <w:rPr>
            <w:rStyle w:val="Hyperlink"/>
            <w:rFonts w:ascii="Times New Roman" w:hAnsi="Times New Roman"/>
            <w:b w:val="false"/>
            <w:i w:val="false"/>
            <w:color w:val="000000"/>
            <w:sz w:val="22"/>
          </w:rPr>
          <w:t>567—paragraph 43.7(2)</w:t>
        </w:r>
        <w:r>
          <w:rPr>
            <w:rFonts w:ascii="Times New Roman" w:hAnsi="Times New Roman"/>
            <w:b w:val="false"/>
            <w:i/>
            <w:color w:val="000000"/>
            <w:sz w:val="22"/>
          </w:rPr>
          <w:t>“f”</w:t>
        </w:r>
      </w:hyperlink>
      <w:r>
        <w:rPr>
          <w:rFonts w:ascii="Times New Roman" w:hAnsi="Times New Roman"/>
          <w:b w:val="false"/>
          <w:i w:val="false"/>
          <w:color w:val="000000"/>
          <w:sz w:val="22"/>
        </w:rPr>
        <w:t xml:space="preserve"> during three consecutive years of annual monitoring may reduce the sample collection frequency for number of tap samples for applicable WQPs specified in </w:t>
      </w:r>
      <w:hyperlink r:id="rId198">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(5) from annually to every three years. This sampling shall begin no later than the third calendar year following the end of the monitoring period in which the third consecutive year of monitoring occurs.</w:t>
      </w:r>
    </w:p>
    <w:p>
      <w:pPr>
        <w:spacing w:before="0" w:after="0"/>
        <w:ind w:left="120"/>
        <w:jc w:val="both"/>
      </w:pPr>
      <w:r>
        <w:rPr>
          <w:rFonts w:ascii="Times New Roman" w:hAnsi="Times New Roman"/>
          <w:b w:val="false"/>
          <w:i w:val="false"/>
          <w:color w:val="000000"/>
          <w:sz w:val="22"/>
        </w:rPr>
        <w:t xml:space="preserve"> A system may reduce the sample collection frequency for tap samples for applicable WQPs specified in </w:t>
      </w:r>
      <w:hyperlink r:id="rId199">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(5)“1” to every three years if it demonstrates during two consecutive monitoring periods that its tap water lead level at the 90th percentile is less than or equal to 0.005 mg/L, that its tap water copper level at the 90th percentile is less than or equal to 0.65 mg/L, and that it has maintained the range of values for the WQPs reflecting OCCT specified in </w:t>
      </w:r>
      <w:hyperlink r:id="rId200">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Monitoring conducted every three years shall be done no later than every third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PWS that conducts sampling annually shall collect these samples evenly throughout the year so as to reflect seasonal variability.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PWS subject to the reduced monitoring frequency that fails to operate at or above the minimum value or within the range of values for the WQPs specified in </w:t>
      </w:r>
      <w:hyperlink r:id="rId201">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more than nine days in any six-month period specified in </w:t>
      </w:r>
      <w:hyperlink r:id="rId202">
        <w:r>
          <w:rPr>
            <w:rStyle w:val="Hyperlink"/>
            <w:rFonts w:ascii="Times New Roman" w:hAnsi="Times New Roman"/>
            <w:b w:val="false"/>
            <w:i w:val="false"/>
            <w:color w:val="000000"/>
            <w:sz w:val="22"/>
          </w:rPr>
          <w:t>567—paragraph 43.7(2)</w:t>
        </w:r>
      </w:hyperlink>
      <w:r>
        <w:rPr>
          <w:rFonts w:ascii="Times New Roman" w:hAnsi="Times New Roman"/>
          <w:b w:val="false"/>
          <w:i/>
          <w:color w:val="000000"/>
          <w:sz w:val="22"/>
        </w:rPr>
        <w:t>“g”</w:t>
      </w:r>
      <w:r>
        <w:rPr>
          <w:rFonts w:ascii="Times New Roman" w:hAnsi="Times New Roman"/>
          <w:b w:val="false"/>
          <w:i w:val="false"/>
          <w:color w:val="000000"/>
          <w:sz w:val="22"/>
        </w:rPr>
        <w:t xml:space="preserve"> shall resume distribution system tap sampling in accordance with </w:t>
      </w:r>
      <w:hyperlink r:id="rId203">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(3). Such a system may resume annual monitoring for WQPs at the tap at the reduced number of sites specified in </w:t>
      </w:r>
      <w:hyperlink r:id="rId204">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(5)“1” after it has completed two subsequent consecutive six-month rounds of monitoring that meet the criteria of that paragraph or may resume triennial monitoring for WQPs at the tap at the reduced number of sites after it demonstrates through subsequent rounds of monitoring that it meets the criteria in </w:t>
      </w:r>
      <w:hyperlink r:id="rId205">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monitoring. The results of any monitoring conducted in addition to the minimum requirements of this subrule shall be considered in making any determinations under this subrule or </w:t>
      </w:r>
      <w:hyperlink r:id="rId206">
        <w:r>
          <w:rPr>
            <w:rStyle w:val="Hyperlink"/>
            <w:rFonts w:ascii="Times New Roman" w:hAnsi="Times New Roman"/>
            <w:b w:val="false"/>
            <w:i w:val="false"/>
            <w:color w:val="000000"/>
            <w:sz w:val="22"/>
          </w:rPr>
          <w:t>567—subrule 43.7(2)</w:t>
        </w:r>
      </w:hyperlink>
      <w:r>
        <w:rPr>
          <w:rFonts w:ascii="Times New Roman" w:hAnsi="Times New Roman"/>
          <w:b w:val="false"/>
          <w:i w:val="false"/>
          <w:color w:val="000000"/>
          <w:sz w:val="22"/>
        </w:rPr>
        <w:t>. </w:t>
      </w:r>
    </w:p>
    <w:p>
      <w:pPr>
        <w:spacing w:before="60" w:after="0"/>
        <w:ind w:left="120"/>
        <w:jc w:val="center"/>
      </w:pPr>
      <w:r>
        <w:rPr>
          <w:rFonts w:ascii="Times New Roman" w:hAnsi="Times New Roman"/>
          <w:b/>
          <w:i w:val="false"/>
          <w:color w:val="000000"/>
          <w:sz w:val="22"/>
        </w:rPr>
        <w:t>Summary of Monitoring Requirements for WQPs</w:t>
      </w:r>
      <w:r>
        <w:rPr>
          <w:rFonts w:ascii="Times New Roman" w:hAnsi="Times New Roman"/>
          <w:b/>
          <w:i w:val="false"/>
          <w:color w:val="000000"/>
          <w:sz w:val="18"/>
          <w:vertAlign w:val="superscript"/>
        </w:rPr>
        <w:t>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535"/>
        <w:gridCol w:w="1728"/>
        <w:gridCol w:w="4723"/>
        <w:gridCol w:w="2534"/>
      </w:tblGrid>
      <w:tr>
        <w:trPr>
          <w:trHeight w:val="240" w:hRule="atLeast"/>
        </w:trPr>
        <w:tc>
          <w:tcPr>
            <w:tcW w:w="25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Monitoring Period</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Location</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WQPs</w:t>
            </w:r>
            <w:r>
              <w:rPr>
                <w:rFonts w:ascii="Times New Roman" w:hAnsi="Times New Roman"/>
                <w:b/>
                <w:i w:val="false"/>
                <w:color w:val="000000"/>
                <w:sz w:val="18"/>
                <w:vertAlign w:val="superscript"/>
              </w:rPr>
              <w:t>2</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Frequency</w:t>
            </w:r>
          </w:p>
        </w:tc>
      </w:tr>
      <w:tr>
        <w:trPr>
          <w:trHeight w:val="390" w:hRule="atLeast"/>
        </w:trPr>
        <w:tc>
          <w:tcPr>
            <w:tcW w:w="25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Initial Monitoring</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Taps and SEP(s)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orthophosphate or silica</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 calcium, conductivity, temperature</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Every 6 months</w:t>
            </w:r>
          </w:p>
        </w:tc>
      </w:tr>
      <w:tr>
        <w:trPr>
          <w:trHeight w:val="240" w:hRule="atLeast"/>
        </w:trPr>
        <w:tc>
          <w:tcPr>
            <w:tcW w:w="2535"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After Installation of Corrosion Control</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Taps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orthophosphate or silica</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 calcium</w:t>
            </w:r>
            <w:r>
              <w:rPr>
                <w:rFonts w:ascii="Times New Roman" w:hAnsi="Times New Roman"/>
                <w:b w:val="false"/>
                <w:i w:val="false"/>
                <w:color w:val="000000"/>
                <w:sz w:val="18"/>
                <w:vertAlign w:val="superscript"/>
              </w:rPr>
              <w:t>4</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Every 6 months</w:t>
            </w:r>
          </w:p>
        </w:tc>
      </w:tr>
      <w:tr>
        <w:trPr>
          <w:trHeight w:val="555" w:hRule="atLeast"/>
        </w:trPr>
        <w:tc>
          <w:tcPr>
            <w:tcW w:w="0" w:type="auto"/>
            <w:vMerge/>
            <w:tcBorders>
              <w:top w:val="nil"/>
              <w:bottom w:val="single" w:color="000000" w:sz="8"/>
              <w:right w:val="single" w:color="000000" w:sz="8"/>
            </w:tcBorders>
          </w:tcP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SEP(s)</w:t>
            </w:r>
            <w:r>
              <w:rPr>
                <w:rFonts w:ascii="Times New Roman" w:hAnsi="Times New Roman"/>
                <w:b w:val="false"/>
                <w:i w:val="false"/>
                <w:color w:val="000000"/>
                <w:sz w:val="18"/>
                <w:vertAlign w:val="superscript"/>
              </w:rPr>
              <w:t>6</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if alkalinity is adjusted as part of corrosion control then include the chemical additive dosage rate and concentration, inhibitor dosage rate and inhibitor residual</w:t>
            </w:r>
            <w:r>
              <w:rPr>
                <w:rFonts w:ascii="Times New Roman" w:hAnsi="Times New Roman"/>
                <w:b w:val="false"/>
                <w:i w:val="false"/>
                <w:color w:val="000000"/>
                <w:sz w:val="18"/>
                <w:vertAlign w:val="superscript"/>
              </w:rPr>
              <w:t>5</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 least every 2 weeks</w:t>
            </w:r>
          </w:p>
        </w:tc>
      </w:tr>
      <w:tr>
        <w:trPr>
          <w:trHeight w:val="240" w:hRule="atLeast"/>
        </w:trPr>
        <w:tc>
          <w:tcPr>
            <w:tcW w:w="2535"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After Department Specifies WQP Values for OCC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Taps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orthophosphate or silica</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 calcium</w:t>
            </w:r>
            <w:r>
              <w:rPr>
                <w:rFonts w:ascii="Times New Roman" w:hAnsi="Times New Roman"/>
                <w:b w:val="false"/>
                <w:i w:val="false"/>
                <w:color w:val="000000"/>
                <w:sz w:val="18"/>
                <w:vertAlign w:val="superscript"/>
              </w:rPr>
              <w:t>4</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Every 6 months</w:t>
            </w:r>
          </w:p>
        </w:tc>
      </w:tr>
      <w:tr>
        <w:trPr>
          <w:trHeight w:val="555" w:hRule="atLeast"/>
        </w:trPr>
        <w:tc>
          <w:tcPr>
            <w:tcW w:w="0" w:type="auto"/>
            <w:vMerge/>
            <w:tcBorders>
              <w:top w:val="nil"/>
              <w:bottom w:val="single" w:color="000000" w:sz="8"/>
              <w:right w:val="single" w:color="000000" w:sz="8"/>
            </w:tcBorders>
          </w:tcP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SEP(s)</w:t>
            </w:r>
            <w:r>
              <w:rPr>
                <w:rFonts w:ascii="Times New Roman" w:hAnsi="Times New Roman"/>
                <w:b w:val="false"/>
                <w:i w:val="false"/>
                <w:color w:val="000000"/>
                <w:sz w:val="18"/>
                <w:vertAlign w:val="superscript"/>
              </w:rPr>
              <w:t>6</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if alkalinity is adjusted as part of corrosion control then include the chemical additive dosage rate and concentration, inhibitor dosage rate and inhibitor residual</w:t>
            </w:r>
            <w:r>
              <w:rPr>
                <w:rFonts w:ascii="Times New Roman" w:hAnsi="Times New Roman"/>
                <w:b w:val="false"/>
                <w:i w:val="false"/>
                <w:color w:val="000000"/>
                <w:sz w:val="18"/>
                <w:vertAlign w:val="superscript"/>
              </w:rPr>
              <w:t>5</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 least every 2 weeks</w:t>
            </w:r>
          </w:p>
        </w:tc>
      </w:tr>
      <w:tr>
        <w:trPr>
          <w:trHeight w:val="585" w:hRule="atLeast"/>
        </w:trPr>
        <w:tc>
          <w:tcPr>
            <w:tcW w:w="2535"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Reduced Monitoring</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Taps</w:t>
            </w:r>
          </w:p>
        </w:tc>
        <w:tc>
          <w:tcPr>
            <w:tcW w:w="47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orthophosphate or silica</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 calcium</w:t>
            </w:r>
            <w:r>
              <w:rPr>
                <w:rFonts w:ascii="Times New Roman" w:hAnsi="Times New Roman"/>
                <w:b w:val="false"/>
                <w:i w:val="false"/>
                <w:color w:val="000000"/>
                <w:sz w:val="18"/>
                <w:vertAlign w:val="superscript"/>
              </w:rPr>
              <w:t>4</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Every 6 months, annually</w:t>
            </w:r>
            <w:r>
              <w:rPr>
                <w:rFonts w:ascii="Times New Roman" w:hAnsi="Times New Roman"/>
                <w:b w:val="false"/>
                <w:i w:val="false"/>
                <w:color w:val="000000"/>
                <w:sz w:val="18"/>
                <w:vertAlign w:val="superscript"/>
              </w:rPr>
              <w:t>7</w:t>
            </w:r>
            <w:r>
              <w:rPr>
                <w:rFonts w:ascii="Times New Roman" w:hAnsi="Times New Roman"/>
                <w:b w:val="false"/>
                <w:i w:val="false"/>
                <w:color w:val="000000"/>
                <w:sz w:val="14"/>
              </w:rPr>
              <w:t>, or every 3 years</w:t>
            </w:r>
            <w:r>
              <w:rPr>
                <w:rFonts w:ascii="Times New Roman" w:hAnsi="Times New Roman"/>
                <w:b w:val="false"/>
                <w:i w:val="false"/>
                <w:color w:val="000000"/>
                <w:sz w:val="18"/>
                <w:vertAlign w:val="superscript"/>
              </w:rPr>
              <w:t>8</w:t>
            </w:r>
            <w:r>
              <w:rPr>
                <w:rFonts w:ascii="Times New Roman" w:hAnsi="Times New Roman"/>
                <w:b w:val="false"/>
                <w:i w:val="false"/>
                <w:color w:val="000000"/>
                <w:sz w:val="14"/>
              </w:rPr>
              <w:t>, at a reduced number of sites</w:t>
            </w:r>
          </w:p>
        </w:tc>
      </w:tr>
      <w:tr>
        <w:trPr>
          <w:trHeight w:val="555" w:hRule="atLeast"/>
        </w:trPr>
        <w:tc>
          <w:tcPr>
            <w:tcW w:w="0" w:type="auto"/>
            <w:vMerge/>
            <w:tcBorders>
              <w:top w:val="nil"/>
              <w:bottom w:val="single" w:color="000000" w:sz="8"/>
              <w:right w:val="single" w:color="000000" w:sz="8"/>
            </w:tcBorders>
          </w:tcPr>
          <w:p/>
        </w:tc>
        <w:tc>
          <w:tcPr>
            <w:tcW w:w="172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SEP(s)</w:t>
            </w:r>
            <w:r>
              <w:rPr>
                <w:rFonts w:ascii="Times New Roman" w:hAnsi="Times New Roman"/>
                <w:b w:val="false"/>
                <w:i w:val="false"/>
                <w:color w:val="000000"/>
                <w:sz w:val="18"/>
                <w:vertAlign w:val="superscript"/>
              </w:rPr>
              <w:t>6</w:t>
            </w:r>
          </w:p>
        </w:tc>
        <w:tc>
          <w:tcPr>
            <w:tcW w:w="472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 alkalinity, if alkalinity is adjusted as part of corrosion control then include the chemical additive dosage rate and concentration, inhibitor dosage rate and inhibitor residual</w:t>
            </w:r>
            <w:r>
              <w:rPr>
                <w:rFonts w:ascii="Times New Roman" w:hAnsi="Times New Roman"/>
                <w:b w:val="false"/>
                <w:i w:val="false"/>
                <w:color w:val="000000"/>
                <w:sz w:val="18"/>
                <w:vertAlign w:val="superscript"/>
              </w:rPr>
              <w:t>5</w:t>
            </w:r>
          </w:p>
        </w:tc>
        <w:tc>
          <w:tcPr>
            <w:tcW w:w="25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 least every 2 weeks</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Table is for illustrative purposes; consult the text of this subrule for precise regulatory requirements.</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Small and medium-size systems must monitor for WQPs only during monitoring periods in which the system exceeds the lead or copper AL. </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Orthophosphate must be measured only when an inhibitor containing a phosphate compound is used. Silica must be measured only when an inhibitor containing a silicate compound is used. </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Calcium must be measured only when calcium carbonate stabilization is used as part of corrosion control.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Inhibitor dosage rates and inhibitor residual concentrations (orthophosphate or silica) must be measured only when an inhibitor is used.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GW systems may limit monitoring to representative locations throughout the systems. </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Systems may reduce monitoring frequency for WQPs at the tap from every six months to annually if they have maintained the range of values for WQPs reflecting OCC during three consecutive years of monitoring. </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Systems may further reduce the monitoring frequency for WQPs at the tap from annually to once every three years if they have maintained the range of values for WQPs reflecting OCC during three consecutive years of annual monitoring. Systems may accelerate to triennial monitoring for WQPs at the tap if they have maintained 90th percentile lead levels less than or equal to 0.005 mg/L, 90th percentile copper levels less than or equal to 0.65mg/L, and the range of WQPs designated by the department under </w:t>
      </w:r>
      <w:hyperlink r:id="rId207">
        <w:r>
          <w:rPr>
            <w:rStyle w:val="Hyperlink"/>
            <w:rFonts w:ascii="Times New Roman" w:hAnsi="Times New Roman"/>
            <w:b w:val="false"/>
            <w:i w:val="false"/>
            <w:color w:val="000000"/>
            <w:sz w:val="16"/>
          </w:rPr>
          <w:t>567—paragraph 43.7(2)</w:t>
        </w:r>
      </w:hyperlink>
      <w:r>
        <w:rPr>
          <w:rFonts w:ascii="Times New Roman" w:hAnsi="Times New Roman"/>
          <w:b w:val="false"/>
          <w:i/>
          <w:color w:val="000000"/>
          <w:sz w:val="16"/>
        </w:rPr>
        <w:t>“f”</w:t>
      </w:r>
      <w:r>
        <w:rPr>
          <w:rFonts w:ascii="Times New Roman" w:hAnsi="Times New Roman"/>
          <w:b w:val="false"/>
          <w:i w:val="false"/>
          <w:color w:val="000000"/>
          <w:sz w:val="16"/>
        </w:rPr>
        <w:t xml:space="preserve"> as representing OCC during two consecutive six-month monitoring periods.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Lead and copper source water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Sample location, collection methods, and number of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PWS that fails to meet the lead or copper AL on the basis of tap samples collected in accordance with </w:t>
      </w:r>
      <w:hyperlink r:id="rId20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collect lead and copper source water samples in accordance with the following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GW systems shall take a minimum of one sample at every entry point to the distribution system (hereafter called source/entry point or SEP) representative of each well after treatment. The system shall take one sample at the same SEP unless conditions make another sampling location more representative of each source or treatment plant.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SW systems and any system with a combination of SW and GW shall take a minimum of one sample at SEP after any application of treatment or in the distribution system at a point representative of each source after treatment. The system shall take each sample at the same sampling point unless conditions make another sampling point more representative of each source or treatment plant.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 system draws water from more than one source and the sources are combined before distribution, the system must sample at an SEP during periods of normal operating conditions, when water is representative of all sources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results of sampling indicate an exceedance of maximum permissible source water levels established under </w:t>
      </w:r>
      <w:hyperlink r:id="rId209">
        <w:r>
          <w:rPr>
            <w:rStyle w:val="Hyperlink"/>
            <w:rFonts w:ascii="Times New Roman" w:hAnsi="Times New Roman"/>
            <w:b w:val="false"/>
            <w:i w:val="false"/>
            <w:color w:val="000000"/>
            <w:sz w:val="22"/>
          </w:rPr>
          <w:t>567—subparagraph 43.7(3)</w:t>
        </w:r>
      </w:hyperlink>
      <w:r>
        <w:rPr>
          <w:rFonts w:ascii="Times New Roman" w:hAnsi="Times New Roman"/>
          <w:b w:val="false"/>
          <w:i/>
          <w:color w:val="000000"/>
          <w:sz w:val="22"/>
        </w:rPr>
        <w:t>“b”</w:t>
      </w:r>
      <w:r>
        <w:rPr>
          <w:rFonts w:ascii="Times New Roman" w:hAnsi="Times New Roman"/>
          <w:b w:val="false"/>
          <w:i w:val="false"/>
          <w:color w:val="000000"/>
          <w:sz w:val="22"/>
        </w:rPr>
        <w:t>(4), the department may require that one additional sample be collected as soon as possible after the initial sample was taken (but not to exceed two weeks) at the same sampling point. If a confirmation sample is taken for lead or copper, then the results of the initial and confirmation samples shall be averaged in determining compliance with the maximum permissible levels. Lead and copper analytical results below the detection limit shall be considered to be zero. Analytical results above the detection limit but below the practical quantification level (PQL) shall either be considered as the measured value or be considered one-half the PQL.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after system exceeds tap water AL. Any system that exceeds the lead or copper AL at the tap shall collect one source water sample from each SEP no later than six months after the end of the monitoring period during which the lead or copper AL was exceeded. For monitoring periods that are annual or less frequent, the end of the monitoring period is September 30 of the calendar year in which the sampling occurs or, if the department has established an alternate monitoring period, the last day of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after installation of source water treatment. Any system that installs source water treatment pursuant to </w:t>
      </w:r>
      <w:hyperlink r:id="rId210">
        <w:r>
          <w:rPr>
            <w:rStyle w:val="Hyperlink"/>
            <w:rFonts w:ascii="Times New Roman" w:hAnsi="Times New Roman"/>
            <w:b w:val="false"/>
            <w:i w:val="false"/>
            <w:color w:val="000000"/>
            <w:sz w:val="22"/>
          </w:rPr>
          <w:t>567—subparagraph 43.7(3)</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shall collect an additional source water sample from each SEP during two consecutive six-month monitoring periods by the deadline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frequency after the department specifies maximum permissible source water levels or determines that source water treatment is not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PWS shall monitor at the frequency specified below in cases where the department specifies maximum permissible source water levels under </w:t>
      </w:r>
      <w:hyperlink r:id="rId211">
        <w:r>
          <w:rPr>
            <w:rStyle w:val="Hyperlink"/>
            <w:rFonts w:ascii="Times New Roman" w:hAnsi="Times New Roman"/>
            <w:b w:val="false"/>
            <w:i w:val="false"/>
            <w:color w:val="000000"/>
            <w:sz w:val="22"/>
          </w:rPr>
          <w:t>567—subparagraph 43.7(3)</w:t>
        </w:r>
      </w:hyperlink>
      <w:r>
        <w:rPr>
          <w:rFonts w:ascii="Times New Roman" w:hAnsi="Times New Roman"/>
          <w:b w:val="false"/>
          <w:i/>
          <w:color w:val="000000"/>
          <w:sz w:val="22"/>
        </w:rPr>
        <w:t>“b”</w:t>
      </w:r>
      <w:r>
        <w:rPr>
          <w:rFonts w:ascii="Times New Roman" w:hAnsi="Times New Roman"/>
          <w:b w:val="false"/>
          <w:i w:val="false"/>
          <w:color w:val="000000"/>
          <w:sz w:val="22"/>
        </w:rPr>
        <w:t xml:space="preserve">(4) or determines that the system is not required to install source water treatment under </w:t>
      </w:r>
      <w:hyperlink r:id="rId212">
        <w:r>
          <w:rPr>
            <w:rStyle w:val="Hyperlink"/>
            <w:rFonts w:ascii="Times New Roman" w:hAnsi="Times New Roman"/>
            <w:b w:val="false"/>
            <w:i w:val="false"/>
            <w:color w:val="000000"/>
            <w:sz w:val="22"/>
          </w:rPr>
          <w:t>567—subparagraph 43.7(3)</w:t>
        </w:r>
      </w:hyperlink>
      <w:r>
        <w:rPr>
          <w:rFonts w:ascii="Times New Roman" w:hAnsi="Times New Roman"/>
          <w:b w:val="false"/>
          <w:i/>
          <w:color w:val="000000"/>
          <w:sz w:val="22"/>
        </w:rPr>
        <w:t>“b”</w:t>
      </w:r>
      <w:r>
        <w:rPr>
          <w:rFonts w:ascii="Times New Roman" w:hAnsi="Times New Roman"/>
          <w:b w:val="false"/>
          <w:i w:val="false"/>
          <w:color w:val="000000"/>
          <w:sz w:val="22"/>
        </w:rPr>
        <w:t>(2). A PWS using only GW shall collect samples once during the three-year compliance period in effect when the department makes this determination. Such systems shall collect samples once during each subsequent compliance period. Triennial samples shall be collected every third calendar year. A PWS using SW (or a combination of SW and GW) shall collect samples once during each year, the first annual monitoring period to begin during the year in which the department determination is made under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PWS using only GW is not required to conduct lead or copper source water sampling if it meets the AL for the specific contaminant in tap water samples during the entire source water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Reduced monitoring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system using only GW may reduce the lead and copper monitoring frequency in source water to once during each nine-year compliance cycle provided that the samples are collected no later than every ninth calendar year and the system meets one of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system demonstrates that finished drinking water entering the distribution system has been maintained below the maximum permissible lead or copper concentrations specified in </w:t>
      </w:r>
      <w:hyperlink r:id="rId213">
        <w:r>
          <w:rPr>
            <w:rStyle w:val="Hyperlink"/>
            <w:rFonts w:ascii="Times New Roman" w:hAnsi="Times New Roman"/>
            <w:b w:val="false"/>
            <w:i w:val="false"/>
            <w:color w:val="000000"/>
            <w:sz w:val="22"/>
          </w:rPr>
          <w:t>567—subparagraph 43.7(3)</w:t>
        </w:r>
      </w:hyperlink>
      <w:r>
        <w:rPr>
          <w:rFonts w:ascii="Times New Roman" w:hAnsi="Times New Roman"/>
          <w:b w:val="false"/>
          <w:i/>
          <w:color w:val="000000"/>
          <w:sz w:val="22"/>
        </w:rPr>
        <w:t>“b”</w:t>
      </w:r>
      <w:r>
        <w:rPr>
          <w:rFonts w:ascii="Times New Roman" w:hAnsi="Times New Roman"/>
          <w:b w:val="false"/>
          <w:i w:val="false"/>
          <w:color w:val="000000"/>
          <w:sz w:val="22"/>
        </w:rPr>
        <w:t xml:space="preserve">(4) during at least three consecutive compliance periods under </w:t>
      </w:r>
      <w:hyperlink r:id="rId214">
        <w:r>
          <w:rPr>
            <w:rStyle w:val="Hyperlink"/>
            <w:rFonts w:ascii="Times New Roman" w:hAnsi="Times New Roman"/>
            <w:b w:val="false"/>
            <w:i w:val="false"/>
            <w:color w:val="000000"/>
            <w:sz w:val="22"/>
          </w:rPr>
          <w:t>41.4(1)</w:t>
        </w:r>
        <w:r>
          <w:rPr>
            <w:rFonts w:ascii="Times New Roman" w:hAnsi="Times New Roman"/>
            <w:b w:val="false"/>
            <w:i/>
            <w:color w:val="000000"/>
            <w:sz w:val="22"/>
          </w:rPr>
          <w:t>“e”</w:t>
        </w:r>
        <w:r>
          <w:rPr>
            <w:rFonts w:ascii="Times New Roman" w:hAnsi="Times New Roman"/>
            <w:b w:val="false"/>
            <w:i w:val="false"/>
            <w:color w:val="000000"/>
            <w:sz w:val="22"/>
          </w:rPr>
          <w:t>(4)“1”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department has determined that source water treatment is not needed and the system demonstrates that, during at least three consecutive compliance periods in which sampling was conducted under </w:t>
      </w:r>
      <w:hyperlink r:id="rId215">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r>
        <w:rPr>
          <w:rFonts w:ascii="Times New Roman" w:hAnsi="Times New Roman"/>
          <w:b w:val="false"/>
          <w:i w:val="false"/>
          <w:color w:val="000000"/>
          <w:sz w:val="22"/>
        </w:rPr>
        <w:t>(4)“1,” the concentrations in the source water were less than or equal to 0.005 mg/L for lead and less than or equal to 0.65 mg/L for copper.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PWS using SW (or a combination of SW and GW) may reduce the monitoring frequency in </w:t>
      </w:r>
      <w:hyperlink r:id="rId216">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r>
        <w:rPr>
          <w:rFonts w:ascii="Times New Roman" w:hAnsi="Times New Roman"/>
          <w:b w:val="false"/>
          <w:i w:val="false"/>
          <w:color w:val="000000"/>
          <w:sz w:val="22"/>
        </w:rPr>
        <w:t>(4)“1” to once during each nine-year compliance cycle provided that the samples are collected no later than every ninth calendar year and the system meets one of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system demonstrates that finished drinking water entering the distribution system has been maintained below the maximum permissible lead and copper concentrations specified in </w:t>
      </w:r>
      <w:hyperlink r:id="rId217">
        <w:r>
          <w:rPr>
            <w:rStyle w:val="Hyperlink"/>
            <w:rFonts w:ascii="Times New Roman" w:hAnsi="Times New Roman"/>
            <w:b w:val="false"/>
            <w:i w:val="false"/>
            <w:color w:val="000000"/>
            <w:sz w:val="22"/>
          </w:rPr>
          <w:t>567—subparagraph 43.7(3)</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for at least three consecutive years;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The department has determined that source water treatment is not needed and the system demonstrates that, during at least three consecutive years, the concentrations in source water were less than or equal to 0.005 mg/L for lead and less than or equal to 0.65 mg/L for copper.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PWS that uses a new source of water is not eligible for reduced monitoring for lead or copper until concentrations in samples collected from the new source during three consecutive monitoring periods are below the maximum permissible lead and copper concentrations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Corrosivity monitoring protocol—special monitoring for corrosivity characteristics. </w:t>
      </w:r>
      <w:r>
        <w:rPr>
          <w:rFonts w:ascii="Times New Roman" w:hAnsi="Times New Roman"/>
          <w:b w:val="false"/>
          <w:i w:val="false"/>
          <w:color w:val="000000"/>
          <w:sz w:val="22"/>
        </w:rPr>
        <w:t>Suppliers of water for CWSs shall collect samples from a representative SEP to determine the corrosivity characteristics of the water. This determination shall only include one round of sampling, except in cases where the department concludes additional monitoring is necessary due to variability of the raw water sources. Sampling requirements and approved analytical methods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SW systems. Systems utilizing a SW source either in whole or in part shall collect two samples per plant to determine the corrosivity characteristics. One of these samples shall be collected during the midwinter months and the other during midsummer.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GW systems. Systems utilizing GW sources shall collect one sample per plant or source, except systems with multiple plants that do not alter the corrosivity characteristics identified in </w:t>
      </w:r>
      <w:r>
        <w:rPr>
          <w:rFonts w:ascii="Times New Roman" w:hAnsi="Times New Roman"/>
          <w:b w:val="false"/>
          <w:i w:val="false"/>
          <w:color w:val="000000"/>
          <w:sz w:val="22"/>
        </w:rPr>
        <w:t>41.4(1)</w:t>
      </w:r>
      <w:r>
        <w:rPr>
          <w:rFonts w:ascii="Times New Roman" w:hAnsi="Times New Roman"/>
          <w:b w:val="false"/>
          <w:i/>
          <w:color w:val="000000"/>
          <w:sz w:val="22"/>
        </w:rPr>
        <w:t>“f”</w:t>
      </w:r>
      <w:r>
        <w:rPr>
          <w:rFonts w:ascii="Times New Roman" w:hAnsi="Times New Roman"/>
          <w:b w:val="false"/>
          <w:i w:val="false"/>
          <w:color w:val="000000"/>
          <w:sz w:val="22"/>
        </w:rPr>
        <w:t>(3) or systems served by multiple wells drawing raw water from a single aquifer may, with departmental approval, be considered one treatment plant or source when determining the required number of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Corrosivity characteristics analytical parameters. Determination of corrosivity characteristics of water shall include measurements of pH, calcium hardness, alkalinity, temperature, total dissolved solids (TDS or total filterable residue), and calculation of the Langelier Index. In addition, sulfate and chloride monitoring may be required by the department. At the department’s discretion, the Aggressiveness Index test may be substituted for the Langelier Index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Corrosivity indices methodology. The following methods must be used to calculate the corrosivity indices: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Aggressiveness Index—“ANSI/AWWA C401-93: AWWA Standard for the Selection of Asbestos Cement Pressure Pipe, 4″–16″ for Water Distribution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Langelier Index—SM 14th edition, Method 203, pp. 61-63.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Distribution system construction materials. CWS and NTNCs shall identify whether any of the following construction materials are present in their distribution system and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Lead from piping, solder, caulking, interior lining of distribution mains, alloys, and home plumbing.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Copper from piping and alloys, service lines, and home plumbing.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Galvanized piping, service lines, and home plumbing.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Ferrous piping materials such as cast iron and steel.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Asbestos cement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Vinyl lined asbestos cement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Coal tar lined pipes and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Pipe with asbestos cement lining.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 Lead, copper, and WQP analytical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Analytical methods. Analyses for alkalinity, calcium, conductivity, orthophosphate, pH, silica, and temperature may be performed by a Grade I, II, III, or IV certified operator meeting the requirements of </w:t>
      </w:r>
      <w:hyperlink r:id="rId218">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any person under the supervision of such an operator, or a laboratory certified in accordance with </w:t>
      </w:r>
      <w:hyperlink r:id="rId219">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Lead and copper analyses under this subrule shall only be conducted by certified laboratories, pursuant to </w:t>
      </w:r>
      <w:hyperlink r:id="rId220">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The following methods must be used:</w:t>
      </w:r>
    </w:p>
    <w:p>
      <w:pPr>
        <w:spacing w:before="60" w:after="0"/>
        <w:ind w:left="120"/>
        <w:jc w:val="center"/>
      </w:pPr>
      <w:r>
        <w:rPr>
          <w:rFonts w:ascii="Times New Roman" w:hAnsi="Times New Roman"/>
          <w:b/>
          <w:i w:val="false"/>
          <w:color w:val="000000"/>
          <w:sz w:val="22"/>
        </w:rPr>
        <w:t>Lead, Copper, and WQP Analytical Methods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83"/>
        <w:gridCol w:w="2305"/>
        <w:gridCol w:w="1728"/>
        <w:gridCol w:w="1843"/>
        <w:gridCol w:w="1843"/>
        <w:gridCol w:w="1036"/>
        <w:gridCol w:w="1382"/>
      </w:tblGrid>
      <w:tr>
        <w:trPr>
          <w:trHeight w:val="225" w:hRule="atLeast"/>
        </w:trPr>
        <w:tc>
          <w:tcPr>
            <w:tcW w:w="138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Contaminant</w:t>
            </w:r>
          </w:p>
        </w:tc>
        <w:tc>
          <w:tcPr>
            <w:tcW w:w="2305"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Methodology</w:t>
            </w:r>
            <w:r>
              <w:rPr>
                <w:rFonts w:ascii="Times New Roman" w:hAnsi="Times New Roman"/>
                <w:b/>
                <w:i w:val="false"/>
                <w:color w:val="000000"/>
                <w:sz w:val="18"/>
                <w:vertAlign w:val="superscript"/>
              </w:rPr>
              <w:t>9</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Reference (Method Number)</w:t>
            </w:r>
          </w:p>
        </w:tc>
      </w:tr>
      <w:tr>
        <w:trPr>
          <w:trHeight w:val="46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72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EPA</w:t>
            </w:r>
          </w:p>
        </w:tc>
        <w:tc>
          <w:tcPr>
            <w:tcW w:w="18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ASTM</w:t>
            </w:r>
            <w:r>
              <w:rPr>
                <w:rFonts w:ascii="Times New Roman" w:hAnsi="Times New Roman"/>
                <w:b/>
                <w:i w:val="false"/>
                <w:color w:val="000000"/>
                <w:sz w:val="18"/>
                <w:vertAlign w:val="superscript"/>
              </w:rPr>
              <w:t>3</w:t>
            </w:r>
          </w:p>
        </w:tc>
        <w:tc>
          <w:tcPr>
            <w:tcW w:w="18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SM</w:t>
            </w:r>
          </w:p>
        </w:tc>
        <w:tc>
          <w:tcPr>
            <w:tcW w:w="103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SM Online</w:t>
            </w:r>
            <w:r>
              <w:rPr>
                <w:rFonts w:ascii="Times New Roman" w:hAnsi="Times New Roman"/>
                <w:b/>
                <w:i w:val="false"/>
                <w:color w:val="000000"/>
                <w:sz w:val="18"/>
                <w:vertAlign w:val="superscript"/>
              </w:rPr>
              <w:t>16</w:t>
            </w:r>
          </w:p>
        </w:tc>
        <w:tc>
          <w:tcPr>
            <w:tcW w:w="1382"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USGS</w:t>
            </w:r>
            <w:r>
              <w:rPr>
                <w:rFonts w:ascii="Times New Roman" w:hAnsi="Times New Roman"/>
                <w:b/>
                <w:i w:val="false"/>
                <w:color w:val="000000"/>
                <w:sz w:val="18"/>
                <w:vertAlign w:val="superscript"/>
              </w:rPr>
              <w:t>5</w:t>
            </w:r>
            <w:r>
              <w:rPr>
                <w:rFonts w:ascii="Times New Roman" w:hAnsi="Times New Roman"/>
                <w:b/>
                <w:i w:val="false"/>
                <w:color w:val="000000"/>
                <w:sz w:val="16"/>
              </w:rPr>
              <w:t xml:space="preserve"> or Other</w:t>
            </w:r>
          </w:p>
        </w:tc>
      </w:tr>
      <w:tr>
        <w:trPr>
          <w:trHeight w:val="420" w:hRule="atLeast"/>
        </w:trPr>
        <w:tc>
          <w:tcPr>
            <w:tcW w:w="1383"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Alkalinity</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Titrimetric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D1067-92B, 02B, 06B, 11B</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2320 B</w:t>
            </w:r>
            <w:r>
              <w:rPr>
                <w:rFonts w:ascii="Times New Roman" w:hAnsi="Times New Roman"/>
                <w:b w:val="false"/>
                <w:i w:val="false"/>
                <w:color w:val="000000"/>
                <w:sz w:val="18"/>
                <w:vertAlign w:val="superscript"/>
              </w:rPr>
              <w:t>11, 15, 18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2320 B-97</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Electrometric titration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I-1030-85</w:t>
            </w:r>
          </w:p>
        </w:tc>
      </w:tr>
      <w:tr>
        <w:trPr>
          <w:trHeight w:val="660"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EDTA titrimetric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D511-93A, 03A, 09A, 14A</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3500-Ca D</w:t>
            </w:r>
            <w:r>
              <w:rPr>
                <w:rFonts w:ascii="Times New Roman" w:hAnsi="Times New Roman"/>
                <w:b w:val="false"/>
                <w:i w:val="false"/>
                <w:color w:val="000000"/>
                <w:sz w:val="18"/>
                <w:vertAlign w:val="superscript"/>
              </w:rPr>
              <w:t>4</w:t>
            </w:r>
            <w:r>
              <w:br/>
            </w:r>
            <w:r>
              <w:rPr>
                <w:rFonts w:ascii="Times New Roman" w:hAnsi="Times New Roman"/>
                <w:b w:val="false"/>
                <w:i w:val="false"/>
                <w:color w:val="000000"/>
                <w:sz w:val="16"/>
              </w:rPr>
              <w:t>3500-Ca</w:t>
            </w:r>
            <w:r>
              <w:br/>
            </w:r>
            <w:r>
              <w:rPr>
                <w:rFonts w:ascii="Times New Roman" w:hAnsi="Times New Roman"/>
                <w:b w:val="false"/>
                <w:i w:val="false"/>
                <w:color w:val="000000"/>
                <w:sz w:val="16"/>
              </w:rPr>
              <w:t>B</w:t>
            </w:r>
            <w:r>
              <w:rPr>
                <w:rFonts w:ascii="Times New Roman" w:hAnsi="Times New Roman"/>
                <w:b w:val="false"/>
                <w:i w:val="false"/>
                <w:color w:val="000000"/>
                <w:sz w:val="18"/>
                <w:vertAlign w:val="superscript"/>
              </w:rPr>
              <w:t>12, 15, 18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3500-Ca B-97</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Atomic absorption; direct aspiration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D511-93B, 03B, 09B, 14B</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3111 B</w:t>
            </w:r>
            <w:r>
              <w:rPr>
                <w:rFonts w:ascii="Times New Roman" w:hAnsi="Times New Roman"/>
                <w:b w:val="false"/>
                <w:i w:val="false"/>
                <w:color w:val="000000"/>
                <w:sz w:val="18"/>
                <w:vertAlign w:val="superscript"/>
              </w:rPr>
              <w:t>4, 15, 18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3111 B-99</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Calcium</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ICP</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200.7</w:t>
            </w:r>
            <w:r>
              <w:rPr>
                <w:rFonts w:ascii="Times New Roman" w:hAnsi="Times New Roman"/>
                <w:b w:val="false"/>
                <w:i w:val="false"/>
                <w:color w:val="000000"/>
                <w:sz w:val="18"/>
                <w:vertAlign w:val="superscript"/>
              </w:rPr>
              <w:t>2</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3120 B</w:t>
            </w:r>
            <w:r>
              <w:rPr>
                <w:rFonts w:ascii="Times New Roman" w:hAnsi="Times New Roman"/>
                <w:b w:val="false"/>
                <w:i w:val="false"/>
                <w:color w:val="000000"/>
                <w:sz w:val="18"/>
                <w:vertAlign w:val="superscript"/>
              </w:rPr>
              <w:t>11, 15, 18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3120 B-99</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Ion chromatography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D6919-03, 09</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AVICP-AES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200.5,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4.2</w:t>
            </w:r>
            <w:r>
              <w:rPr>
                <w:rFonts w:ascii="Times New Roman" w:hAnsi="Times New Roman"/>
                <w:b w:val="false"/>
                <w:i w:val="false"/>
                <w:color w:val="000000"/>
                <w:sz w:val="18"/>
                <w:vertAlign w:val="superscript"/>
              </w:rPr>
              <w:t>17</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Ion chromatography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w:t>
            </w: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300.1</w:t>
            </w:r>
            <w:r>
              <w:rPr>
                <w:rFonts w:ascii="Times New Roman" w:hAnsi="Times New Roman"/>
                <w:b w:val="false"/>
                <w:i w:val="false"/>
                <w:color w:val="000000"/>
                <w:sz w:val="18"/>
                <w:vertAlign w:val="superscript"/>
              </w:rPr>
              <w:t>13</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D4327-97, 03</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4110 B</w:t>
            </w:r>
            <w:r>
              <w:rPr>
                <w:rFonts w:ascii="Times New Roman" w:hAnsi="Times New Roman"/>
                <w:b w:val="false"/>
                <w:i w:val="false"/>
                <w:color w:val="000000"/>
                <w:sz w:val="18"/>
                <w:vertAlign w:val="superscript"/>
              </w:rPr>
              <w:t>11, 15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4550 B-00</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80"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Potentiometric titration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4500-Cl</w:t>
            </w:r>
            <w:r>
              <w:rPr>
                <w:rFonts w:ascii="Times New Roman" w:hAnsi="Times New Roman"/>
                <w:b w:val="false"/>
                <w:i w:val="false"/>
                <w:color w:val="000000"/>
                <w:sz w:val="18"/>
                <w:vertAlign w:val="superscript"/>
              </w:rPr>
              <w:t>-</w:t>
            </w:r>
            <w:r>
              <w:br/>
            </w:r>
            <w:r>
              <w:rPr>
                <w:rFonts w:ascii="Times New Roman" w:hAnsi="Times New Roman"/>
                <w:b w:val="false"/>
                <w:i w:val="false"/>
                <w:color w:val="000000"/>
                <w:sz w:val="16"/>
              </w:rPr>
              <w:t>D</w:t>
            </w:r>
            <w:r>
              <w:rPr>
                <w:rFonts w:ascii="Times New Roman" w:hAnsi="Times New Roman"/>
                <w:b w:val="false"/>
                <w:i w:val="false"/>
                <w:color w:val="000000"/>
                <w:sz w:val="18"/>
                <w:vertAlign w:val="superscript"/>
              </w:rPr>
              <w:t>11, 15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4500-Cl</w:t>
            </w:r>
            <w:r>
              <w:rPr>
                <w:rFonts w:ascii="Times New Roman" w:hAnsi="Times New Roman"/>
                <w:b w:val="false"/>
                <w:i w:val="false"/>
                <w:color w:val="000000"/>
                <w:sz w:val="18"/>
                <w:vertAlign w:val="superscript"/>
              </w:rPr>
              <w:t>-</w:t>
            </w:r>
            <w:r>
              <w:br/>
            </w:r>
            <w:r>
              <w:rPr>
                <w:rFonts w:ascii="Times New Roman" w:hAnsi="Times New Roman"/>
                <w:b w:val="false"/>
                <w:i w:val="false"/>
                <w:color w:val="000000"/>
                <w:sz w:val="16"/>
              </w:rPr>
              <w:t>D-97</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8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Chloride</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Argentometric titration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D512-89B (reapproved 1999), D512-04B</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4500-Cl</w:t>
            </w:r>
            <w:r>
              <w:rPr>
                <w:rFonts w:ascii="Times New Roman" w:hAnsi="Times New Roman"/>
                <w:b w:val="false"/>
                <w:i w:val="false"/>
                <w:color w:val="000000"/>
                <w:sz w:val="18"/>
                <w:vertAlign w:val="superscript"/>
              </w:rPr>
              <w:t>-</w:t>
            </w:r>
            <w:r>
              <w:br/>
            </w:r>
            <w:r>
              <w:rPr>
                <w:rFonts w:ascii="Times New Roman" w:hAnsi="Times New Roman"/>
                <w:b w:val="false"/>
                <w:i w:val="false"/>
                <w:color w:val="000000"/>
                <w:sz w:val="16"/>
              </w:rPr>
              <w:t>B</w:t>
            </w:r>
            <w:r>
              <w:rPr>
                <w:rFonts w:ascii="Times New Roman" w:hAnsi="Times New Roman"/>
                <w:b w:val="false"/>
                <w:i w:val="false"/>
                <w:color w:val="000000"/>
                <w:sz w:val="18"/>
                <w:vertAlign w:val="superscript"/>
              </w:rPr>
              <w:t>11, 15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4500-Cl</w:t>
            </w:r>
            <w:r>
              <w:rPr>
                <w:rFonts w:ascii="Times New Roman" w:hAnsi="Times New Roman"/>
                <w:b w:val="false"/>
                <w:i w:val="false"/>
                <w:color w:val="000000"/>
                <w:sz w:val="18"/>
                <w:vertAlign w:val="superscript"/>
              </w:rPr>
              <w:t>-</w:t>
            </w:r>
            <w:r>
              <w:br/>
            </w:r>
            <w:r>
              <w:rPr>
                <w:rFonts w:ascii="Times New Roman" w:hAnsi="Times New Roman"/>
                <w:b w:val="false"/>
                <w:i w:val="false"/>
                <w:color w:val="000000"/>
                <w:sz w:val="16"/>
              </w:rPr>
              <w:t>B-97</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Capillary ion electrophoresis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D6508,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2</w:t>
            </w:r>
            <w:r>
              <w:rPr>
                <w:rFonts w:ascii="Times New Roman" w:hAnsi="Times New Roman"/>
                <w:b w:val="false"/>
                <w:i w:val="false"/>
                <w:color w:val="000000"/>
                <w:sz w:val="18"/>
                <w:vertAlign w:val="superscript"/>
              </w:rPr>
              <w:t>14</w:t>
            </w:r>
          </w:p>
        </w:tc>
      </w:tr>
      <w:tr>
        <w:trPr>
          <w:trHeight w:val="585" w:hRule="atLeast"/>
        </w:trPr>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Conductivity</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Conductance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D1125-95A </w:t>
            </w:r>
            <w:r>
              <w:br/>
            </w:r>
            <w:r>
              <w:rPr>
                <w:rFonts w:ascii="Times New Roman" w:hAnsi="Times New Roman"/>
                <w:b w:val="false"/>
                <w:i w:val="false"/>
                <w:color w:val="000000"/>
                <w:sz w:val="16"/>
              </w:rPr>
              <w:t>(reapproved 1999), 14A</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2510 B</w:t>
            </w:r>
            <w:r>
              <w:rPr>
                <w:rFonts w:ascii="Times New Roman" w:hAnsi="Times New Roman"/>
                <w:b w:val="false"/>
                <w:i w:val="false"/>
                <w:color w:val="000000"/>
                <w:sz w:val="18"/>
                <w:vertAlign w:val="superscript"/>
              </w:rPr>
              <w:t>11, 15, 18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2510 B-97</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Atomic absorption; furnace technique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D1688-95C, 02C, 07C, 12C</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3113 B</w:t>
            </w:r>
            <w:r>
              <w:rPr>
                <w:rFonts w:ascii="Times New Roman" w:hAnsi="Times New Roman"/>
                <w:b w:val="false"/>
                <w:i w:val="false"/>
                <w:color w:val="000000"/>
                <w:sz w:val="18"/>
                <w:vertAlign w:val="superscript"/>
              </w:rPr>
              <w:t>4, 15, 18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3113 B-99, 04, 10</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Atomic absorption; direct aspiration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D1688-95A, 02A, 07A, 12A</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3111 B</w:t>
            </w:r>
            <w:r>
              <w:rPr>
                <w:rFonts w:ascii="Times New Roman" w:hAnsi="Times New Roman"/>
                <w:b w:val="false"/>
                <w:i w:val="false"/>
                <w:color w:val="000000"/>
                <w:sz w:val="18"/>
                <w:vertAlign w:val="superscript"/>
              </w:rPr>
              <w:t>4, 15, 18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3111 B-99</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ICP</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200.7</w:t>
            </w:r>
            <w:r>
              <w:rPr>
                <w:rFonts w:ascii="Times New Roman" w:hAnsi="Times New Roman"/>
                <w:b w:val="false"/>
                <w:i w:val="false"/>
                <w:color w:val="000000"/>
                <w:sz w:val="18"/>
                <w:vertAlign w:val="superscript"/>
              </w:rPr>
              <w:t>2</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3120 B</w:t>
            </w:r>
            <w:r>
              <w:rPr>
                <w:rFonts w:ascii="Times New Roman" w:hAnsi="Times New Roman"/>
                <w:b w:val="false"/>
                <w:i w:val="false"/>
                <w:color w:val="000000"/>
                <w:sz w:val="18"/>
                <w:vertAlign w:val="superscript"/>
              </w:rPr>
              <w:t>11, 15, 18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3120 B-99</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Copper</w:t>
            </w:r>
            <w:r>
              <w:rPr>
                <w:rFonts w:ascii="Times New Roman" w:hAnsi="Times New Roman"/>
                <w:b w:val="false"/>
                <w:i w:val="false"/>
                <w:color w:val="000000"/>
                <w:sz w:val="18"/>
                <w:vertAlign w:val="superscript"/>
              </w:rPr>
              <w:t>6</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ICP-MS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200.8</w:t>
            </w:r>
            <w:r>
              <w:rPr>
                <w:rFonts w:ascii="Times New Roman" w:hAnsi="Times New Roman"/>
                <w:b w:val="false"/>
                <w:i w:val="false"/>
                <w:color w:val="000000"/>
                <w:sz w:val="18"/>
                <w:vertAlign w:val="superscript"/>
              </w:rPr>
              <w:t>2</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AVICP-AES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200.5,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4.2</w:t>
            </w:r>
            <w:r>
              <w:rPr>
                <w:rFonts w:ascii="Times New Roman" w:hAnsi="Times New Roman"/>
                <w:b w:val="false"/>
                <w:i w:val="false"/>
                <w:color w:val="000000"/>
                <w:sz w:val="18"/>
                <w:vertAlign w:val="superscript"/>
              </w:rPr>
              <w:t>17</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Atomic absorption; platform furnace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200.9</w:t>
            </w:r>
            <w:r>
              <w:rPr>
                <w:rFonts w:ascii="Times New Roman" w:hAnsi="Times New Roman"/>
                <w:b w:val="false"/>
                <w:i w:val="false"/>
                <w:color w:val="000000"/>
                <w:sz w:val="18"/>
                <w:vertAlign w:val="superscript"/>
              </w:rPr>
              <w:t>2</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8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Colorimetric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Hach Method 8026</w:t>
            </w:r>
            <w:r>
              <w:rPr>
                <w:rFonts w:ascii="Times New Roman" w:hAnsi="Times New Roman"/>
                <w:b w:val="false"/>
                <w:i w:val="false"/>
                <w:color w:val="000000"/>
                <w:sz w:val="18"/>
                <w:vertAlign w:val="superscript"/>
              </w:rPr>
              <w:t>19</w:t>
            </w:r>
            <w:r>
              <w:rPr>
                <w:rFonts w:ascii="Times New Roman" w:hAnsi="Times New Roman"/>
                <w:b w:val="false"/>
                <w:i w:val="false"/>
                <w:color w:val="000000"/>
                <w:sz w:val="16"/>
              </w:rPr>
              <w:t xml:space="preserve">, </w:t>
            </w:r>
            <w:r>
              <w:br/>
            </w:r>
            <w:r>
              <w:rPr>
                <w:rFonts w:ascii="Times New Roman" w:hAnsi="Times New Roman"/>
                <w:b w:val="false"/>
                <w:i w:val="false"/>
                <w:color w:val="000000"/>
                <w:sz w:val="16"/>
              </w:rPr>
              <w:t>Hach Method 10272</w:t>
            </w:r>
            <w:r>
              <w:rPr>
                <w:rFonts w:ascii="Times New Roman" w:hAnsi="Times New Roman"/>
                <w:b w:val="false"/>
                <w:i w:val="false"/>
                <w:color w:val="000000"/>
                <w:sz w:val="18"/>
                <w:vertAlign w:val="superscript"/>
              </w:rPr>
              <w:t>20</w:t>
            </w:r>
          </w:p>
        </w:tc>
      </w:tr>
      <w:tr>
        <w:trPr>
          <w:trHeight w:val="40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Atomic absorption;</w:t>
            </w:r>
          </w:p>
          <w:p>
            <w:pPr>
              <w:spacing w:before="0" w:after="0"/>
              <w:ind w:left="160"/>
              <w:jc w:val="left"/>
            </w:pPr>
            <w:r>
              <w:rPr>
                <w:rFonts w:ascii="Times New Roman" w:hAnsi="Times New Roman"/>
                <w:b w:val="false"/>
                <w:i w:val="false"/>
                <w:color w:val="000000"/>
                <w:sz w:val="16"/>
              </w:rPr>
              <w:t>furnace technique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D3559-96D, 03D, 08D</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3113 B</w:t>
            </w:r>
            <w:r>
              <w:rPr>
                <w:rFonts w:ascii="Times New Roman" w:hAnsi="Times New Roman"/>
                <w:b w:val="false"/>
                <w:i w:val="false"/>
                <w:color w:val="000000"/>
                <w:sz w:val="18"/>
                <w:vertAlign w:val="superscript"/>
              </w:rPr>
              <w:t>4, 15, 18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3113 B-99, 04, 10</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ICP-MS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200.8</w:t>
            </w:r>
            <w:r>
              <w:rPr>
                <w:rFonts w:ascii="Times New Roman" w:hAnsi="Times New Roman"/>
                <w:b w:val="false"/>
                <w:i w:val="false"/>
                <w:color w:val="000000"/>
                <w:sz w:val="18"/>
                <w:vertAlign w:val="superscript"/>
              </w:rPr>
              <w:t>2</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383"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Lead</w:t>
            </w:r>
            <w:r>
              <w:rPr>
                <w:rFonts w:ascii="Times New Roman" w:hAnsi="Times New Roman"/>
                <w:b w:val="false"/>
                <w:i w:val="false"/>
                <w:color w:val="000000"/>
                <w:sz w:val="18"/>
                <w:vertAlign w:val="superscript"/>
              </w:rPr>
              <w:t>6</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AVICP-AES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200.5,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4.2</w:t>
            </w:r>
            <w:r>
              <w:rPr>
                <w:rFonts w:ascii="Times New Roman" w:hAnsi="Times New Roman"/>
                <w:b w:val="false"/>
                <w:i w:val="false"/>
                <w:color w:val="000000"/>
                <w:sz w:val="18"/>
                <w:vertAlign w:val="superscript"/>
              </w:rPr>
              <w:t>17</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85" w:hRule="atLeast"/>
        </w:trPr>
        <w:tc>
          <w:tcPr>
            <w:tcW w:w="1383"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Atomic absorption; platform furnace technique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200.9</w:t>
            </w:r>
            <w:r>
              <w:rPr>
                <w:rFonts w:ascii="Times New Roman" w:hAnsi="Times New Roman"/>
                <w:b w:val="false"/>
                <w:i w:val="false"/>
                <w:color w:val="000000"/>
                <w:sz w:val="18"/>
                <w:vertAlign w:val="superscript"/>
              </w:rPr>
              <w:t>2</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Differential pulse anodic stripping voltammetry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Method 1001</w:t>
            </w:r>
            <w:r>
              <w:rPr>
                <w:rFonts w:ascii="Times New Roman" w:hAnsi="Times New Roman"/>
                <w:b w:val="false"/>
                <w:i w:val="false"/>
                <w:color w:val="000000"/>
                <w:sz w:val="18"/>
                <w:vertAlign w:val="superscript"/>
              </w:rPr>
              <w:t>10</w:t>
            </w:r>
          </w:p>
        </w:tc>
      </w:tr>
      <w:tr>
        <w:trPr>
          <w:trHeight w:val="480" w:hRule="atLeast"/>
        </w:trPr>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pH</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150.1</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150.2</w:t>
            </w:r>
            <w:r>
              <w:rPr>
                <w:rFonts w:ascii="Times New Roman" w:hAnsi="Times New Roman"/>
                <w:b w:val="false"/>
                <w:i w:val="false"/>
                <w:color w:val="000000"/>
                <w:sz w:val="18"/>
                <w:vertAlign w:val="superscript"/>
              </w:rPr>
              <w:t>1</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D1293-95, 99, 12</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4500-H</w:t>
            </w:r>
            <w:r>
              <w:rPr>
                <w:rFonts w:ascii="Times New Roman" w:hAnsi="Times New Roman"/>
                <w:b w:val="false"/>
                <w:i w:val="false"/>
                <w:color w:val="000000"/>
                <w:sz w:val="18"/>
                <w:vertAlign w:val="superscript"/>
              </w:rPr>
              <w:t>+</w:t>
            </w:r>
            <w:r>
              <w:br/>
            </w:r>
            <w:r>
              <w:rPr>
                <w:rFonts w:ascii="Times New Roman" w:hAnsi="Times New Roman"/>
                <w:b w:val="false"/>
                <w:i w:val="false"/>
                <w:color w:val="000000"/>
                <w:sz w:val="16"/>
              </w:rPr>
              <w:t>B</w:t>
            </w:r>
            <w:r>
              <w:rPr>
                <w:rFonts w:ascii="Times New Roman" w:hAnsi="Times New Roman"/>
                <w:b w:val="false"/>
                <w:i w:val="false"/>
                <w:color w:val="000000"/>
                <w:sz w:val="18"/>
                <w:vertAlign w:val="superscript"/>
              </w:rPr>
              <w:t>11, 15, 18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4500-H</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 xml:space="preserve"> B-00</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9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Colorimetric, automated, ascorbic acid</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365.1</w:t>
            </w:r>
            <w:r>
              <w:rPr>
                <w:rFonts w:ascii="Times New Roman" w:hAnsi="Times New Roman"/>
                <w:b w:val="false"/>
                <w:i w:val="false"/>
                <w:color w:val="000000"/>
                <w:sz w:val="18"/>
                <w:vertAlign w:val="superscript"/>
              </w:rPr>
              <w:t>8</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4500-P F</w:t>
            </w:r>
            <w:r>
              <w:rPr>
                <w:rFonts w:ascii="Times New Roman" w:hAnsi="Times New Roman"/>
                <w:b w:val="false"/>
                <w:i w:val="false"/>
                <w:color w:val="000000"/>
                <w:sz w:val="18"/>
                <w:vertAlign w:val="superscript"/>
              </w:rPr>
              <w:t>11, 15, 18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4500-P F-99</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Thermo</w:t>
            </w:r>
            <w:r>
              <w:br/>
            </w:r>
            <w:r>
              <w:rPr>
                <w:rFonts w:ascii="Times New Roman" w:hAnsi="Times New Roman"/>
                <w:b w:val="false"/>
                <w:i w:val="false"/>
                <w:color w:val="000000"/>
                <w:sz w:val="16"/>
              </w:rPr>
              <w:t>Fisher Discrete Analyzer</w:t>
            </w:r>
            <w:r>
              <w:rPr>
                <w:rFonts w:ascii="Times New Roman" w:hAnsi="Times New Roman"/>
                <w:b w:val="false"/>
                <w:i w:val="false"/>
                <w:color w:val="000000"/>
                <w:sz w:val="18"/>
                <w:vertAlign w:val="superscript"/>
              </w:rPr>
              <w:t>21</w:t>
            </w:r>
          </w:p>
        </w:tc>
      </w:tr>
      <w:tr>
        <w:trPr>
          <w:trHeight w:val="40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Colorimetric, ascorbic acid, single reagent</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D515-88A</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4500-P E</w:t>
            </w:r>
            <w:r>
              <w:rPr>
                <w:rFonts w:ascii="Times New Roman" w:hAnsi="Times New Roman"/>
                <w:b w:val="false"/>
                <w:i w:val="false"/>
                <w:color w:val="000000"/>
                <w:sz w:val="18"/>
                <w:vertAlign w:val="superscript"/>
              </w:rPr>
              <w:t>11, 15, 18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4500-P E-99</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Orthophosphate (Unfiltered, no digestion or hydrolysis)</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Colorimetric, phosphomolybdate;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I-1602-85</w:t>
            </w:r>
          </w:p>
        </w:tc>
      </w:tr>
      <w:tr>
        <w:trPr>
          <w:trHeight w:val="40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Automated-segmented flow</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I-2601-90</w:t>
            </w:r>
            <w:r>
              <w:rPr>
                <w:rFonts w:ascii="Times New Roman" w:hAnsi="Times New Roman"/>
                <w:b w:val="false"/>
                <w:i w:val="false"/>
                <w:color w:val="000000"/>
                <w:sz w:val="18"/>
                <w:vertAlign w:val="superscript"/>
              </w:rPr>
              <w:t>8</w:t>
            </w:r>
          </w:p>
        </w:tc>
      </w:tr>
      <w:tr>
        <w:trPr>
          <w:trHeight w:val="22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Automated discrete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I-2598-85</w:t>
            </w:r>
          </w:p>
        </w:tc>
      </w:tr>
      <w:tr>
        <w:trPr>
          <w:trHeight w:val="25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Ion chromatography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300.1</w:t>
            </w:r>
            <w:r>
              <w:rPr>
                <w:rFonts w:ascii="Times New Roman" w:hAnsi="Times New Roman"/>
                <w:b w:val="false"/>
                <w:i w:val="false"/>
                <w:color w:val="000000"/>
                <w:sz w:val="18"/>
                <w:vertAlign w:val="superscript"/>
              </w:rPr>
              <w:t>13</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D4327-97, 03, 11</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4110 B</w:t>
            </w:r>
            <w:r>
              <w:rPr>
                <w:rFonts w:ascii="Times New Roman" w:hAnsi="Times New Roman"/>
                <w:b w:val="false"/>
                <w:i w:val="false"/>
                <w:color w:val="000000"/>
                <w:sz w:val="18"/>
                <w:vertAlign w:val="superscript"/>
              </w:rPr>
              <w:t>11, 15, 18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4110 B-00</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Capillary ion electrophoresis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D6508,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2</w:t>
            </w:r>
            <w:r>
              <w:rPr>
                <w:rFonts w:ascii="Times New Roman" w:hAnsi="Times New Roman"/>
                <w:b w:val="false"/>
                <w:i w:val="false"/>
                <w:color w:val="000000"/>
                <w:sz w:val="18"/>
                <w:vertAlign w:val="superscript"/>
              </w:rPr>
              <w:t>14</w:t>
            </w:r>
          </w:p>
        </w:tc>
      </w:tr>
      <w:tr>
        <w:trPr>
          <w:trHeight w:val="40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Colorimetric, molybdate blue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I-1700-85</w:t>
            </w:r>
          </w:p>
        </w:tc>
      </w:tr>
      <w:tr>
        <w:trPr>
          <w:trHeight w:val="40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Automated-segmented flow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I-2700-85</w:t>
            </w:r>
          </w:p>
        </w:tc>
      </w:tr>
      <w:tr>
        <w:trPr>
          <w:trHeight w:val="40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Colorimetric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D859-95, 00, 05, 10</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0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Molybdosilicate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 D</w:t>
            </w:r>
            <w:r>
              <w:rPr>
                <w:rFonts w:ascii="Times New Roman" w:hAnsi="Times New Roman"/>
                <w:b w:val="false"/>
                <w:i w:val="false"/>
                <w:color w:val="000000"/>
                <w:sz w:val="18"/>
                <w:vertAlign w:val="superscript"/>
              </w:rPr>
              <w:t>4</w:t>
            </w:r>
            <w:r>
              <w:br/>
            </w: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16"/>
              </w:rPr>
              <w:t>C</w:t>
            </w:r>
            <w:r>
              <w:rPr>
                <w:rFonts w:ascii="Times New Roman" w:hAnsi="Times New Roman"/>
                <w:b w:val="false"/>
                <w:i w:val="false"/>
                <w:color w:val="000000"/>
                <w:sz w:val="18"/>
                <w:vertAlign w:val="superscript"/>
              </w:rPr>
              <w:t>12, 15, 18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C-97</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05" w:hRule="atLeast"/>
        </w:trPr>
        <w:tc>
          <w:tcPr>
            <w:tcW w:w="1383"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Silica</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Heteropoly blue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 E</w:t>
            </w:r>
            <w:r>
              <w:rPr>
                <w:rFonts w:ascii="Times New Roman" w:hAnsi="Times New Roman"/>
                <w:b w:val="false"/>
                <w:i w:val="false"/>
                <w:color w:val="000000"/>
                <w:sz w:val="18"/>
                <w:vertAlign w:val="superscript"/>
              </w:rPr>
              <w:t>15</w:t>
            </w:r>
            <w:r>
              <w:br/>
            </w: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16"/>
              </w:rPr>
              <w:t>D</w:t>
            </w:r>
            <w:r>
              <w:rPr>
                <w:rFonts w:ascii="Times New Roman" w:hAnsi="Times New Roman"/>
                <w:b w:val="false"/>
                <w:i w:val="false"/>
                <w:color w:val="000000"/>
                <w:sz w:val="18"/>
                <w:vertAlign w:val="superscript"/>
              </w:rPr>
              <w:t>12, 15, 18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D-97</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67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Automated method for molybdate-reactive silica</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4500-Si F</w:t>
            </w:r>
          </w:p>
          <w:p>
            <w:pPr>
              <w:spacing w:before="0" w:after="0"/>
              <w:ind w:left="160"/>
              <w:jc w:val="both"/>
            </w:pP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16"/>
              </w:rPr>
              <w:t>E</w:t>
            </w:r>
            <w:r>
              <w:rPr>
                <w:rFonts w:ascii="Times New Roman" w:hAnsi="Times New Roman"/>
                <w:b w:val="false"/>
                <w:i w:val="false"/>
                <w:color w:val="000000"/>
                <w:sz w:val="18"/>
                <w:vertAlign w:val="superscript"/>
              </w:rPr>
              <w:t>12, 15, 18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4500-SiO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E-97</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ICP</w:t>
            </w:r>
            <w:r>
              <w:rPr>
                <w:rFonts w:ascii="Times New Roman" w:hAnsi="Times New Roman"/>
                <w:b w:val="false"/>
                <w:i w:val="false"/>
                <w:color w:val="000000"/>
                <w:sz w:val="18"/>
                <w:vertAlign w:val="superscript"/>
              </w:rPr>
              <w:t>6</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200.7</w:t>
            </w:r>
            <w:r>
              <w:rPr>
                <w:rFonts w:ascii="Times New Roman" w:hAnsi="Times New Roman"/>
                <w:b w:val="false"/>
                <w:i w:val="false"/>
                <w:color w:val="000000"/>
                <w:sz w:val="18"/>
                <w:vertAlign w:val="superscript"/>
              </w:rPr>
              <w:t>2</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3120 B</w:t>
            </w:r>
            <w:r>
              <w:rPr>
                <w:rFonts w:ascii="Times New Roman" w:hAnsi="Times New Roman"/>
                <w:b w:val="false"/>
                <w:i w:val="false"/>
                <w:color w:val="000000"/>
                <w:sz w:val="18"/>
                <w:vertAlign w:val="superscript"/>
              </w:rPr>
              <w:t>11, 15, 18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3120 B-99</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AVICP-AES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200.5,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4.2</w:t>
            </w:r>
            <w:r>
              <w:rPr>
                <w:rFonts w:ascii="Times New Roman" w:hAnsi="Times New Roman"/>
                <w:b w:val="false"/>
                <w:i w:val="false"/>
                <w:color w:val="000000"/>
                <w:sz w:val="18"/>
                <w:vertAlign w:val="superscript"/>
              </w:rPr>
              <w:t>17</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Ion chromatography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300.1</w:t>
            </w:r>
            <w:r>
              <w:rPr>
                <w:rFonts w:ascii="Times New Roman" w:hAnsi="Times New Roman"/>
                <w:b w:val="false"/>
                <w:i w:val="false"/>
                <w:color w:val="000000"/>
                <w:sz w:val="18"/>
                <w:vertAlign w:val="superscript"/>
              </w:rPr>
              <w:t>13</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D4327-97, 03</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4110</w:t>
            </w:r>
            <w:r>
              <w:rPr>
                <w:rFonts w:ascii="Times New Roman" w:hAnsi="Times New Roman"/>
                <w:b w:val="false"/>
                <w:i w:val="false"/>
                <w:color w:val="000000"/>
                <w:sz w:val="18"/>
                <w:vertAlign w:val="superscript"/>
              </w:rPr>
              <w:t>11, 15, 18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4110 B-00</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9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Automated methylthymol blue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375.2</w:t>
            </w:r>
            <w:r>
              <w:rPr>
                <w:rFonts w:ascii="Times New Roman" w:hAnsi="Times New Roman"/>
                <w:b w:val="false"/>
                <w:i w:val="false"/>
                <w:color w:val="000000"/>
                <w:sz w:val="18"/>
                <w:vertAlign w:val="superscript"/>
              </w:rPr>
              <w:t>7</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 xml:space="preserve">4 </w:t>
            </w:r>
            <w:r>
              <w:rPr>
                <w:rFonts w:ascii="Times New Roman" w:hAnsi="Times New Roman"/>
                <w:b w:val="false"/>
                <w:i w:val="false"/>
                <w:color w:val="000000"/>
                <w:sz w:val="16"/>
              </w:rPr>
              <w:t>F</w:t>
            </w:r>
            <w:r>
              <w:rPr>
                <w:rFonts w:ascii="Times New Roman" w:hAnsi="Times New Roman"/>
                <w:b w:val="false"/>
                <w:i w:val="false"/>
                <w:color w:val="000000"/>
                <w:sz w:val="18"/>
                <w:vertAlign w:val="superscript"/>
              </w:rPr>
              <w:t>11, 15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4</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F-97</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45" w:hRule="atLeast"/>
        </w:trPr>
        <w:tc>
          <w:tcPr>
            <w:tcW w:w="1383"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Sulfate</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Gravimetric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 xml:space="preserve">4 </w:t>
            </w:r>
            <w:r>
              <w:rPr>
                <w:rFonts w:ascii="Times New Roman" w:hAnsi="Times New Roman"/>
                <w:b w:val="false"/>
                <w:i w:val="false"/>
                <w:color w:val="000000"/>
                <w:sz w:val="16"/>
              </w:rPr>
              <w:t>C</w:t>
            </w:r>
            <w:r>
              <w:rPr>
                <w:rFonts w:ascii="Times New Roman" w:hAnsi="Times New Roman"/>
                <w:b w:val="false"/>
                <w:i w:val="false"/>
                <w:color w:val="000000"/>
                <w:sz w:val="18"/>
                <w:vertAlign w:val="superscript"/>
              </w:rPr>
              <w:t>11, 15</w:t>
            </w:r>
            <w:r>
              <w:br/>
            </w: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 xml:space="preserve">4 </w:t>
            </w:r>
            <w:r>
              <w:rPr>
                <w:rFonts w:ascii="Times New Roman" w:hAnsi="Times New Roman"/>
                <w:b w:val="false"/>
                <w:i w:val="false"/>
                <w:color w:val="000000"/>
                <w:sz w:val="16"/>
              </w:rPr>
              <w:t>D</w:t>
            </w:r>
            <w:r>
              <w:rPr>
                <w:rFonts w:ascii="Times New Roman" w:hAnsi="Times New Roman"/>
                <w:b w:val="false"/>
                <w:i w:val="false"/>
                <w:color w:val="000000"/>
                <w:sz w:val="18"/>
                <w:vertAlign w:val="superscript"/>
              </w:rPr>
              <w:t>11, 15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4</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C-97 4500-SO</w:t>
            </w:r>
            <w:r>
              <w:rPr>
                <w:rFonts w:ascii="Times New Roman" w:hAnsi="Times New Roman"/>
                <w:b w:val="false"/>
                <w:i w:val="false"/>
                <w:color w:val="000000"/>
                <w:sz w:val="18"/>
                <w:vertAlign w:val="subscript"/>
              </w:rPr>
              <w:t>4</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D-97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95" w:hRule="atLeast"/>
        </w:trPr>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Turbidimetric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D516-90, 02, 07</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 xml:space="preserve">4 </w:t>
            </w:r>
            <w:r>
              <w:rPr>
                <w:rFonts w:ascii="Times New Roman" w:hAnsi="Times New Roman"/>
                <w:b w:val="false"/>
                <w:i w:val="false"/>
                <w:color w:val="000000"/>
                <w:sz w:val="16"/>
              </w:rPr>
              <w:t>E</w:t>
            </w:r>
            <w:r>
              <w:rPr>
                <w:rFonts w:ascii="Times New Roman" w:hAnsi="Times New Roman"/>
                <w:b w:val="false"/>
                <w:i w:val="false"/>
                <w:color w:val="000000"/>
                <w:sz w:val="18"/>
                <w:vertAlign w:val="superscript"/>
              </w:rPr>
              <w:t>11, 15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4500-SO</w:t>
            </w:r>
            <w:r>
              <w:rPr>
                <w:rFonts w:ascii="Times New Roman" w:hAnsi="Times New Roman"/>
                <w:b w:val="false"/>
                <w:i w:val="false"/>
                <w:color w:val="000000"/>
                <w:sz w:val="18"/>
                <w:vertAlign w:val="subscript"/>
              </w:rPr>
              <w:t>4</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E-97</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Capillary ion electrophoresis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D6508,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2</w:t>
            </w:r>
            <w:r>
              <w:rPr>
                <w:rFonts w:ascii="Times New Roman" w:hAnsi="Times New Roman"/>
                <w:b w:val="false"/>
                <w:i w:val="false"/>
                <w:color w:val="000000"/>
                <w:sz w:val="18"/>
                <w:vertAlign w:val="superscript"/>
              </w:rPr>
              <w:t>14</w:t>
            </w:r>
          </w:p>
        </w:tc>
      </w:tr>
      <w:tr>
        <w:trPr>
          <w:trHeight w:val="405" w:hRule="atLeast"/>
        </w:trPr>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Temperature</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Thermometric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2550 B</w:t>
            </w:r>
            <w:r>
              <w:rPr>
                <w:rFonts w:ascii="Times New Roman" w:hAnsi="Times New Roman"/>
                <w:b w:val="false"/>
                <w:i w:val="false"/>
                <w:color w:val="000000"/>
                <w:sz w:val="18"/>
                <w:vertAlign w:val="superscript"/>
              </w:rPr>
              <w:t>11, 15, 18</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2550-00, 10</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6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Filterable Residue (TDS)</w:t>
            </w:r>
          </w:p>
        </w:tc>
        <w:tc>
          <w:tcPr>
            <w:tcW w:w="230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Gravimetric</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2540 C</w:t>
            </w:r>
            <w:r>
              <w:rPr>
                <w:rFonts w:ascii="Times New Roman" w:hAnsi="Times New Roman"/>
                <w:b w:val="false"/>
                <w:i w:val="false"/>
                <w:color w:val="000000"/>
                <w:sz w:val="18"/>
                <w:vertAlign w:val="superscript"/>
              </w:rPr>
              <w:t>11, 15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2540 C-97</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6"/>
        </w:rPr>
        <w:t xml:space="preserve">The procedures shall be done in accordance with the documents listed below. The incorporation by reference of the following documents was approved by the Director of the Federal Register in accordance with </w:t>
      </w:r>
      <w:r>
        <w:rPr>
          <w:rFonts w:ascii="Times New Roman" w:hAnsi="Times New Roman"/>
          <w:b w:val="false"/>
          <w:i w:val="false"/>
          <w:color w:val="000000"/>
          <w:sz w:val="16"/>
        </w:rPr>
        <w:t>5 U.S.C. 552(a)</w:t>
      </w:r>
      <w:r>
        <w:rPr>
          <w:rFonts w:ascii="Times New Roman" w:hAnsi="Times New Roman"/>
          <w:b w:val="false"/>
          <w:i w:val="false"/>
          <w:color w:val="000000"/>
          <w:sz w:val="16"/>
        </w:rPr>
        <w:t xml:space="preserve"> and </w:t>
      </w:r>
      <w:r>
        <w:rPr>
          <w:rFonts w:ascii="Times New Roman" w:hAnsi="Times New Roman"/>
          <w:b w:val="false"/>
          <w:i w:val="false"/>
          <w:color w:val="000000"/>
          <w:sz w:val="16"/>
        </w:rPr>
        <w:t>1 CFR Part 51</w:t>
      </w:r>
      <w:r>
        <w:rPr>
          <w:rFonts w:ascii="Times New Roman" w:hAnsi="Times New Roman"/>
          <w:b w:val="false"/>
          <w:i w:val="false"/>
          <w:color w:val="000000"/>
          <w:sz w:val="16"/>
        </w:rPr>
        <w:t xml:space="preserve">. Copies may be obtained from the sources listed below. Information regarding the documents can be obtained from the Safe Drinking Water Hotline at 800.426.4791. Documents may be inspected at EPA’s Drinking Water Docket or at the Office of Federal Register. </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“Methods for Chemical Analysis of Water and Wastes,” EPA-600/4-79-020, March 1983. NTIS as PB84-128677.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“Methods for the Determination of Metals in Environmental Samples,” EPA-600/4-91-010, June 1991.  NTIS as PB91-231498.</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ASTM, 1994, 1996, 1999, or 2003, Vols. 11.01 and 11.02; the methods listed are the only versions that may be used. The previous versions of D1688-95A and D1688-95C (copper), D3559-95D (lead), D1293-95 (pH), D1125-91A (conductivity), and D859-94 (silica) are also approved. These previous versions, D1688-90A, C, D3559-90D, D1293-84, D1125-91A and D859-88, respectively, are located in  ASTM, 1994. </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SM, 18th and 19th editions (1992 and 1995, respectively). Either edition may be used.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Techniques of Water Resources Investigation of the USGS, Book 5, Chapter A-1, 3rd ed., 1989. Information Services, USGS, Federal Center, Box 25286, Denver, CO 80225-0425.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Samples may not be filtered. Samples that contain less than 1 NTU and are properly preserved (concentrated nitric acid to pH &lt; 2) may be analyzed directly (without digestion) for total metals; otherwise, digestion is required. When digestion is required, the total recoverable technique as defined in the method must be used. </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“Methods for the Determination of Inorganic Substances in Environmental Samples,” EPA/600/R-93/100, August 1993. NTIS as PB94-120821.</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“Methods of Analysis by the USGS National Water Quality Laboratory—Determination of Inorganic and Organic Constituents in Water and Fluvial Sediments, Open File Report 93-125.” Information Services, USGS, Federal Center, Box 25286, Denver, CO 80225-0425.</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 xml:space="preserve">Because MDLs reported in EPA Methods 200.7 and 200.9 were determined using a 2X preconcentration step during sample digestion, MDLs determined when samples are analyzed by direct analysis (i.e., no sample digestion) will be higher. Preconcentration may be required for direct analysis of lead by Methods 200.9, 3113B, and 3559-90D unless multiple in-furnace depositions are made. </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Method 1001; Palintest Water Analysis Technologies, </w:t>
      </w:r>
      <w:hyperlink r:id="rId221">
        <w:r>
          <w:rPr>
            <w:rStyle w:val="Hyperlink"/>
            <w:rFonts w:ascii="Times New Roman" w:hAnsi="Times New Roman"/>
            <w:b w:val="false"/>
            <w:i w:val="false"/>
            <w:color w:val="000000"/>
            <w:sz w:val="16"/>
            <w:u w:val="single"/>
          </w:rPr>
          <w:t>www.palintest.com</w:t>
        </w:r>
      </w:hyperlink>
      <w:r>
        <w:rPr>
          <w:rFonts w:ascii="Times New Roman" w:hAnsi="Times New Roman"/>
          <w:b w:val="false"/>
          <w:i w:val="false"/>
          <w:color w:val="000000"/>
          <w:sz w:val="16"/>
        </w:rPr>
        <w:t xml:space="preserve"> or </w:t>
      </w:r>
      <w:hyperlink r:id="rId222">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SM, 18th, 19th, and 20th editions (1992, 1995, and 1998, respectively). Any edition may be used, except that the versions of 3111B and 3113B in the 20th edition may not be used. </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 xml:space="preserve">SM, 20th edition (1998). </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 xml:space="preserve">“Methods for the Determination of Organic and Inorganic Compounds in Drinking Water,” Vol. 1, EPA 815-R-00-014, August 2000. NTIS, PB2000-106981. </w:t>
      </w:r>
    </w:p>
    <w:p>
      <w:pPr>
        <w:spacing w:before="0" w:after="0"/>
        <w:ind w:left="120"/>
        <w:jc w:val="both"/>
      </w:pPr>
      <w:r>
        <w:rPr>
          <w:rFonts w:ascii="Times New Roman" w:hAnsi="Times New Roman"/>
          <w:b w:val="false"/>
          <w:i w:val="false"/>
          <w:color w:val="000000"/>
          <w:sz w:val="18"/>
          <w:vertAlign w:val="superscript"/>
        </w:rPr>
        <w:t>14</w:t>
      </w:r>
      <w:r>
        <w:rPr>
          <w:rFonts w:ascii="Times New Roman" w:hAnsi="Times New Roman"/>
          <w:b w:val="false"/>
          <w:i w:val="false"/>
          <w:color w:val="000000"/>
          <w:sz w:val="16"/>
        </w:rPr>
        <w:t xml:space="preserve">Method D6508, Rev. 2, “Test Method for Determination of Dissolved Inorganic Anions in Aqueous Matrices Using Capillary Ion Electrophoresis and Chromate Electrolyte,” Waters Corp., 34 Maple Street, Milford, MA 01757. </w:t>
      </w:r>
    </w:p>
    <w:p>
      <w:pPr>
        <w:spacing w:before="0" w:after="0"/>
        <w:ind w:left="120"/>
        <w:jc w:val="both"/>
      </w:pPr>
      <w:r>
        <w:rPr>
          <w:rFonts w:ascii="Times New Roman" w:hAnsi="Times New Roman"/>
          <w:b w:val="false"/>
          <w:i w:val="false"/>
          <w:color w:val="000000"/>
          <w:sz w:val="18"/>
          <w:vertAlign w:val="superscript"/>
        </w:rPr>
        <w:t>15</w:t>
      </w:r>
      <w:r>
        <w:rPr>
          <w:rFonts w:ascii="Times New Roman" w:hAnsi="Times New Roman"/>
          <w:b w:val="false"/>
          <w:i w:val="false"/>
          <w:color w:val="000000"/>
          <w:sz w:val="16"/>
        </w:rPr>
        <w:t xml:space="preserve">SM, 21st edition (2005). </w:t>
      </w:r>
    </w:p>
    <w:p>
      <w:pPr>
        <w:spacing w:before="0" w:after="0"/>
        <w:ind w:left="120"/>
        <w:jc w:val="both"/>
      </w:pPr>
      <w:r>
        <w:rPr>
          <w:rFonts w:ascii="Times New Roman" w:hAnsi="Times New Roman"/>
          <w:b w:val="false"/>
          <w:i w:val="false"/>
          <w:color w:val="000000"/>
          <w:sz w:val="18"/>
          <w:vertAlign w:val="superscript"/>
        </w:rPr>
        <w:t>16</w:t>
      </w:r>
      <w:r>
        <w:rPr>
          <w:rFonts w:ascii="Times New Roman" w:hAnsi="Times New Roman"/>
          <w:b w:val="false"/>
          <w:i w:val="false"/>
          <w:color w:val="000000"/>
          <w:sz w:val="16"/>
        </w:rPr>
        <w:t xml:space="preserve">SM Online. The year in which each method was approved is designated by the last two digits in the method number. The methods listed are the only online versions that may be used. </w:t>
      </w:r>
    </w:p>
    <w:p>
      <w:pPr>
        <w:spacing w:before="0" w:after="0"/>
        <w:ind w:left="120"/>
        <w:jc w:val="both"/>
      </w:pPr>
      <w:r>
        <w:rPr>
          <w:rFonts w:ascii="Times New Roman" w:hAnsi="Times New Roman"/>
          <w:b w:val="false"/>
          <w:i w:val="false"/>
          <w:color w:val="000000"/>
          <w:sz w:val="18"/>
          <w:vertAlign w:val="superscript"/>
        </w:rPr>
        <w:t>17</w:t>
      </w:r>
      <w:r>
        <w:rPr>
          <w:rFonts w:ascii="Times New Roman" w:hAnsi="Times New Roman"/>
          <w:b w:val="false"/>
          <w:i w:val="false"/>
          <w:color w:val="000000"/>
          <w:sz w:val="16"/>
        </w:rPr>
        <w:t xml:space="preserve">EPA Method 200.5, Revision 4.2: “Determination of Trace Elements in Drinking Water by Axially Viewed Inductively Coupled Plasma-Atomic Emission Spectrometry,” 2003. EPA/600/R-06/115, </w:t>
      </w:r>
      <w:hyperlink r:id="rId223">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18</w:t>
      </w:r>
      <w:r>
        <w:rPr>
          <w:rFonts w:ascii="Times New Roman" w:hAnsi="Times New Roman"/>
          <w:b w:val="false"/>
          <w:i w:val="false"/>
          <w:color w:val="000000"/>
          <w:sz w:val="16"/>
        </w:rPr>
        <w:t xml:space="preserve">SM, 22nd edition (2012). </w:t>
      </w:r>
    </w:p>
    <w:p>
      <w:pPr>
        <w:spacing w:before="0" w:after="0"/>
        <w:ind w:left="120"/>
        <w:jc w:val="both"/>
      </w:pPr>
      <w:r>
        <w:rPr>
          <w:rFonts w:ascii="Times New Roman" w:hAnsi="Times New Roman"/>
          <w:b w:val="false"/>
          <w:i w:val="false"/>
          <w:color w:val="000000"/>
          <w:sz w:val="18"/>
          <w:vertAlign w:val="superscript"/>
        </w:rPr>
        <w:t>19</w:t>
      </w:r>
      <w:r>
        <w:rPr>
          <w:rFonts w:ascii="Times New Roman" w:hAnsi="Times New Roman"/>
          <w:b w:val="false"/>
          <w:i w:val="false"/>
          <w:color w:val="000000"/>
          <w:sz w:val="16"/>
        </w:rPr>
        <w:t xml:space="preserve">Hach Company. “Hach Method 8026 – Spectrophotometric Measurement of Copper in Finished Drinking Water,” December 2015, Revision 1.2, </w:t>
      </w:r>
      <w:hyperlink r:id="rId224">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20</w:t>
      </w:r>
      <w:r>
        <w:rPr>
          <w:rFonts w:ascii="Times New Roman" w:hAnsi="Times New Roman"/>
          <w:b w:val="false"/>
          <w:i w:val="false"/>
          <w:color w:val="000000"/>
          <w:sz w:val="16"/>
        </w:rPr>
        <w:t xml:space="preserve">Hach Company. “Hach Method 10272 – Spectrophotometric Measurement of Copper in Finished Drinking Water,” December 2015, Revision 1.2, </w:t>
      </w:r>
      <w:hyperlink r:id="rId225">
        <w:r>
          <w:rPr>
            <w:rStyle w:val="Hyperlink"/>
            <w:rFonts w:ascii="Times New Roman" w:hAnsi="Times New Roman"/>
            <w:b w:val="false"/>
            <w:i w:val="false"/>
            <w:color w:val="000000"/>
            <w:sz w:val="16"/>
            <w:u w:val="single"/>
          </w:rPr>
          <w:t>www.hach.com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21</w:t>
      </w:r>
      <w:r>
        <w:rPr>
          <w:rFonts w:ascii="Times New Roman" w:hAnsi="Times New Roman"/>
          <w:b w:val="false"/>
          <w:i w:val="false"/>
          <w:color w:val="000000"/>
          <w:sz w:val="16"/>
        </w:rPr>
        <w:t xml:space="preserve">Thermo Fisher. “Thermo Fisher Scientific Drinking Water Orthophosphate Method for Thermo Scientific Gallery Discrete Analyzer,” February 2016. Revision 5. Thermo Fisher Scientific, Ratastie 2 01620 Vantaa, Finland.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Lead and copper analyses under this subrule shall only be conducted by certified laboratories in accordance with </w:t>
      </w:r>
      <w:hyperlink r:id="rId226">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lead and copper levels measured between the practical quantitation limit (PQL) and MDL must be either reported as measured or reported as one-half the PQL specified for lead and copper in </w:t>
      </w:r>
      <w:hyperlink r:id="rId227">
        <w:r>
          <w:rPr>
            <w:rStyle w:val="Hyperlink"/>
            <w:rFonts w:ascii="Times New Roman" w:hAnsi="Times New Roman"/>
            <w:b w:val="false"/>
            <w:i w:val="false"/>
            <w:color w:val="000000"/>
            <w:sz w:val="22"/>
          </w:rPr>
          <w:t>567—paragraph 83.6(7)</w:t>
        </w:r>
      </w:hyperlink>
      <w:r>
        <w:rPr>
          <w:rFonts w:ascii="Times New Roman" w:hAnsi="Times New Roman"/>
          <w:b w:val="false"/>
          <w:i/>
          <w:color w:val="000000"/>
          <w:sz w:val="22"/>
        </w:rPr>
        <w:t>“a”</w:t>
      </w:r>
      <w:r>
        <w:rPr>
          <w:rFonts w:ascii="Times New Roman" w:hAnsi="Times New Roman"/>
          <w:b w:val="false"/>
          <w:i w:val="false"/>
          <w:color w:val="000000"/>
          <w:sz w:val="22"/>
        </w:rPr>
        <w:t>(5)“2.” All levels below the lead and copper MDLs must be reported as zero.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Lead, copper, and corrosivity regulation by the setting of an MCL.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567—41.5</w:t>
      </w:r>
      <w:r>
        <w:rPr>
          <w:rFonts w:ascii="Times New Roman" w:hAnsi="Times New Roman"/>
          <w:b/>
          <w:i w:val="false"/>
          <w:color w:val="000000"/>
          <w:sz w:val="22"/>
        </w:rPr>
        <w:t xml:space="preserve">(455B) </w:t>
      </w:r>
      <w:r>
        <w:rPr>
          <w:rFonts w:ascii="Times New Roman" w:hAnsi="Times New Roman"/>
          <w:b/>
          <w:i w:val="false"/>
          <w:color w:val="000000"/>
          <w:sz w:val="22"/>
        </w:rPr>
        <w:t xml:space="preserve">Organic chemicals.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MCLs and other requirements for organic chemicals. </w:t>
      </w:r>
      <w:r>
        <w:rPr>
          <w:rFonts w:ascii="Times New Roman" w:hAnsi="Times New Roman"/>
          <w:b w:val="false"/>
          <w:i w:val="false"/>
          <w:color w:val="000000"/>
          <w:sz w:val="22"/>
        </w:rPr>
        <w:t xml:space="preserve">MCLs, analytical methods, and monitoring requirements for two classes of organic chemical contaminants apply to CWSs and NTNCs as specified herein. The two referenced organic chemical classes are volatile organic chemicals (VOCs) and synthetic organic chemicals (SOCs). BAT for control of these organic contaminants is referenced in </w:t>
      </w:r>
      <w:hyperlink r:id="rId228">
        <w:r>
          <w:rPr>
            <w:rStyle w:val="Hyperlink"/>
            <w:rFonts w:ascii="Times New Roman" w:hAnsi="Times New Roman"/>
            <w:b w:val="false"/>
            <w:i w:val="false"/>
            <w:color w:val="000000"/>
            <w:sz w:val="22"/>
          </w:rPr>
          <w:t>567—paragraph 43.3(10)</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Compliance with the VOC and SOC MCL is calculated pursuant to </w:t>
      </w:r>
      <w:hyperlink r:id="rId229">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MCLs and analytical methodology for organic compounds. </w:t>
      </w:r>
      <w:r>
        <w:rPr>
          <w:rFonts w:ascii="Times New Roman" w:hAnsi="Times New Roman"/>
          <w:b w:val="false"/>
          <w:i w:val="false"/>
          <w:color w:val="000000"/>
          <w:sz w:val="22"/>
        </w:rPr>
        <w:t>The VOC and SOC MCLs are listed in the following table. VOC and SOC analyses shall be conducted using the methods in the following table and its footnotes or their equivalent as approved by EPA. For analysis of a compliance sample, a certified laboratory must be able to achieve at least the MDL for the specific VOC or SOC shown in the following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Table. </w:t>
      </w:r>
    </w:p>
    <w:p>
      <w:pPr>
        <w:spacing w:before="60" w:after="0"/>
        <w:ind w:left="120"/>
        <w:jc w:val="center"/>
      </w:pPr>
      <w:r>
        <w:rPr>
          <w:rFonts w:ascii="Times New Roman" w:hAnsi="Times New Roman"/>
          <w:b/>
          <w:i w:val="false"/>
          <w:color w:val="000000"/>
          <w:sz w:val="22"/>
        </w:rPr>
        <w:t>Organic Chemical (VOC and SOC) Contaminants, Codes, MCLs,</w:t>
      </w:r>
    </w:p>
    <w:p>
      <w:pPr>
        <w:spacing w:before="60" w:after="0"/>
        <w:ind w:left="120"/>
        <w:jc w:val="center"/>
      </w:pPr>
      <w:r>
        <w:rPr>
          <w:rFonts w:ascii="Times New Roman" w:hAnsi="Times New Roman"/>
          <w:b/>
          <w:i w:val="false"/>
          <w:color w:val="000000"/>
          <w:sz w:val="22"/>
        </w:rPr>
        <w:t>Analytical Methods, and Detection Limits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63"/>
        <w:gridCol w:w="1613"/>
        <w:gridCol w:w="1267"/>
        <w:gridCol w:w="2995"/>
        <w:gridCol w:w="1382"/>
      </w:tblGrid>
      <w:tr>
        <w:trPr>
          <w:trHeight w:val="615" w:hRule="atLeast"/>
        </w:trPr>
        <w:tc>
          <w:tcPr>
            <w:tcW w:w="426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Contaminant</w:t>
            </w:r>
          </w:p>
        </w:tc>
        <w:tc>
          <w:tcPr>
            <w:tcW w:w="161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EPA Contaminant Code</w:t>
            </w:r>
          </w:p>
        </w:tc>
        <w:tc>
          <w:tcPr>
            <w:tcW w:w="12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MCL (mg/L)</w:t>
            </w:r>
          </w:p>
        </w:tc>
        <w:tc>
          <w:tcPr>
            <w:tcW w:w="2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Methodology</w:t>
            </w:r>
            <w:r>
              <w:rPr>
                <w:rFonts w:ascii="Times New Roman" w:hAnsi="Times New Roman"/>
                <w:b/>
                <w:i w:val="false"/>
                <w:color w:val="000000"/>
                <w:sz w:val="18"/>
                <w:vertAlign w:val="superscript"/>
              </w:rPr>
              <w:t>1</w:t>
            </w:r>
          </w:p>
        </w:tc>
        <w:tc>
          <w:tcPr>
            <w:tcW w:w="1382"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Detection Limit (mg/L)</w:t>
            </w:r>
          </w:p>
        </w:tc>
      </w:tr>
      <w:tr>
        <w:trPr>
          <w:trHeight w:val="240"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Volatile Organic Chemicals (VOCs):</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Benzene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2990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43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Carbon tetrachloride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Chlorobenzene (mono)</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0.1</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1,2-Dichlorobenzene (ortho)</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2968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0.6</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1,4-Dichlorobenzene (para)</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2969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0.075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1,2-Dichloroethane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1,1-Dichloroethylene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2977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0.007</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cis-1,2-Dichloroethylene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2380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0.07</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trans-1,2-Dichloroethylene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2979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0.1</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Dichloromethane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2964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1,2-Dichloropropane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Ethylbenzene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2992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0.7</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Styrene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2996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0.1</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510"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Tetrachloroethylene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Toluene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2991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1</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43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1,1,1-Trichloroethane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43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Trichloroethylene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1,2,4-Trichlorobenzene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2378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0.07</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0.0005</w:t>
            </w:r>
          </w:p>
        </w:tc>
      </w:tr>
      <w:tr>
        <w:trPr>
          <w:trHeight w:val="43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1,1,2-Trichloroethane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2985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Vinyl chloride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2976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Xylenes (total)</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2955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10</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502.2, 524.2, 524.3, 524.4</w:t>
            </w:r>
            <w:r>
              <w:rPr>
                <w:rFonts w:ascii="Times New Roman" w:hAnsi="Times New Roman"/>
                <w:b w:val="false"/>
                <w:i w:val="false"/>
                <w:color w:val="000000"/>
                <w:sz w:val="18"/>
                <w:vertAlign w:val="superscript"/>
              </w:rPr>
              <w:t>7</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2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Synthetic Organic Chemicals (SOCs):</w:t>
            </w:r>
          </w:p>
        </w:tc>
      </w:tr>
      <w:tr>
        <w:trPr>
          <w:trHeight w:val="40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Alachlor</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2051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505, 507, 508.1, 525.2, 525.3, 551.1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r>
      <w:tr>
        <w:trPr>
          <w:trHeight w:val="22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Aldicarb</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0.003</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531.1, 6610</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22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Aldicarb sulfone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531.1, 6610</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0.0008</w:t>
            </w:r>
          </w:p>
        </w:tc>
      </w:tr>
      <w:tr>
        <w:trPr>
          <w:trHeight w:val="22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Aldicarb sulfoxide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0.004</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531.1, 6610</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r>
      <w:tr>
        <w:trPr>
          <w:trHeight w:val="61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Atrazine</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0.003</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507, 508.1, 523, 525.2, 525.3, 536, 551.1, Syngenta AG-625</w:t>
            </w:r>
            <w:r>
              <w:rPr>
                <w:rFonts w:ascii="Times New Roman" w:hAnsi="Times New Roman"/>
                <w:b w:val="false"/>
                <w:i w:val="false"/>
                <w:color w:val="000000"/>
                <w:sz w:val="18"/>
                <w:vertAlign w:val="superscript"/>
              </w:rPr>
              <w:t>5</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22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Benzo(a)pyrene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2306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525.2, 525.3, 550, 550.1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0.00002</w:t>
            </w:r>
          </w:p>
        </w:tc>
      </w:tr>
      <w:tr>
        <w:trPr>
          <w:trHeight w:val="43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Carbofuran</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0.04</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531.1, 531.2, 6610, 6610B, 6610 B-04</w:t>
            </w:r>
            <w:r>
              <w:rPr>
                <w:rFonts w:ascii="Times New Roman" w:hAnsi="Times New Roman"/>
                <w:b w:val="false"/>
                <w:i w:val="false"/>
                <w:color w:val="000000"/>
                <w:sz w:val="18"/>
                <w:vertAlign w:val="superscript"/>
              </w:rPr>
              <w:t>2</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0.0009</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Chlordane</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2959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r>
      <w:tr>
        <w:trPr>
          <w:trHeight w:val="76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2,4-D</w:t>
            </w:r>
            <w:r>
              <w:rPr>
                <w:rFonts w:ascii="Times New Roman" w:hAnsi="Times New Roman"/>
                <w:b w:val="false"/>
                <w:i w:val="false"/>
                <w:color w:val="000000"/>
                <w:sz w:val="18"/>
                <w:vertAlign w:val="superscript"/>
              </w:rPr>
              <w:t xml:space="preserve">6 </w:t>
            </w:r>
            <w:r>
              <w:rPr>
                <w:rFonts w:ascii="Times New Roman" w:hAnsi="Times New Roman"/>
                <w:b w:val="false"/>
                <w:i w:val="false"/>
                <w:color w:val="000000"/>
                <w:sz w:val="16"/>
              </w:rPr>
              <w:t>(as acids, salts, and esters)</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2105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0.07</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515.1, 515.2, 515.3, 515.4, 555, D5317-93, 98 (Reapproved 2003), 6610B, 6640-B, 6640 B-01, 6640 B-06</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58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Dalapon</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515.1, 515.3, 515.4, 552.1, 552.2, 552.3, 557, 6640, 6610B, 6640-B, 6640 B-01, 6640 B-06</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0.001</w:t>
            </w:r>
          </w:p>
        </w:tc>
      </w:tr>
      <w:tr>
        <w:trPr>
          <w:trHeight w:val="22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1,2-Dibromo-3-chloropropane (DBCP)</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2931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504.1, 524.3, 551.1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0.00002</w:t>
            </w:r>
          </w:p>
        </w:tc>
      </w:tr>
      <w:tr>
        <w:trPr>
          <w:trHeight w:val="22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Di(2-ethylhexyl)adipate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0.4</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506, 525.2, 525.3</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0.0006</w:t>
            </w:r>
          </w:p>
        </w:tc>
      </w:tr>
      <w:tr>
        <w:trPr>
          <w:trHeight w:val="22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Di(2-ethylhexyl)phthalate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0.006</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506, 525.2, 525.3</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0.0006</w:t>
            </w:r>
          </w:p>
        </w:tc>
      </w:tr>
      <w:tr>
        <w:trPr>
          <w:trHeight w:val="58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Dinoseb</w:t>
            </w:r>
            <w:r>
              <w:rPr>
                <w:rFonts w:ascii="Times New Roman" w:hAnsi="Times New Roman"/>
                <w:b w:val="false"/>
                <w:i w:val="false"/>
                <w:color w:val="000000"/>
                <w:sz w:val="18"/>
                <w:vertAlign w:val="superscript"/>
              </w:rPr>
              <w:t>6</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0.007</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515.1, 515.2, 515.3, 515.4, 555, 6610B, 6640-B, 6640 B-01, 6640 B-06</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r>
      <w:tr>
        <w:trPr>
          <w:trHeight w:val="22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Diquat</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549.2</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0.0004</w:t>
            </w:r>
          </w:p>
        </w:tc>
      </w:tr>
      <w:tr>
        <w:trPr>
          <w:trHeight w:val="22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Endothall</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0.1</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548.1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0.009</w:t>
            </w:r>
          </w:p>
        </w:tc>
      </w:tr>
      <w:tr>
        <w:trPr>
          <w:trHeight w:val="40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Endrin</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2005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0.00001</w:t>
            </w:r>
          </w:p>
        </w:tc>
      </w:tr>
      <w:tr>
        <w:trPr>
          <w:trHeight w:val="22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Ethylene dibromide (EDB)</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2946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504.1, 524.3, 551.1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0.00001</w:t>
            </w:r>
          </w:p>
        </w:tc>
      </w:tr>
      <w:tr>
        <w:trPr>
          <w:trHeight w:val="40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Glyphosate</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0.7</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547, 6651, 6651B, 6651 B-00, 6640 B-05</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0.006</w:t>
            </w:r>
          </w:p>
        </w:tc>
      </w:tr>
      <w:tr>
        <w:trPr>
          <w:trHeight w:val="40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Heptachlor</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2065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0.0004</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0.00004</w:t>
            </w:r>
          </w:p>
        </w:tc>
      </w:tr>
      <w:tr>
        <w:trPr>
          <w:trHeight w:val="40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Heptachlor epoxide</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2067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0.00002</w:t>
            </w:r>
          </w:p>
        </w:tc>
      </w:tr>
      <w:tr>
        <w:trPr>
          <w:trHeight w:val="40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Hexachlorobenzene</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2274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0.001</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40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Hexachlorocyclopentadiene</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40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Lindane (gamma BHC)</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2010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0.00002</w:t>
            </w:r>
          </w:p>
        </w:tc>
      </w:tr>
      <w:tr>
        <w:trPr>
          <w:trHeight w:val="40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Methoxychlor</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2015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0.04</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540"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Oxamyl</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0.2</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531.1, 531.2, 6610, 6610B, 6610 B-04</w:t>
            </w:r>
            <w:r>
              <w:rPr>
                <w:rFonts w:ascii="Times New Roman" w:hAnsi="Times New Roman"/>
                <w:b w:val="false"/>
                <w:i w:val="false"/>
                <w:color w:val="000000"/>
                <w:sz w:val="18"/>
                <w:vertAlign w:val="superscript"/>
              </w:rPr>
              <w:t>2</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0.002</w:t>
            </w:r>
          </w:p>
        </w:tc>
      </w:tr>
      <w:tr>
        <w:trPr>
          <w:trHeight w:val="76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Pentachlorophenol</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2326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0.001</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515.1, 515.2, 515.3, 515.4, 525.2, 525.3, 555, D5317-93, 98 (Reapproved 2003), 6610B, 6640-B, 6640 B-01, 6640 B-06</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0.00004</w:t>
            </w:r>
          </w:p>
        </w:tc>
      </w:tr>
      <w:tr>
        <w:trPr>
          <w:trHeight w:val="76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Picloram</w:t>
            </w:r>
            <w:r>
              <w:rPr>
                <w:rFonts w:ascii="Times New Roman" w:hAnsi="Times New Roman"/>
                <w:b w:val="false"/>
                <w:i w:val="false"/>
                <w:color w:val="000000"/>
                <w:sz w:val="18"/>
                <w:vertAlign w:val="superscript"/>
              </w:rPr>
              <w:t>3, 6</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2040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515.1, 515.2, 515.3, 515.4, 555, D5317-93, 98 (Reapproved 2003), 6610B, 6640-B, 6640 B-01, 6640 B-06</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480"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PCBs</w:t>
            </w: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 (as decachlorobiphenyl) </w:t>
            </w:r>
            <w:r>
              <w:br/>
            </w:r>
            <w:r>
              <w:rPr>
                <w:rFonts w:ascii="Times New Roman" w:hAnsi="Times New Roman"/>
                <w:b w:val="false"/>
                <w:i w:val="false"/>
                <w:color w:val="000000"/>
                <w:sz w:val="16"/>
              </w:rPr>
              <w:t>(as Arochlors)</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2383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508A</w:t>
            </w:r>
            <w:r>
              <w:br/>
            </w:r>
            <w:r>
              <w:rPr>
                <w:rFonts w:ascii="Times New Roman" w:hAnsi="Times New Roman"/>
                <w:b w:val="false"/>
                <w:i w:val="false"/>
                <w:color w:val="000000"/>
                <w:sz w:val="16"/>
              </w:rPr>
              <w:t>505, 508, 508.1, 525.2, 525.3</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0.0001</w:t>
            </w:r>
          </w:p>
        </w:tc>
      </w:tr>
      <w:tr>
        <w:trPr>
          <w:trHeight w:val="40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Simazine</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2037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0.004</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505, 507, 508.1, 523, 525.2, 525.3, 536, 551.1</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0.00007</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2,3,7,8-TCDD (dioxin)</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2063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3x10</w:t>
            </w:r>
            <w:r>
              <w:rPr>
                <w:rFonts w:ascii="Times New Roman" w:hAnsi="Times New Roman"/>
                <w:b w:val="false"/>
                <w:i w:val="false"/>
                <w:color w:val="000000"/>
                <w:sz w:val="18"/>
                <w:vertAlign w:val="superscript"/>
              </w:rPr>
              <w:t>-8</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1613</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5x10</w:t>
            </w:r>
            <w:r>
              <w:rPr>
                <w:rFonts w:ascii="Times New Roman" w:hAnsi="Times New Roman"/>
                <w:b w:val="false"/>
                <w:i w:val="false"/>
                <w:color w:val="000000"/>
                <w:sz w:val="18"/>
                <w:vertAlign w:val="superscript"/>
              </w:rPr>
              <w:t>-9</w:t>
            </w:r>
          </w:p>
        </w:tc>
      </w:tr>
      <w:tr>
        <w:trPr>
          <w:trHeight w:val="76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2,4,5-TP</w:t>
            </w: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 (Silvex)</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2110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0.05</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515.1, 515.2, 515.3, 515.4, 555, D5317-93, 98 (Reapproved 2003), 6610B, 6640-B, 6640 B-01, 6640 B-06</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0.0002</w:t>
            </w:r>
          </w:p>
        </w:tc>
      </w:tr>
      <w:tr>
        <w:trPr>
          <w:trHeight w:val="255" w:hRule="atLeast"/>
        </w:trPr>
        <w:tc>
          <w:tcPr>
            <w:tcW w:w="42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Toxaphene</w:t>
            </w:r>
            <w:r>
              <w:rPr>
                <w:rFonts w:ascii="Times New Roman" w:hAnsi="Times New Roman"/>
                <w:b w:val="false"/>
                <w:i w:val="false"/>
                <w:color w:val="000000"/>
                <w:sz w:val="18"/>
                <w:vertAlign w:val="superscript"/>
              </w:rPr>
              <w:t>3</w:t>
            </w:r>
          </w:p>
        </w:tc>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ind w:left="412"/>
              <w:jc w:val="left"/>
            </w:pPr>
            <w:r>
              <w:rPr>
                <w:rFonts w:ascii="Times New Roman" w:hAnsi="Times New Roman"/>
                <w:b w:val="false"/>
                <w:i w:val="false"/>
                <w:color w:val="000000"/>
                <w:sz w:val="16"/>
              </w:rPr>
              <w:t>2020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0.003</w:t>
            </w:r>
          </w:p>
        </w:tc>
        <w:tc>
          <w:tcPr>
            <w:tcW w:w="2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505, 508, 508.1, 525.2, 525.3</w:t>
            </w:r>
          </w:p>
        </w:tc>
        <w:tc>
          <w:tcPr>
            <w:tcW w:w="1382"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0.001</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Analyses for the contaminants in this table shall be conducted using the following EPA methods or their equivalent as approved by EPA. This incorporation by reference was approved by the Director of the Federal Register in accordance with </w:t>
      </w:r>
      <w:r>
        <w:rPr>
          <w:rFonts w:ascii="Times New Roman" w:hAnsi="Times New Roman"/>
          <w:b w:val="false"/>
          <w:i w:val="false"/>
          <w:color w:val="000000"/>
          <w:sz w:val="16"/>
        </w:rPr>
        <w:t>5 U.S.C. 552(a)</w:t>
      </w:r>
      <w:r>
        <w:rPr>
          <w:rFonts w:ascii="Times New Roman" w:hAnsi="Times New Roman"/>
          <w:b w:val="false"/>
          <w:i w:val="false"/>
          <w:color w:val="000000"/>
          <w:sz w:val="16"/>
        </w:rPr>
        <w:t xml:space="preserve"> and </w:t>
      </w:r>
      <w:r>
        <w:rPr>
          <w:rFonts w:ascii="Times New Roman" w:hAnsi="Times New Roman"/>
          <w:b w:val="false"/>
          <w:i w:val="false"/>
          <w:color w:val="000000"/>
          <w:sz w:val="16"/>
        </w:rPr>
        <w:t>1 CFR Part 51</w:t>
      </w:r>
      <w:r>
        <w:rPr>
          <w:rFonts w:ascii="Times New Roman" w:hAnsi="Times New Roman"/>
          <w:b w:val="false"/>
          <w:i w:val="false"/>
          <w:color w:val="000000"/>
          <w:sz w:val="16"/>
        </w:rPr>
        <w:t xml:space="preserve">. Copies may be inspected at EPA’s Drinking Water Docket or at NARA. </w:t>
      </w:r>
    </w:p>
    <w:p>
      <w:pPr>
        <w:spacing w:before="0" w:after="0"/>
        <w:ind w:left="120"/>
        <w:jc w:val="both"/>
      </w:pPr>
      <w:r>
        <w:rPr>
          <w:rFonts w:ascii="Times New Roman" w:hAnsi="Times New Roman"/>
          <w:b w:val="false"/>
          <w:i w:val="false"/>
          <w:color w:val="000000"/>
          <w:sz w:val="16"/>
        </w:rPr>
        <w:t>NTIS methods:</w:t>
      </w:r>
    </w:p>
    <w:p>
      <w:pPr>
        <w:spacing w:before="0" w:after="0"/>
        <w:ind w:left="120"/>
        <w:jc w:val="both"/>
      </w:pPr>
      <w:r>
        <w:rPr>
          <w:rFonts w:ascii="Times New Roman" w:hAnsi="Times New Roman"/>
          <w:b w:val="false"/>
          <w:i w:val="false"/>
          <w:color w:val="000000"/>
          <w:sz w:val="16"/>
        </w:rPr>
        <w:t>Methods for the Determination of Organic Compounds in Drinking Water, EPA-600/4-88-039, December 1988, Revised July 1991 (NTIS PB91-231480): Methods 508A and 515.1.</w:t>
      </w:r>
    </w:p>
    <w:p>
      <w:pPr>
        <w:spacing w:before="0" w:after="0"/>
        <w:ind w:left="120"/>
        <w:jc w:val="both"/>
      </w:pPr>
      <w:r>
        <w:rPr>
          <w:rFonts w:ascii="Times New Roman" w:hAnsi="Times New Roman"/>
          <w:b w:val="false"/>
          <w:i w:val="false"/>
          <w:color w:val="000000"/>
          <w:sz w:val="16"/>
        </w:rPr>
        <w:t xml:space="preserve">Methods for the Determination of Organic Compounds in Drinking Water—Supplement I, EPA-600/4-90-020, July 1990 (NTIS PB91-146027): Methods 547, 550, 550.1. </w:t>
      </w:r>
    </w:p>
    <w:p>
      <w:pPr>
        <w:spacing w:before="0" w:after="0"/>
        <w:ind w:left="120"/>
        <w:jc w:val="both"/>
      </w:pPr>
      <w:r>
        <w:rPr>
          <w:rFonts w:ascii="Times New Roman" w:hAnsi="Times New Roman"/>
          <w:b w:val="false"/>
          <w:i w:val="false"/>
          <w:color w:val="000000"/>
          <w:sz w:val="16"/>
        </w:rPr>
        <w:t xml:space="preserve">Methods for the Determination of Organic Compounds in Drinking Water—Supplement II, EPA-600/R-92-129, August 1992 (NTIS PB92-207703): Methods 548.1, 552.1, 555. </w:t>
      </w:r>
    </w:p>
    <w:p>
      <w:pPr>
        <w:spacing w:before="0" w:after="0"/>
        <w:ind w:left="120"/>
        <w:jc w:val="both"/>
      </w:pPr>
      <w:r>
        <w:rPr>
          <w:rFonts w:ascii="Times New Roman" w:hAnsi="Times New Roman"/>
          <w:b w:val="false"/>
          <w:i w:val="false"/>
          <w:color w:val="000000"/>
          <w:sz w:val="16"/>
        </w:rPr>
        <w:t xml:space="preserve">Methods for the Determination of Organic Compounds in Drinking Water—Supplement III, EPA-600/R-95-131, August 1995 (NTIS PB95-261616): Methods 502.2, 504.1, 505, 506, 507, 508, 508.1, 515.2, 524.2, 525.2, 531.1, 551.1, 552.2. </w:t>
      </w:r>
    </w:p>
    <w:p>
      <w:pPr>
        <w:spacing w:before="0" w:after="0"/>
        <w:ind w:left="120"/>
        <w:jc w:val="both"/>
      </w:pPr>
      <w:r>
        <w:rPr>
          <w:rFonts w:ascii="Times New Roman" w:hAnsi="Times New Roman"/>
          <w:b w:val="false"/>
          <w:i w:val="false"/>
          <w:color w:val="000000"/>
          <w:sz w:val="16"/>
        </w:rPr>
        <w:t xml:space="preserve">EPA Method 523, “Determination of Triazine Pesticides and Their Degradates in Drinking Water by Gas Chromatography/Mass Spectrometry (GC/MS),” 2011. EPA-815-R-11-002, </w:t>
      </w:r>
      <w:hyperlink r:id="rId230">
        <w:r>
          <w:rPr>
            <w:rStyle w:val="Hyperlink"/>
            <w:rFonts w:ascii="Times New Roman" w:hAnsi="Times New Roman"/>
            <w:b w:val="false"/>
            <w:i w:val="false"/>
            <w:color w:val="000000"/>
            <w:sz w:val="16"/>
            <w:u w:val="single"/>
          </w:rPr>
          <w:t>nepis.epa.gov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6"/>
        </w:rPr>
        <w:t xml:space="preserve">EPA Method 524.3, Version 1.0. “Measurement of Purgeable Organic Compounds in Water by Capillary Column Gas Chromatography/Mass Spectrometry,” June 2009. EPA 815-B-09-009, </w:t>
      </w:r>
      <w:hyperlink r:id="rId231">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6"/>
        </w:rPr>
        <w:t xml:space="preserve">EPA Method 525.3, “Determination of Semivolatile Organic Chemicals in Drinking Water by Solid Phase Extraction and Capillary Column Gas Chromatograph/Mass Spectrometry (GC/MS),” 2012. EPA/600/R-12-010, </w:t>
      </w:r>
      <w:hyperlink r:id="rId232">
        <w:r>
          <w:rPr>
            <w:rStyle w:val="Hyperlink"/>
            <w:rFonts w:ascii="Times New Roman" w:hAnsi="Times New Roman"/>
            <w:b w:val="false"/>
            <w:i w:val="false"/>
            <w:color w:val="000000"/>
            <w:sz w:val="16"/>
            <w:u w:val="single"/>
          </w:rPr>
          <w:t>nepis.epa.gov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6"/>
        </w:rPr>
        <w:t xml:space="preserve">EPA Method 536, “Determination of Triazine Pesticides and Their Degradates in Drinking Water by Liquid Chromatography Electrospray Ionization Tandem Mass Spectrometry (LC/ESI-MS/MS),” 2007. EPA/815-B-07-002, </w:t>
      </w:r>
      <w:hyperlink r:id="rId233">
        <w:r>
          <w:rPr>
            <w:rStyle w:val="Hyperlink"/>
            <w:rFonts w:ascii="Times New Roman" w:hAnsi="Times New Roman"/>
            <w:b w:val="false"/>
            <w:i w:val="false"/>
            <w:color w:val="000000"/>
            <w:sz w:val="16"/>
            <w:u w:val="single"/>
          </w:rPr>
          <w:t>nepis.epa.gov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6"/>
        </w:rPr>
        <w:t xml:space="preserve">EPA Method 557, “Determination of Haloacetic Acids, Bromate, and Dalapon in Drinking Water by Ion Chromatography Electrospray Ionization Tandem Mass Spectrometry (IC-ESI-MS/MS),” September 2009. EPA 815-B-09-012, </w:t>
      </w:r>
      <w:hyperlink r:id="rId234">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6"/>
        </w:rPr>
        <w:t>Method 1613 “Tetra-through Octa-Chlorinated Dioxins and Furans by Isotope-Dilution HRGC/HRMS,” EPA-821-B-94-005, October 1994 (NTIS PB95-104774).</w:t>
      </w:r>
    </w:p>
    <w:p>
      <w:pPr>
        <w:spacing w:before="0" w:after="0"/>
        <w:ind w:left="120"/>
        <w:jc w:val="both"/>
      </w:pPr>
      <w:r>
        <w:rPr>
          <w:rFonts w:ascii="Times New Roman" w:hAnsi="Times New Roman"/>
          <w:b w:val="false"/>
          <w:i w:val="false"/>
          <w:color w:val="000000"/>
          <w:sz w:val="16"/>
        </w:rPr>
        <w:t>APHA documents:</w:t>
      </w:r>
    </w:p>
    <w:p>
      <w:pPr>
        <w:spacing w:before="0" w:after="0"/>
        <w:ind w:left="120"/>
        <w:jc w:val="both"/>
      </w:pPr>
      <w:r>
        <w:rPr>
          <w:rFonts w:ascii="Times New Roman" w:hAnsi="Times New Roman"/>
          <w:b w:val="false"/>
          <w:i w:val="false"/>
          <w:color w:val="000000"/>
          <w:sz w:val="16"/>
        </w:rPr>
        <w:t xml:space="preserve"> SM, supplement to the 18th edition, 1994, 19th edition, 1995, 20th edition, 1998, 21st edition, 2005, or 22nd edition, 2012 (any of these editions may be used), APHA: Method 6610 and (carbofuran and oxamyl only) 6610B and 6610 B-04; Method 6640B (21st and 22nd editions only) and SM online 6640 B-01 for 2,4-D, 2,4,5-TP Silvex, dalapon, dinoseb, pentachlorophenol, and picloram; Method 6651B (21st and 22nd editions only) and SM online 6670-B-00 for glyphosate. </w:t>
      </w:r>
    </w:p>
    <w:p>
      <w:pPr>
        <w:spacing w:before="0" w:after="0"/>
        <w:ind w:left="120"/>
        <w:jc w:val="both"/>
      </w:pPr>
      <w:r>
        <w:rPr>
          <w:rFonts w:ascii="Times New Roman" w:hAnsi="Times New Roman"/>
          <w:b w:val="false"/>
          <w:i w:val="false"/>
          <w:color w:val="000000"/>
          <w:sz w:val="16"/>
        </w:rPr>
        <w:t xml:space="preserve">SM, 18th edition, 1992, 19th edition, 1995, or 20th edition, 1998, (any of these editions may be used), APHA: Method 6651. </w:t>
      </w:r>
    </w:p>
    <w:p>
      <w:pPr>
        <w:spacing w:before="0" w:after="0"/>
        <w:ind w:left="120"/>
        <w:jc w:val="both"/>
      </w:pPr>
      <w:r>
        <w:rPr>
          <w:rFonts w:ascii="Times New Roman" w:hAnsi="Times New Roman"/>
          <w:b w:val="false"/>
          <w:i w:val="false"/>
          <w:color w:val="000000"/>
          <w:sz w:val="16"/>
        </w:rPr>
        <w:t xml:space="preserve">ASTM, 1999, Vol. 11.02 (or any edition published after 1993), ASTM: D5317-93, 98 (Reapproved 2003). </w:t>
      </w:r>
    </w:p>
    <w:p>
      <w:pPr>
        <w:spacing w:before="0" w:after="0"/>
        <w:ind w:left="120"/>
        <w:jc w:val="both"/>
      </w:pPr>
      <w:r>
        <w:rPr>
          <w:rFonts w:ascii="Times New Roman" w:hAnsi="Times New Roman"/>
          <w:b w:val="false"/>
          <w:i w:val="false"/>
          <w:color w:val="000000"/>
          <w:sz w:val="16"/>
        </w:rPr>
        <w:t xml:space="preserve">Methods 515.3 and 549.2,  EPA NERL, 26 W. Martin Luther King Drive, Cincinnati, OH 45268. </w:t>
      </w:r>
    </w:p>
    <w:p>
      <w:pPr>
        <w:spacing w:before="0" w:after="0"/>
        <w:ind w:left="120"/>
        <w:jc w:val="both"/>
      </w:pPr>
      <w:r>
        <w:rPr>
          <w:rFonts w:ascii="Times New Roman" w:hAnsi="Times New Roman"/>
          <w:b w:val="false"/>
          <w:i w:val="false"/>
          <w:color w:val="000000"/>
          <w:sz w:val="16"/>
        </w:rPr>
        <w:t xml:space="preserve">Method 515.4, “Determination of Chlorinated Acids in Drinking Water by Liquid-Liquid Microextraction, Derivatization and Fast Gas Chromatography with Electron Capture Detection,” Revision 1.0, April 2000, EPA 815/B-00/001 and EPA Method 552.3, “Determination of Haloacetic Acids and Dalapon in Drinking Water by Liquid-liquid Microextraction, Derivatization, and Gas Chromatography with Electron Capture Detection,” Revision 1.0, July 2003, EPA 815-B-03-002, </w:t>
      </w:r>
      <w:hyperlink r:id="rId235">
        <w:r>
          <w:rPr>
            <w:rStyle w:val="Hyperlink"/>
            <w:rFonts w:ascii="Times New Roman" w:hAnsi="Times New Roman"/>
            <w:b w:val="false"/>
            <w:i w:val="false"/>
            <w:color w:val="000000"/>
            <w:sz w:val="16"/>
            <w:u w:val="single"/>
          </w:rPr>
          <w:t>nepis.epa.gov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6"/>
        </w:rPr>
        <w:t xml:space="preserve">Method 531.2, “Measurement of n-Methylcarbamoyloximes and n-Methylcarbamates in Water by Direct Aqueous Injection HPLC with Postcolumn Derivatization,” Revision 1.0, September 2001, EPA 815/B-01/002, </w:t>
      </w:r>
      <w:hyperlink r:id="rId236">
        <w:r>
          <w:rPr>
            <w:rStyle w:val="Hyperlink"/>
            <w:rFonts w:ascii="Times New Roman" w:hAnsi="Times New Roman"/>
            <w:b w:val="false"/>
            <w:i w:val="false"/>
            <w:color w:val="000000"/>
            <w:sz w:val="16"/>
            <w:u w:val="single"/>
          </w:rPr>
          <w:t>nepis.epa.gov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6"/>
        </w:rPr>
        <w:t xml:space="preserve">Syngenta AG-625 Method, “Atrazine in Drinking Water by Immunoassay,” February 2001, Syngenta Crop Protection, Inc., 410 Swing Road, P.O. Box 18300, Greensboro, NC 27419. </w:t>
      </w:r>
    </w:p>
    <w:p>
      <w:pPr>
        <w:spacing w:before="0" w:after="0"/>
        <w:ind w:left="120"/>
        <w:jc w:val="both"/>
      </w:pPr>
      <w:r>
        <w:rPr>
          <w:rFonts w:ascii="Times New Roman" w:hAnsi="Times New Roman"/>
          <w:b w:val="false"/>
          <w:i w:val="false"/>
          <w:color w:val="000000"/>
          <w:sz w:val="16"/>
        </w:rPr>
        <w:t xml:space="preserve">Other required analytical test procedures germane to the conduct of these analyses are contained in Technical Notes on Drinking Water Methods, EPA-600/R-94-173, October 1994 (NTIS PB95-104766).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SM Online. The year that each method was approved is designated by the last two digits in the method number. The methods listed are the only online versions that may be used. </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The detectors specified in Method 505, 507, 508, or 508.1 may be substituted for the purpose of achieving lower MDLs with either an electron capture or nitrogen-phosphorus detector, provided all regulatory requirements and quality control criteria are met. </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PCBs are qualitatively identified as Aroclors and measured for compliance purposes as decachlorobiphenyl. Users of Method 505 may have more difficulty in achieving the required detection limits than users of Method 508. 508.1, or 525.2.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This method may not be used for atrazine analysis in any system where chlorine dioxide is used in the drinking water treatment. In samples from all other systems, any atrazine result generated by Method AG-625 that is greater than one-half the MCL must be confirmed using another approved atrazine method and should use additional volume of the original sample collected for compliance monitoring. In instances where a result from Method AG-625 triggers such confirmatory testing, the confirmatory result is to be used to determine compliance.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Accurate determination of the chlorinated esters requires hydrolysis of the sample as described in EPA Methods 515.1, 515.2, 515.3, 515.4, and 555, and ASTM Method D5317-93, 98 (Reapproved 2003). </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EPA Method 524.4, Version 1.0. “Measurement of Purgeable Organic Compounds in Water by Gas Chromatography/Mass Spectrometry Using Nitrogen Purge Gas,” May 2013, EPA 815-R-13-002.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Organic chemical compliance calculations. Compliance with this paragraph shall be determined based on the analytical results obtained at each sampling point. If one sampling point is in violation of an MCL in this paragraph, the system is in violation of the MCL. If a system fails to collect the required number of samples, compliance will be based on the total number of samples collected. If a sample result is less than the detection limit, zero will be used when calculating the running annual average (RAA). If a system is in violation of an MCL, the water supplier is required to give notice to the department in accordance with </w:t>
      </w:r>
      <w:hyperlink r:id="rId237">
        <w:r>
          <w:rPr>
            <w:rStyle w:val="Hyperlink"/>
            <w:rFonts w:ascii="Times New Roman" w:hAnsi="Times New Roman"/>
            <w:b w:val="false"/>
            <w:i w:val="false"/>
            <w:color w:val="000000"/>
            <w:sz w:val="22"/>
          </w:rPr>
          <w:t>567—subrule 40.8(1)</w:t>
        </w:r>
      </w:hyperlink>
      <w:r>
        <w:rPr>
          <w:rFonts w:ascii="Times New Roman" w:hAnsi="Times New Roman"/>
          <w:b w:val="false"/>
          <w:i w:val="false"/>
          <w:color w:val="000000"/>
          <w:sz w:val="22"/>
        </w:rPr>
        <w:t xml:space="preserve"> and to provide PN as required by </w:t>
      </w:r>
      <w:hyperlink r:id="rId238">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more than once per year for VOC or SOC contaminants. For systems that monitor more than once per year, MCL compliance is determined by an RAA of all samples collected at each sampling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annually or less frequently for VOC contaminants. Systems that monitor annually or less frequently and whose VOC sample result exceeds the MCL must begin quarterly sampling. The system will not be considered in violation of the MCL until it has completed one year of quarterly sampling. However, if any sample result will cause the RAA to exceed the MCL at any sampling point, a system is immediately out of compliance with the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annually or less frequently for SOC contaminants. Systems that monitor annually or less frequently and whose SOC sample result exceeds the regulatory detection limit specified in </w:t>
      </w:r>
      <w:hyperlink r:id="rId239">
        <w:r>
          <w:rPr>
            <w:rStyle w:val="Hyperlink"/>
            <w:rFonts w:ascii="Times New Roman" w:hAnsi="Times New Roman"/>
            <w:b w:val="false"/>
            <w:i w:val="false"/>
            <w:color w:val="000000"/>
            <w:sz w:val="22"/>
          </w:rPr>
          <w:t>41.5(1)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must begin quarterly sampling. The system will not be considered in violation of the MCL until it has completed one year of quarterly sampling. However, if any sample result will cause the RAA to exceed the MCL at any sampling point, a system is immediately out of compliance with the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TTs for acrylamide and epichlorohydrin. Each PWS must certify annually in writing to the department (using third-party or manufacturer’s certification) that when acrylamide and epichlorohydrin are used in drinking water systems, the combination (or product) of dose and monomer level does not exceed the following levels:</w:t>
      </w:r>
    </w:p>
    <w:p>
      <w:pPr>
        <w:spacing w:before="0" w:after="0"/>
        <w:ind w:left="120"/>
        <w:jc w:val="both"/>
      </w:pPr>
      <w:r>
        <w:rPr>
          <w:rFonts w:ascii="Times New Roman" w:hAnsi="Times New Roman"/>
          <w:b w:val="false"/>
          <w:i w:val="false"/>
          <w:color w:val="000000"/>
          <w:sz w:val="22"/>
        </w:rPr>
        <w:t xml:space="preserve">Acrylamide = 0.05 percent dosed at 1 ppm (or equivalent) </w:t>
      </w:r>
    </w:p>
    <w:p>
      <w:pPr>
        <w:spacing w:before="0" w:after="0"/>
        <w:ind w:left="120"/>
        <w:jc w:val="both"/>
      </w:pPr>
      <w:r>
        <w:rPr>
          <w:rFonts w:ascii="Times New Roman" w:hAnsi="Times New Roman"/>
          <w:b w:val="false"/>
          <w:i w:val="false"/>
          <w:color w:val="000000"/>
          <w:sz w:val="22"/>
        </w:rPr>
        <w:t xml:space="preserve">Epichlorohydrin = 0.01 percent dosed at 20 ppm (or equivalent) </w:t>
      </w:r>
    </w:p>
    <w:p>
      <w:pPr>
        <w:spacing w:before="0" w:after="0"/>
        <w:ind w:left="120"/>
        <w:jc w:val="both"/>
      </w:pPr>
      <w:r>
        <w:rPr>
          <w:rFonts w:ascii="Times New Roman" w:hAnsi="Times New Roman"/>
          <w:b w:val="false"/>
          <w:i w:val="false"/>
          <w:color w:val="000000"/>
          <w:sz w:val="22"/>
        </w:rPr>
        <w:t xml:space="preserve">Certifications can rely on information provided by manufacturers or third parties, as approved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VOC and SOC monitoring requirements. </w:t>
      </w:r>
      <w:r>
        <w:rPr>
          <w:rFonts w:ascii="Times New Roman" w:hAnsi="Times New Roman"/>
          <w:b w:val="false"/>
          <w:i w:val="false"/>
          <w:color w:val="000000"/>
          <w:sz w:val="22"/>
        </w:rPr>
        <w:t>Each PWS shall monitor at the time designated within each compliance period. All new systems or systems that use a new source of water must demonstrate compliance with the MCLs within the department-specified time period. The system must also comply with the specified initial sampling frequencies to ensure it can demonstrate MCL compliance. A water source that is determined by the department to be a new SEP is considered to be a new source for the purposes of this paragraph. Routine and increased monitoring shall be conducted in accordance with this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VOC monitoring requirements. CWSs and NTNCs shall monitor the VOCs listed in </w:t>
      </w:r>
      <w:hyperlink r:id="rId240">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to determine MCL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 monitoring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GW monitoring. GW systems shall take a minimum of one sample at every entry point to the distribution system which is representative of each well after treatment (hereafter called a source/entry point or SEP). Each sample must be taken at the same sampling point unless conditions make another sampling point more representative of each source, treatment plant, or within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SW monitoring. SW systems (and combined SW/GW systems) shall take a minimum of one sample at each SEP after treatment. Each sample must be taken at the same sampling point unless conditions make another sampling point more representative of each source, treatment plant, or within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Multiple sources. If a system draws water from more than one source and the sources are combined before distribution, it must sample at an SEP during periods of normal operating conditions. If a representative sample of all water sources cannot be obtained, as determined by the department, separate SEPs with the appropriate monitoring requirements will be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Initial VOC monitoring frequency. Each CWS and NTNC shall take four consecutive quarterly samples for each VOC during each compliance period, beginning in the initial compliance period. If the initial VOC monitoring has been completed by December 31, 1992, and a system did not detect any VOC, then each GW and SW system shall take one sample annually beginning with the initial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Reduced VOC monitoring for GW systems. After a minimum of three years of annual sampling, the department may allow GW systems with no previous detection of any VOC to take one sample during each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VOC monitoring waivers. Each CWS and NTNC GW system that does not detect a VOC may apply to the department for a waiver from </w:t>
      </w:r>
      <w:hyperlink r:id="rId241">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(2)“4” and “5” after completing the initial monitoring. A waiver shall be effective for no more than six years (two compliance periods). The department may also issue waivers to small systems for the initial round of monitoring for 1,2,4-trichlorobenzene. Detection is defined as greater than or equal to 0.0005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Bases of a VOC monitoring waiver. The department may grant a waiver if it finds that there is no knowledge of previous use (including transport, storage, or disposal) of the contaminant within the watershed or the system’s zone of influence. If previous use of the contaminant is unknown or it has been used previously, the following factors shall be used to determine whether a waiver is granted.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Previous analytical results.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system’s proximity to a potential point or nonpoint source of contamination. Point sources include spills and leaks of chemicals at or near: a water treatment facility or at manufacturing, distribution, or storage facilities,  from hazardous and municipal waste landfills, or from other waste handling or treatment facilities.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environmental persistence and transport of the contaminants.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number of persons served by the PWS and the proximity of a smaller system to a larger system,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How well the water source is protected against contamination. GW systems must consider factors such as depth of the well, the type of soil, and wellhead protection. SW systems must consider watershed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VOC waivers for GW systems. As a condition of the monitoring waiver, a GW system must take one sample at each sampling point during the time the waiver is effective and update its vulnerability assessment, considering the factors in </w:t>
      </w:r>
      <w:hyperlink r:id="rId242">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 xml:space="preserve">(2)“7.” Based on this vulnerability assessment, the department must reconfirm that the system is nonvulnerable. If the department does not reconfirm within three years of the initial vulnerability determination, the waiver is invalidated and the system is required to sample annually as specified in </w:t>
      </w:r>
      <w:hyperlink r:id="rId243">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VOC waivers for SW systems. Each CWS and NTNC that does not detect a VOC may apply to the department for a waiver from </w:t>
      </w:r>
      <w:hyperlink r:id="rId244">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(2)“4” after completing the initial monitoring. Systems meeting this criterion must be determined by the department to be nonvulnerable based on a vulnerability assessment during each compliance period. Each system receiving a waiver shall sample at the department-specified frequency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Increased VOC monitoring—quarterly. If a VOC is detected at a level exceeding 0.0005 mg/L in any sample, the system must monitor quarterly at each sampling point which resulted in a detection. The department may decrease the quarterly monitoring specified in </w:t>
      </w:r>
      <w:hyperlink r:id="rId245">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(2)“4” provided it has determined that the system is reliably and consistently below the MCL. The department shall not make this determination unless a GW system takes a minimum of two quarterly samples and a SW system takes a minimum of four quarterly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Increased VOC monitoring—annual. If the department determines that a system is reliably and consistently below the MCL, the system may be allowed to monitor annually. Systems that monitor annually must monitor during the quarter(s) that previously yielded the highest analytical result. Systems that have three consecutive annual samples with no detection of a contaminant may apply for a waiver as specified in </w:t>
      </w:r>
      <w:hyperlink r:id="rId246">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Increased VOC monitoring—vinyl chloride. GW systems that have detected one or more of the following two-carbon organic compounds: trichloroethylene, tetrachloroethylene, 1,2-dichloroethane, 1,1,1-trichloroethane, cis-1,2-dichloroethylene, trans-1,2-dichloroethylene, or 1,1-dichloroethylene shall monitor quarterly for vinyl chloride. A vinyl chloride sample shall be taken at each sampling point at which one or more of the two-carbon organic compounds was detected. If the results of the first analysis do not detect vinyl chloride, the department may reduce the quarterly vinyl chloride monitoring frequency  to one sample during each compliance period. SW systems are required to monitor for vinyl chloride as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VOCs reliably and consistently below the MCL. Systems that violate the MCL requirements of </w:t>
      </w:r>
      <w:r>
        <w:rPr>
          <w:rFonts w:ascii="Times New Roman" w:hAnsi="Times New Roman"/>
          <w:b w:val="false"/>
          <w:i w:val="false"/>
          <w:color w:val="000000"/>
          <w:sz w:val="22"/>
        </w:rPr>
        <w:t>41.5(1)</w:t>
      </w:r>
      <w:r>
        <w:rPr>
          <w:rFonts w:ascii="Times New Roman" w:hAnsi="Times New Roman"/>
          <w:b w:val="false"/>
          <w:i/>
          <w:color w:val="000000"/>
          <w:sz w:val="22"/>
        </w:rPr>
        <w:t>“b”</w:t>
      </w:r>
      <w:r>
        <w:rPr>
          <w:rFonts w:ascii="Times New Roman" w:hAnsi="Times New Roman"/>
          <w:b w:val="false"/>
          <w:i w:val="false"/>
          <w:color w:val="000000"/>
          <w:sz w:val="22"/>
        </w:rPr>
        <w:t xml:space="preserve">(1) must monitor quarterly. After a minimum of four consecutive quarterly samples that show the system is in compliance, and a department determination that the system is reliably and consistently below the MCL, the system may monitor at the frequency and times specified in </w:t>
      </w:r>
      <w:hyperlink r:id="rId247">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(2)“10,” third unnumbered paragraph (following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and repeat SOC monitoring requirements. Analysis of the SOCs contaminants listed in </w:t>
      </w:r>
      <w:hyperlink r:id="rId248">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to determine MCL compliance shall be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SOC GW monitoring protocols. GW systems shall take a minimum of one sample at every SEP. Each sample must be taken at the same sampling point unless conditions make another sampling point more representative of each source or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 SW monitoring protocols. SW systems shall take a minimum of one sample at each SEP after treatment. Each sample must be taken at the same sampling point unless conditions make another sampling point more representative of each source or treatment plant. For purposes of this paragraph, SW systems include systems with a combination of surface and ground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Multiple sources. If a system draws water from more than one source and the sources are combined before distribution, it must sample at an SEP during periods of normal operating conditions. If a representative sample of all water sources cannot be obtained, as determined by the department, separate SEPs with the appropriate monitoring requirements will be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SOC monitoring frequency. CWSs and NTNCs shall take four consecutive quarterly samples for each SOC during each compliance period. Systems serving more than 3,300 persons that do not detect an SOC in the initial compliance period may reduce the sampling frequency to a minimum of two quarterly samples in one year during each repeat compliance period. Systems serving less than or equal to 3,300 persons that do not detect an SOC in the initial compliance period may reduce the sampling frequency to a minimum of one sample during each repeat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SOC monitoring waivers. Each CWS and NTNC may apply to the department for a waiver from the requirements of </w:t>
      </w:r>
      <w:hyperlink r:id="rId249">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(3)“4.” A system must reapply for a waiver for each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Bases of an SOC monitoring waiver. The department may grant a waiver if it finds that there is no knowledge of previous use (including transport, storage, or disposal) of the contaminant within the watershed or zone of influence of the system. If previous use of the contaminant is unknown or it has been used previously, the following factors shall be used to determine whether a waiver is granted: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Previous analytical results.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system proximity to a potential point or nonpoint source of contamination. Point sources include spills and leaks of chemicals at or near a water treatment facility or at manufacturing, distribution, or storage facilities, from hazardous and municipal waste landfills, or from other waste handling or treatment facilities. Nonpoint sources include the use of pesticides to control insect and weed pests on agricultural areas, forest lands, homes, and gardens, and other land application uses.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environmental persistence and transport of a pesticide or PCBs.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How well the water source is protected against contamination due to such factors as depth of the well, the type of soil, and the well casing integrity.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Elevated nitrate levels at the water source,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PCBs in equipment used in the production, storage, or distribution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Increased SOC monitoring. If an SOC is detected in any sample, then: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Each system must monitor quarterly at each sampling point that resulted in a detection.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department may decrease the quarterly SOC monitoring if the system is reliably and consistently below the MCL. The department shall not make this determination unless a GW system takes a minimum of two quarterly samples and a SW system takes a minimum of four quarterly samples.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the department determines the system is reliably and consistently below the MCL, the system may monitor annually. Systems that monitor annually must monitor during the quarter that previously yielded the highest analytical result.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Systems that have three consecutive annual samples with no detection of a contaminant may apply for a waiver as specified in </w:t>
      </w:r>
      <w:hyperlink r:id="rId250">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(3)“6.”</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monitoring results in detection of one or more of certain related contaminants (aldicarb, aldicarb sulfone, aldicarb sulfoxide, heptachlor, and heptachlor epoxide), subsequent monitoring shall analyze for all related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MCL violation and reliably/consistently below the MCL. Systems that violate the requirements of </w:t>
      </w:r>
      <w:hyperlink r:id="rId251">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monitor quarterly. After a minimum of four quarterly samples show the system is in compliance and the department determines the system is reliably and consistently below the MCL, the system shall monitor at the frequency specified in </w:t>
      </w:r>
      <w:hyperlink r:id="rId252">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SOC and VOC confirmation samples. The department may require a confirmation sample for positive or negative results. If a confirmation sample is required, the result must be averaged with the first sampling result and the average must be used for the compliance determination as specified by </w:t>
      </w:r>
      <w:hyperlink r:id="rId253">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(2). The department has discretion to disregard results of obvious sampling errors from this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Grandfathered VOC and SOC data. The department may allow the use of monitoring data collected after January 1, 1988, for VOCs and January 1, 1990, for SOCs required under SDWA Section 1445 for initial monitoring compliance. If the data are generally consistent with the other requirements in this subparagraph, the department may use such data to satisfy the initial monitoring requirement for the initial compliance period beginning January 1, 1993. Systems that use grandfathered samples for VOCs and did not detect any contaminants listed in </w:t>
      </w:r>
      <w:hyperlink r:id="rId254">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(1) shall begin monitoring annually in accordance with </w:t>
      </w:r>
      <w:hyperlink r:id="rId255">
        <w:r>
          <w:rPr>
            <w:rStyle w:val="Hyperlink"/>
            <w:rFonts w:ascii="Times New Roman" w:hAnsi="Times New Roman"/>
            <w:b w:val="false"/>
            <w:i w:val="false"/>
            <w:color w:val="000000"/>
            <w:sz w:val="22"/>
          </w:rPr>
          <w:t>41.5(1)</w:t>
        </w:r>
      </w:hyperlink>
      <w:r>
        <w:rPr>
          <w:rFonts w:ascii="Times New Roman" w:hAnsi="Times New Roman"/>
          <w:b w:val="false"/>
          <w:i/>
          <w:color w:val="000000"/>
          <w:sz w:val="22"/>
        </w:rPr>
        <w:t>“c”</w:t>
      </w:r>
      <w:r>
        <w:rPr>
          <w:rFonts w:ascii="Times New Roman" w:hAnsi="Times New Roman"/>
          <w:b w:val="false"/>
          <w:i w:val="false"/>
          <w:color w:val="000000"/>
          <w:sz w:val="22"/>
        </w:rPr>
        <w:t>(2) beginning January 1, 1993.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Increased VOC and SOC monitoring. The department may increase the required monitoring frequency, where necessary, to detect system variations (e.g., fluctuations in concentration due to seasonal use, changes in water source, changes to treatment facilities, or normal operation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VOC and SOC vulnerability assessment criteria. Vulnerability for each PWS shall be determined by the department based upon an assessment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Previous monitoring results. A system will be classified vulnerable if any sample was analyzed to contain one or more VOCs, SOCs,  or acrylamide and epichlorohydrin, except for trihalomethanes or other demonstrated DBPs.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Proximity of SW supplies to commercial or industrial use, disposal, or storage of VOCs or SOCs. SW supplies that withdraw water directly from reservoirs are considered vulnerable if the drainage basin upgradient and within two miles of the shoreline at the maximum water level contains major transportation facilities or any of the contaminant sources in this subparagraph. SW supplies that withdraw water directly from flowing water courses are considered vulnerable if the drainage basin upgradient and within two miles of the water intake structure contains major transportation facilities or any of the contaminant sources in this subparagraph. Major transportation facilities include but are not limited to primary highways or railroads.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Proximity of wells to commercial or industrial use, disposal, or storage of VOCs or SOCs. Wells that are not separated from sources of contamination by at least the following distances will be considered vulnerable.</w:t>
      </w:r>
    </w:p>
    <w:p>
      <w:pPr>
        <w:spacing w:before="60" w:after="0"/>
        <w:ind w:left="120"/>
        <w:jc w:val="center"/>
      </w:pPr>
      <w:r>
        <w:rPr>
          <w:rFonts w:ascii="Times New Roman" w:hAnsi="Times New Roman"/>
          <w:b/>
          <w:i w:val="false"/>
          <w:color w:val="000000"/>
          <w:sz w:val="22"/>
        </w:rPr>
        <w:t>VOC and SOC Well Separation Distances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184"/>
        <w:gridCol w:w="3456"/>
        <w:gridCol w:w="2880"/>
      </w:tblGrid>
      <w:tr>
        <w:trPr>
          <w:trHeight w:val="225" w:hRule="atLeast"/>
        </w:trPr>
        <w:tc>
          <w:tcPr>
            <w:tcW w:w="518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Sources of Contamination</w:t>
            </w:r>
          </w:p>
        </w:tc>
        <w:tc>
          <w:tcPr>
            <w:tcW w:w="345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Shallow Wells</w:t>
            </w:r>
          </w:p>
        </w:tc>
        <w:tc>
          <w:tcPr>
            <w:tcW w:w="2880"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Deep Wells</w:t>
            </w:r>
          </w:p>
        </w:tc>
      </w:tr>
      <w:tr>
        <w:trPr>
          <w:trHeight w:val="225" w:hRule="atLeast"/>
        </w:trPr>
        <w:tc>
          <w:tcPr>
            <w:tcW w:w="5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Sanitary and industrial point discharges</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ft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ft</w:t>
            </w:r>
          </w:p>
        </w:tc>
      </w:tr>
      <w:tr>
        <w:trPr>
          <w:trHeight w:val="225" w:hRule="atLeast"/>
        </w:trPr>
        <w:tc>
          <w:tcPr>
            <w:tcW w:w="5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Mechanical waste treatment plants</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ft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 ft</w:t>
            </w:r>
          </w:p>
        </w:tc>
      </w:tr>
      <w:tr>
        <w:trPr>
          <w:trHeight w:val="225" w:hRule="atLeast"/>
        </w:trPr>
        <w:tc>
          <w:tcPr>
            <w:tcW w:w="5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Lagoons</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 ft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ft</w:t>
            </w:r>
          </w:p>
        </w:tc>
      </w:tr>
      <w:tr>
        <w:trPr>
          <w:trHeight w:val="225" w:hRule="atLeast"/>
        </w:trPr>
        <w:tc>
          <w:tcPr>
            <w:tcW w:w="5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Chemical and mineral storage (aboveground)</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 ft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 ft</w:t>
            </w:r>
          </w:p>
        </w:tc>
      </w:tr>
      <w:tr>
        <w:trPr>
          <w:trHeight w:val="405" w:hRule="atLeast"/>
        </w:trPr>
        <w:tc>
          <w:tcPr>
            <w:tcW w:w="5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Chemical and mineral storage including underground storage tanks on or below ground</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ft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 ft</w:t>
            </w:r>
          </w:p>
        </w:tc>
      </w:tr>
      <w:tr>
        <w:trPr>
          <w:trHeight w:val="225" w:hRule="atLeast"/>
        </w:trPr>
        <w:tc>
          <w:tcPr>
            <w:tcW w:w="5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Solid waste disposal site</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 ft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 ft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system is deemed to be vulnerable for a period of three years after any positive measurement of one or more VOCs or SOCs, except for trihalomethanes or other demonstrated DBPs.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PCB analytical methodology. PCBs analysis shall be conducted using the methods in </w:t>
      </w:r>
      <w:hyperlink r:id="rId256">
        <w:r>
          <w:rPr>
            <w:rStyle w:val="Hyperlink"/>
            <w:rFonts w:ascii="Times New Roman" w:hAnsi="Times New Roman"/>
            <w:b w:val="false"/>
            <w:i w:val="false"/>
            <w:color w:val="000000"/>
            <w:sz w:val="22"/>
          </w:rPr>
          <w:t>41.5(1)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system that monitors for PCBs shall analyze each sample using Method 505, 508, 508.1, or 525.2. Users of Method 505 may have more difficulty in achieving the required Aroclor detection limits than users of Method 508, 508.1, or 525.2.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PCBs (as one of seven Aroclors) are detected in any sample analyzed using Method 505 or 508, the system shall reanalyze the sample using Method 508A to quantitate PCBs as decachlorobiphenyl.</w:t>
      </w:r>
    </w:p>
    <w:p>
      <w:pPr>
        <w:spacing w:before="60" w:after="0"/>
        <w:ind w:left="120"/>
        <w:jc w:val="center"/>
      </w:pPr>
      <w:r>
        <w:rPr>
          <w:rFonts w:ascii="Times New Roman" w:hAnsi="Times New Roman"/>
          <w:b/>
          <w:i w:val="false"/>
          <w:color w:val="000000"/>
          <w:sz w:val="22"/>
        </w:rPr>
        <w:t>PCB Aroclor Detection Limits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635"/>
        <w:gridCol w:w="6555"/>
      </w:tblGrid>
      <w:tr>
        <w:trPr>
          <w:trHeight w:val="225" w:hRule="atLeast"/>
        </w:trPr>
        <w:tc>
          <w:tcPr>
            <w:tcW w:w="46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Aroclor</w:t>
            </w:r>
          </w:p>
        </w:tc>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Detection Limit (mg/L)</w:t>
            </w:r>
          </w:p>
        </w:tc>
      </w:tr>
      <w:tr>
        <w:trPr>
          <w:trHeight w:val="225" w:hRule="atLeast"/>
        </w:trPr>
        <w:tc>
          <w:tcPr>
            <w:tcW w:w="46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1016</w:t>
            </w:r>
          </w:p>
        </w:tc>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0.00008</w:t>
            </w:r>
          </w:p>
        </w:tc>
      </w:tr>
      <w:tr>
        <w:trPr>
          <w:trHeight w:val="225" w:hRule="atLeast"/>
        </w:trPr>
        <w:tc>
          <w:tcPr>
            <w:tcW w:w="46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1221</w:t>
            </w:r>
          </w:p>
        </w:tc>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0.02</w:t>
            </w:r>
          </w:p>
        </w:tc>
      </w:tr>
      <w:tr>
        <w:trPr>
          <w:trHeight w:val="225" w:hRule="atLeast"/>
        </w:trPr>
        <w:tc>
          <w:tcPr>
            <w:tcW w:w="46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1232</w:t>
            </w:r>
          </w:p>
        </w:tc>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0.0005</w:t>
            </w:r>
          </w:p>
        </w:tc>
      </w:tr>
      <w:tr>
        <w:trPr>
          <w:trHeight w:val="225" w:hRule="atLeast"/>
        </w:trPr>
        <w:tc>
          <w:tcPr>
            <w:tcW w:w="46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1242</w:t>
            </w:r>
          </w:p>
        </w:tc>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0.0003</w:t>
            </w:r>
          </w:p>
        </w:tc>
      </w:tr>
      <w:tr>
        <w:trPr>
          <w:trHeight w:val="225" w:hRule="atLeast"/>
        </w:trPr>
        <w:tc>
          <w:tcPr>
            <w:tcW w:w="46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1248</w:t>
            </w:r>
          </w:p>
        </w:tc>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0.0001</w:t>
            </w:r>
          </w:p>
        </w:tc>
      </w:tr>
      <w:tr>
        <w:trPr>
          <w:trHeight w:val="225" w:hRule="atLeast"/>
        </w:trPr>
        <w:tc>
          <w:tcPr>
            <w:tcW w:w="46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1254</w:t>
            </w:r>
          </w:p>
        </w:tc>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0.0001</w:t>
            </w:r>
          </w:p>
        </w:tc>
      </w:tr>
      <w:tr>
        <w:trPr>
          <w:trHeight w:val="225" w:hRule="atLeast"/>
        </w:trPr>
        <w:tc>
          <w:tcPr>
            <w:tcW w:w="46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1260</w:t>
            </w:r>
          </w:p>
        </w:tc>
        <w:tc>
          <w:tcPr>
            <w:tcW w:w="6555" w:type="dxa"/>
            <w:tcBorders>
              <w:bottom w:val="single" w:color="000000" w:sz="8"/>
              <w:right w:val="single" w:color="000000" w:sz="8"/>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0.0002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Compliance with the PCB MCL shall be determined based upon the quantitative results of analyses using Method 508A.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Organic chemicals occurring as (nontrihalomethane) DBPs.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567—41.6</w:t>
      </w:r>
      <w:r>
        <w:rPr>
          <w:rFonts w:ascii="Times New Roman" w:hAnsi="Times New Roman"/>
          <w:b/>
          <w:i w:val="false"/>
          <w:color w:val="000000"/>
          <w:sz w:val="22"/>
        </w:rPr>
        <w:t xml:space="preserve">(455B) </w:t>
      </w:r>
      <w:r>
        <w:rPr>
          <w:rFonts w:ascii="Times New Roman" w:hAnsi="Times New Roman"/>
          <w:b/>
          <w:i w:val="false"/>
          <w:color w:val="000000"/>
          <w:sz w:val="22"/>
        </w:rPr>
        <w:t xml:space="preserve">Disinfection byproducts (DBPs) MCLs and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color w:val="000000"/>
          <w:sz w:val="22"/>
        </w:rPr>
        <w:t xml:space="preserve">Stage 1 DBP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establishes criteria under which CWSs and NTNCs that add a chemical disinfectant to the water in any part of the drinking water treatment process or that provide water that contains a chemical disinfectant must modify their practices to meet the MCLs in this rule and the maximum residual disinfectant levels (MRDL) and TT requirements for DBP precursors in </w:t>
      </w:r>
      <w:hyperlink r:id="rId257">
        <w:r>
          <w:rPr>
            <w:rStyle w:val="Hyperlink"/>
            <w:rFonts w:ascii="Times New Roman" w:hAnsi="Times New Roman"/>
            <w:b w:val="false"/>
            <w:i w:val="false"/>
            <w:color w:val="000000"/>
            <w:sz w:val="22"/>
          </w:rPr>
          <w:t>567—43.6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Compliance dates for this rule are based upon the source water type and the population served. Systems are required to comply with this rule as follows, unless otherwise noted. The department may assign an earlier monitoring period as part of the operation permit, but MCL compliance is not required until the dates stated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CWSs and NTNCs which use SW or IGW in whole or in part and which serve 10,000 or more persons must comply with this rule beginning January 1,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CWSs and NTNCs covered by </w:t>
      </w:r>
      <w:hyperlink r:id="rId258">
        <w:r>
          <w:rPr>
            <w:rStyle w:val="Hyperlink"/>
            <w:rFonts w:ascii="Times New Roman" w:hAnsi="Times New Roman"/>
            <w:b w:val="false"/>
            <w:i w:val="false"/>
            <w:color w:val="000000"/>
            <w:sz w:val="22"/>
          </w:rPr>
          <w:t>41.6(1)</w:t>
        </w:r>
      </w:hyperlink>
      <w:r>
        <w:rPr>
          <w:rFonts w:ascii="Times New Roman" w:hAnsi="Times New Roman"/>
          <w:b w:val="false"/>
          <w:i/>
          <w:color w:val="000000"/>
          <w:sz w:val="22"/>
        </w:rPr>
        <w:t>“a”</w:t>
      </w:r>
      <w:r>
        <w:rPr>
          <w:rFonts w:ascii="Times New Roman" w:hAnsi="Times New Roman"/>
          <w:b w:val="false"/>
          <w:i w:val="false"/>
          <w:color w:val="000000"/>
          <w:sz w:val="22"/>
        </w:rPr>
        <w:t>(1) must comply with this rule by January 1,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Consecutive systems that provide water containing a disinfectant or oxidant are required to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Systems with water sources that are used independently from each other, are not from the same source as determined by the department, or do not go through identical treatment processes are required to monitor for the applicable disinfectants or oxidants and DBP during operation of each source. Systems must comply with this rule during the use of each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DBP MCLs.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MCLs for DBPs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40" w:hRule="atLeast"/>
        </w:trPr>
        <w:tc>
          <w:tcPr>
            <w:tcW w:w="55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DBP</w:t>
            </w:r>
          </w:p>
        </w:tc>
        <w:tc>
          <w:tcPr>
            <w:tcW w:w="559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MCL (mg/L)</w:t>
            </w:r>
          </w:p>
        </w:tc>
      </w:tr>
      <w:tr>
        <w:trPr>
          <w:trHeight w:val="240"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Bromate</w:t>
            </w:r>
          </w:p>
        </w:tc>
        <w:tc>
          <w:tcPr>
            <w:tcW w:w="5595" w:type="dxa"/>
            <w:tcBorders>
              <w:bottom w:val="single" w:color="000000" w:sz="8"/>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0.010</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Chlorite</w:t>
            </w:r>
          </w:p>
        </w:tc>
        <w:tc>
          <w:tcPr>
            <w:tcW w:w="5595" w:type="dxa"/>
            <w:tcBorders>
              <w:bottom w:val="single" w:color="000000" w:sz="8"/>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1.0</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Haloacetic acids (HAA5)</w:t>
            </w:r>
          </w:p>
        </w:tc>
        <w:tc>
          <w:tcPr>
            <w:tcW w:w="5595" w:type="dxa"/>
            <w:tcBorders>
              <w:bottom w:val="single" w:color="000000" w:sz="8"/>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0.060</w:t>
            </w:r>
          </w:p>
        </w:tc>
      </w:tr>
      <w:tr>
        <w:trPr>
          <w:trHeight w:val="225" w:hRule="atLeast"/>
        </w:trPr>
        <w:tc>
          <w:tcPr>
            <w:tcW w:w="5595"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Total trihalomethanes (TTHM)</w:t>
            </w:r>
          </w:p>
        </w:tc>
        <w:tc>
          <w:tcPr>
            <w:tcW w:w="559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0.080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Beginning on the date in the following table, a system must comply with the TTHM and HAA5 MCL as a locational RAA at each monitoring location.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5760"/>
      </w:tblGrid>
      <w:tr>
        <w:trPr>
          <w:trHeight w:val="435" w:hRule="atLeast"/>
        </w:trPr>
        <w:tc>
          <w:tcPr>
            <w:tcW w:w="5760"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System Size (number of people served)</w:t>
            </w:r>
          </w:p>
        </w:tc>
        <w:tc>
          <w:tcPr>
            <w:tcW w:w="5760" w:type="dxa"/>
            <w:tcBorders>
              <w:bottom w:val="doub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Date system must comply with MCL at each sampling location*</w:t>
            </w:r>
          </w:p>
        </w:tc>
      </w:tr>
      <w:tr>
        <w:trPr>
          <w:trHeight w:val="43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Systems that are not part of a combined distribution system and systems that serve the largest population in the combined distribution system</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serving at least 100,000 people</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April 1, 2012</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serving 50,000-99,999 people</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 2012</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serving 10,000-49,999 people</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 2013</w:t>
            </w:r>
          </w:p>
        </w:tc>
      </w:tr>
      <w:tr>
        <w:trPr>
          <w:trHeight w:val="76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serving fewer than 10,000 people</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October 1, 2013 for all GW systems and for SW/IGW systems that did not collect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source water samples October 1, 2014 for SW/IGW systems that collected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source water samples</w:t>
            </w:r>
          </w:p>
        </w:tc>
      </w:tr>
      <w:tr>
        <w:trPr>
          <w:trHeight w:val="2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Other systems that are part of a combined distribution system</w:t>
            </w:r>
          </w:p>
        </w:tc>
      </w:tr>
      <w:tr>
        <w:trPr>
          <w:trHeight w:val="405" w:hRule="atLeast"/>
        </w:trPr>
        <w:tc>
          <w:tcPr>
            <w:tcW w:w="57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Consecutive or wholesale system</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the same time as the system with the earliest compliance date in the combined distribution system</w:t>
            </w:r>
          </w:p>
        </w:tc>
      </w:tr>
    </w:tbl>
    <w:p>
      <w:pPr>
        <w:spacing w:before="0" w:after="0"/>
        <w:ind w:left="120"/>
        <w:jc w:val="both"/>
      </w:pPr>
      <w:r>
        <w:rPr>
          <w:rFonts w:ascii="Times New Roman" w:hAnsi="Times New Roman"/>
          <w:b w:val="false"/>
          <w:i w:val="false"/>
          <w:color w:val="000000"/>
          <w:sz w:val="16"/>
        </w:rPr>
        <w:t>*The department may grant up to an additional 24 months for compliance with the MCLs and OELs if the system requires capital improvements to comply with an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DBP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must take all samples during normal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may consider multiple wells drawing water from a single aquifer as one treatment plant for determining the minimum number of TTHM and HAA5 samples required, with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monitor in accordance with the monitoring plan required under </w:t>
      </w:r>
      <w:hyperlink r:id="rId259">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(1)“6” is a monitoring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monitor is a violation for the entire period covered by the annual average where compliance is based on an RAA of monthly or quarterly samples or averages, and the system’s failure to monitor makes it impossible to determine MCL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may use only data collected under the provisions of this rule or </w:t>
      </w:r>
      <w:hyperlink r:id="rId260">
        <w:r>
          <w:rPr>
            <w:rStyle w:val="Hyperlink"/>
            <w:rFonts w:ascii="Times New Roman" w:hAnsi="Times New Roman"/>
            <w:b w:val="false"/>
            <w:i w:val="false"/>
            <w:color w:val="000000"/>
            <w:sz w:val="22"/>
          </w:rPr>
          <w:t>567—43.6</w:t>
        </w:r>
      </w:hyperlink>
      <w:r>
        <w:rPr>
          <w:rFonts w:ascii="Times New Roman" w:hAnsi="Times New Roman"/>
          <w:b w:val="false"/>
          <w:i w:val="false"/>
          <w:color w:val="000000"/>
          <w:sz w:val="22"/>
        </w:rPr>
        <w:t>(455B) to qualify for reduced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system required to monitor under the provisions of this rule or </w:t>
      </w:r>
      <w:hyperlink r:id="rId261">
        <w:r>
          <w:rPr>
            <w:rStyle w:val="Hyperlink"/>
            <w:rFonts w:ascii="Times New Roman" w:hAnsi="Times New Roman"/>
            <w:b w:val="false"/>
            <w:i w:val="false"/>
            <w:color w:val="000000"/>
            <w:sz w:val="22"/>
          </w:rPr>
          <w:t>567—43.6</w:t>
        </w:r>
      </w:hyperlink>
      <w:r>
        <w:rPr>
          <w:rFonts w:ascii="Times New Roman" w:hAnsi="Times New Roman"/>
          <w:b w:val="false"/>
          <w:i w:val="false"/>
          <w:color w:val="000000"/>
          <w:sz w:val="22"/>
        </w:rPr>
        <w:t xml:space="preserve">(455B) must develop and implement a monitoring plan. The system must maintain the plan and make it available for inspection by the department and the general public no later than 30 days following the applicable compliance dates in </w:t>
      </w:r>
      <w:hyperlink r:id="rId262">
        <w:r>
          <w:rPr>
            <w:rStyle w:val="Hyperlink"/>
            <w:rFonts w:ascii="Times New Roman" w:hAnsi="Times New Roman"/>
            <w:b w:val="false"/>
            <w:i w:val="false"/>
            <w:color w:val="000000"/>
            <w:sz w:val="22"/>
          </w:rPr>
          <w:t>41.6(1)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All systems using SW or IGW and serving more than 3,300 people must submit a copy of the monitoring plan to the department by the applicable date in </w:t>
      </w:r>
      <w:hyperlink r:id="rId263">
        <w:r>
          <w:rPr>
            <w:rStyle w:val="Hyperlink"/>
            <w:rFonts w:ascii="Times New Roman" w:hAnsi="Times New Roman"/>
            <w:b w:val="false"/>
            <w:i w:val="false"/>
            <w:color w:val="000000"/>
            <w:sz w:val="22"/>
          </w:rPr>
          <w:t>41.6(1)</w:t>
        </w:r>
      </w:hyperlink>
      <w:r>
        <w:rPr>
          <w:rFonts w:ascii="Times New Roman" w:hAnsi="Times New Roman"/>
          <w:b w:val="false"/>
          <w:i/>
          <w:color w:val="000000"/>
          <w:sz w:val="22"/>
        </w:rPr>
        <w:t>“a”</w:t>
      </w:r>
      <w:r>
        <w:rPr>
          <w:rFonts w:ascii="Times New Roman" w:hAnsi="Times New Roman"/>
          <w:b w:val="false"/>
          <w:i w:val="false"/>
          <w:color w:val="000000"/>
          <w:sz w:val="22"/>
        </w:rPr>
        <w:t>(3)“1.” The department may also require the plan to be submitted by any other system. After review, the department may require changes in any plan elements. The plan must include the following elements: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Specific locations and schedules for collecting samples for any parameters included in this 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How the system will calculate compliance with MCLs, MRDLs, and TTs.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monthly monitoring frequency for DBPs, which would be specified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Bromate. CWSs and NTNCS using ozone for disinfection or oxidation must monitor for bromate.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monitoring. Systems must take at least one sample per month for each treatment plant in the system using ozone, collected at each SEP while the ozonation system is operating under normal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Reduced monitoring. A system may reduce monitoring from monthly to quarterly if its RAA bromate concentration is less than or equal to 0.0025 mg/L based on monthly bromate measurements for the most recent four quarters. If a system previously qualified for reduced bromate monitoring and is on quarterly sampling frequency, it may remain on reduced monitoring as long as the RAA of the bromate samples is less than or equal to 0.0025 mg/L. If the RAA of quarterly bromate samples exceeds 0.0025 mg/L, the system must resume routine bromate monitoring. Only three analytical methods may be used for bromate samples under reduced monitoring: EPA Method 317.0 Revision 2.0, Method 326.0, or Method 321.8.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Chlorite. CWS and NTNC using chlorine dioxide, for disinfection or oxidation, must monitor for chlorite. If the system does not use chlorine dioxide on a daily basis, it must conduct the required daily monitoring each day chlorine dioxide is used, and any required monthly monitoring during those months in which chlorine dioxide is used during any portion of the month.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daily monitoring. Systems must monitor daily at the SEP. For any daily sample that exceeds the chlorite MCL, the system must take additional samples in the distribution system the following day at the locations required by </w:t>
      </w:r>
      <w:hyperlink r:id="rId264">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(3)“3,” which are in addition to the sample required at the SEP. These daily SEP samples may be analyzed by system personnel, in accordance with </w:t>
      </w:r>
      <w:hyperlink r:id="rId265">
        <w:r>
          <w:rPr>
            <w:rStyle w:val="Hyperlink"/>
            <w:rFonts w:ascii="Times New Roman" w:hAnsi="Times New Roman"/>
            <w:b w:val="false"/>
            <w:i w:val="false"/>
            <w:color w:val="000000"/>
            <w:sz w:val="22"/>
          </w:rPr>
          <w:t>41.6(1)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monthly monitoring. Systems must take a three-sample set each month in the distribution system. The system must take one sample at each of the following locations: near the first customer, at a location representative of average residence time, and at a location reflecting maximum residence time (MRT) in the distribution system. Any additional routine sampling must be conducted in the same manner as the three-sample sets. The system may use the results of additional monitoring conducted in accordance with </w:t>
      </w:r>
      <w:hyperlink r:id="rId266">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(3)“3” to meet the monitoring requirement in this subparagraph. These monthly samples must be analyzed by a certified laboratory using an approved ion chromatography method, in accordance with </w:t>
      </w:r>
      <w:hyperlink r:id="rId267">
        <w:r>
          <w:rPr>
            <w:rStyle w:val="Hyperlink"/>
            <w:rFonts w:ascii="Times New Roman" w:hAnsi="Times New Roman"/>
            <w:b w:val="false"/>
            <w:i w:val="false"/>
            <w:color w:val="000000"/>
            <w:sz w:val="22"/>
          </w:rPr>
          <w:t>41.6(1)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monitoring. On each day following a routine sample monitoring result that exceeds the chlorite MCL at the SEP the system is required to take three chlorite distribution system samples at the following locations: as close to the first customer as possible, in a location representative of average residence time, and as close to the end of the distribution system as possible (reflecting MRT in the distribution system). These additional samples must be analyzed by a certified laboratory using an approved ion chromatography method, in accordance with </w:t>
      </w:r>
      <w:hyperlink r:id="rId268">
        <w:r>
          <w:rPr>
            <w:rStyle w:val="Hyperlink"/>
            <w:rFonts w:ascii="Times New Roman" w:hAnsi="Times New Roman"/>
            <w:b w:val="false"/>
            <w:i w:val="false"/>
            <w:color w:val="000000"/>
            <w:sz w:val="22"/>
          </w:rPr>
          <w:t>41.6(1)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Reduced monitoring.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Daily chlorite monitoring at the SEP required by </w:t>
      </w:r>
      <w:hyperlink r:id="rId269">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(3)“1” may not be reduced.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department may allow the monitoring for systems with monthly chlorite monitoring in the distribution system to be reduce to 1 three-sample set per quarter after one year of monitoring where no individual chlorite sample taken in the distribution system under </w:t>
      </w:r>
      <w:hyperlink r:id="rId270">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(3)“2” has exceeded the chlorite MCL and the system has not been required to conduct additional monitoring under </w:t>
      </w:r>
      <w:hyperlink r:id="rId271">
        <w:r>
          <w:rPr>
            <w:rStyle w:val="Hyperlink"/>
            <w:rFonts w:ascii="Times New Roman" w:hAnsi="Times New Roman"/>
            <w:b w:val="false"/>
            <w:i w:val="false"/>
            <w:color w:val="000000"/>
            <w:sz w:val="22"/>
          </w:rPr>
          <w:t>41.6(1)</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“3.” The system may remain on the reduced monitoring schedule until either any of the three individual chlorite samples taken quarterly in the distribution system under </w:t>
      </w:r>
      <w:hyperlink r:id="rId272">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(3)“2” exceeds the chlorite MCL, or the system is required to conduct additional monitoring under </w:t>
      </w:r>
      <w:hyperlink r:id="rId273">
        <w:r>
          <w:rPr>
            <w:rStyle w:val="Hyperlink"/>
            <w:rFonts w:ascii="Times New Roman" w:hAnsi="Times New Roman"/>
            <w:b w:val="false"/>
            <w:i w:val="false"/>
            <w:color w:val="000000"/>
            <w:sz w:val="22"/>
          </w:rPr>
          <w:t>41.6(1)</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“3,” at which time it must revert to routine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Total trihalomethanes (TTHM) and haloacetic acids (HAA5).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monitoring. Systems must monitor at the frequency indicated in the following table. Both the TTHM and HAA5 samples must be collected as paired samples during the same time period in order for each parameter to have the same annual average period for result comparison. A paired sample is one that is collected at the same location and time and is analyzed for both TTHM and HAA5 parameters.</w:t>
      </w:r>
    </w:p>
    <w:p>
      <w:pPr>
        <w:spacing w:before="60" w:after="0"/>
        <w:ind w:left="120"/>
        <w:jc w:val="center"/>
      </w:pPr>
      <w:r>
        <w:rPr>
          <w:rFonts w:ascii="Times New Roman" w:hAnsi="Times New Roman"/>
          <w:b/>
          <w:i w:val="false"/>
          <w:color w:val="000000"/>
          <w:sz w:val="22"/>
        </w:rPr>
        <w:t>Routine Monitoring Frequency for TTHM and HAA5</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1"/>
        <w:gridCol w:w="1958"/>
        <w:gridCol w:w="6681"/>
      </w:tblGrid>
      <w:tr>
        <w:trPr>
          <w:trHeight w:val="615" w:hRule="atLeast"/>
        </w:trPr>
        <w:tc>
          <w:tcPr>
            <w:tcW w:w="2881"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Type of System (source water type and population served)</w:t>
            </w:r>
          </w:p>
        </w:tc>
        <w:tc>
          <w:tcPr>
            <w:tcW w:w="1958"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Minimum Monitoring Frequency</w:t>
            </w:r>
          </w:p>
        </w:tc>
        <w:tc>
          <w:tcPr>
            <w:tcW w:w="6681"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Sample Location in the Distribution System</w:t>
            </w:r>
          </w:p>
        </w:tc>
      </w:tr>
      <w:tr>
        <w:trPr>
          <w:trHeight w:val="990" w:hRule="atLeast"/>
        </w:trPr>
        <w:tc>
          <w:tcPr>
            <w:tcW w:w="28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3 </w:t>
            </w:r>
            <w:r>
              <w:rPr>
                <w:rFonts w:ascii="Times New Roman" w:hAnsi="Times New Roman"/>
                <w:b w:val="false"/>
                <w:i w:val="false"/>
                <w:color w:val="000000"/>
                <w:sz w:val="16"/>
              </w:rPr>
              <w:t>system serving ≥10,000 persons</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water samples per quarter per treatment plant</w:t>
            </w:r>
          </w:p>
        </w:tc>
        <w:tc>
          <w:tcPr>
            <w:tcW w:w="66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25 percent of all samples collected each quarter at locations representing MRT. Remaining samples taken at locations representative of at least average residence time in the distribution system and representing the entire distribution system, accounting for number of persons served, different sources of water, and different treatment methods.</w:t>
            </w:r>
            <w:r>
              <w:rPr>
                <w:rFonts w:ascii="Times New Roman" w:hAnsi="Times New Roman"/>
                <w:b w:val="false"/>
                <w:i w:val="false"/>
                <w:color w:val="000000"/>
                <w:sz w:val="18"/>
                <w:vertAlign w:val="superscript"/>
              </w:rPr>
              <w:t>1</w:t>
            </w:r>
          </w:p>
        </w:tc>
      </w:tr>
      <w:tr>
        <w:trPr>
          <w:trHeight w:val="765" w:hRule="atLeast"/>
        </w:trPr>
        <w:tc>
          <w:tcPr>
            <w:tcW w:w="28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3 </w:t>
            </w:r>
            <w:r>
              <w:rPr>
                <w:rFonts w:ascii="Times New Roman" w:hAnsi="Times New Roman"/>
                <w:b w:val="false"/>
                <w:i w:val="false"/>
                <w:color w:val="000000"/>
                <w:sz w:val="16"/>
              </w:rPr>
              <w:t>system serving 500-9,999 persons</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water sample per quarter per treatment plant</w:t>
            </w:r>
          </w:p>
        </w:tc>
        <w:tc>
          <w:tcPr>
            <w:tcW w:w="66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Locations representing MRT.</w:t>
            </w:r>
            <w:r>
              <w:rPr>
                <w:rFonts w:ascii="Times New Roman" w:hAnsi="Times New Roman"/>
                <w:b w:val="false"/>
                <w:i w:val="false"/>
                <w:color w:val="000000"/>
                <w:sz w:val="18"/>
                <w:vertAlign w:val="superscript"/>
              </w:rPr>
              <w:t>1</w:t>
            </w:r>
          </w:p>
        </w:tc>
      </w:tr>
      <w:tr>
        <w:trPr>
          <w:trHeight w:val="975" w:hRule="atLeast"/>
        </w:trPr>
        <w:tc>
          <w:tcPr>
            <w:tcW w:w="28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3 </w:t>
            </w:r>
            <w:r>
              <w:rPr>
                <w:rFonts w:ascii="Times New Roman" w:hAnsi="Times New Roman"/>
                <w:b w:val="false"/>
                <w:i w:val="false"/>
                <w:color w:val="000000"/>
                <w:sz w:val="16"/>
              </w:rPr>
              <w:t>system serving &lt;500 persons</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sample per year per treatment plant during month of warmest water temperature</w:t>
            </w:r>
          </w:p>
        </w:tc>
        <w:tc>
          <w:tcPr>
            <w:tcW w:w="66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Locations representing MRT.</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If the sample (or average of annual samples, if more than one sample is taken) exceeds MCL, system must increase monitoring to one sample per treatment plant per quarter, taken at a point reflecting the MRT in the distribution system, until system meets reduced monitoring criteria in </w:t>
            </w:r>
            <w:hyperlink r:id="rId274">
              <w:r>
                <w:rPr>
                  <w:rStyle w:val="Hyperlink"/>
                  <w:rFonts w:ascii="Times New Roman" w:hAnsi="Times New Roman"/>
                  <w:b w:val="false"/>
                  <w:i w:val="false"/>
                  <w:color w:val="000000"/>
                  <w:sz w:val="16"/>
                </w:rPr>
                <w:t>41.6(1)</w:t>
              </w:r>
            </w:hyperlink>
            <w:r>
              <w:rPr>
                <w:rFonts w:ascii="Times New Roman" w:hAnsi="Times New Roman"/>
                <w:b w:val="false"/>
                <w:i/>
                <w:color w:val="000000"/>
                <w:sz w:val="16"/>
              </w:rPr>
              <w:t>“c”</w:t>
            </w:r>
            <w:r>
              <w:rPr>
                <w:rFonts w:ascii="Times New Roman" w:hAnsi="Times New Roman"/>
                <w:b w:val="false"/>
                <w:i w:val="false"/>
                <w:color w:val="000000"/>
                <w:sz w:val="16"/>
              </w:rPr>
              <w:t>(4)“2,” second bulleted paragraph.</w:t>
            </w:r>
          </w:p>
        </w:tc>
      </w:tr>
      <w:tr>
        <w:trPr>
          <w:trHeight w:val="765" w:hRule="atLeast"/>
        </w:trPr>
        <w:tc>
          <w:tcPr>
            <w:tcW w:w="28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using only non-IGW GW using chemical disinfectant and serving ≥10,000 persons</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water sample per quarter per treatment plant</w:t>
            </w:r>
            <w:r>
              <w:rPr>
                <w:rFonts w:ascii="Times New Roman" w:hAnsi="Times New Roman"/>
                <w:b w:val="false"/>
                <w:i w:val="false"/>
                <w:color w:val="000000"/>
                <w:sz w:val="18"/>
                <w:vertAlign w:val="superscript"/>
              </w:rPr>
              <w:t>2</w:t>
            </w:r>
          </w:p>
        </w:tc>
        <w:tc>
          <w:tcPr>
            <w:tcW w:w="66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Locations representing MRT.</w:t>
            </w:r>
            <w:r>
              <w:rPr>
                <w:rFonts w:ascii="Times New Roman" w:hAnsi="Times New Roman"/>
                <w:b w:val="false"/>
                <w:i w:val="false"/>
                <w:color w:val="000000"/>
                <w:sz w:val="18"/>
                <w:vertAlign w:val="superscript"/>
              </w:rPr>
              <w:t>1</w:t>
            </w:r>
          </w:p>
        </w:tc>
      </w:tr>
      <w:tr>
        <w:trPr>
          <w:trHeight w:val="975" w:hRule="atLeast"/>
        </w:trPr>
        <w:tc>
          <w:tcPr>
            <w:tcW w:w="288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using only non-IGW GW using chemical disinfectant and serving &lt;10,000 persons</w:t>
            </w:r>
          </w:p>
        </w:tc>
        <w:tc>
          <w:tcPr>
            <w:tcW w:w="19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sample per year per treatment plant during month of warmest water temperature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Locations representing MRT.</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If the sample (or average of annual samples, if more than one sample is taken) exceeds MCL, system must increase monitoring to one sample per treatment plant per quarter, taken at a point reflecting the MRT time in the distribution system, until system meets reduced monitoring criteria in </w:t>
            </w:r>
            <w:hyperlink r:id="rId275">
              <w:r>
                <w:rPr>
                  <w:rStyle w:val="Hyperlink"/>
                  <w:rFonts w:ascii="Times New Roman" w:hAnsi="Times New Roman"/>
                  <w:b w:val="false"/>
                  <w:i w:val="false"/>
                  <w:color w:val="000000"/>
                  <w:sz w:val="16"/>
                </w:rPr>
                <w:t>41.6(1)</w:t>
              </w:r>
            </w:hyperlink>
            <w:r>
              <w:rPr>
                <w:rFonts w:ascii="Times New Roman" w:hAnsi="Times New Roman"/>
                <w:b w:val="false"/>
                <w:i/>
                <w:color w:val="000000"/>
                <w:sz w:val="16"/>
              </w:rPr>
              <w:t>“c”</w:t>
            </w:r>
            <w:r>
              <w:rPr>
                <w:rFonts w:ascii="Times New Roman" w:hAnsi="Times New Roman"/>
                <w:b w:val="false"/>
                <w:i w:val="false"/>
                <w:color w:val="000000"/>
                <w:sz w:val="16"/>
              </w:rPr>
              <w:t>(4)“2,” second bulleted paragraph.</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If a system chooses to sample more frequently than the minimum required, at least 25 percent of all samples collected each quarter (including those taken in excess of the required frequency) must be taken at locations that represent the MRT of the water in the distribution system. The remaining samples must be taken at locations representative of at least average residence time in the distribution system.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Multiple wells drawing water from a single aquifer may be considered one treatment plant for determining the minimum number of samples required, with department approval.</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SW/IGW indicates those systems that use either SW or IGW, in whole or in 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Reduced monitoring. The department may allow systems a reduced monitoring frequency, except as otherwise provided, in accordance with the following table. Source water total organic carbon (TOC) levels must be determined in accordance with </w:t>
      </w:r>
      <w:hyperlink r:id="rId276">
        <w:r>
          <w:rPr>
            <w:rStyle w:val="Hyperlink"/>
            <w:rFonts w:ascii="Times New Roman" w:hAnsi="Times New Roman"/>
            <w:b w:val="false"/>
            <w:i w:val="false"/>
            <w:color w:val="000000"/>
            <w:sz w:val="22"/>
          </w:rPr>
          <w:t>567—subparagraph 43.6(2)</w:t>
        </w:r>
      </w:hyperlink>
      <w:r>
        <w:rPr>
          <w:rFonts w:ascii="Times New Roman" w:hAnsi="Times New Roman"/>
          <w:b w:val="false"/>
          <w:i/>
          <w:color w:val="000000"/>
          <w:sz w:val="22"/>
        </w:rPr>
        <w:t>“c”</w:t>
      </w:r>
      <w:r>
        <w:rPr>
          <w:rFonts w:ascii="Times New Roman" w:hAnsi="Times New Roman"/>
          <w:b w:val="false"/>
          <w:i w:val="false"/>
          <w:color w:val="000000"/>
          <w:sz w:val="22"/>
        </w:rPr>
        <w:t>(1). </w:t>
      </w:r>
    </w:p>
    <w:p>
      <w:pPr>
        <w:spacing w:before="60" w:after="0"/>
        <w:ind w:left="120"/>
        <w:jc w:val="center"/>
      </w:pPr>
      <w:r>
        <w:rPr>
          <w:rFonts w:ascii="Times New Roman" w:hAnsi="Times New Roman"/>
          <w:b/>
          <w:i w:val="false"/>
          <w:color w:val="000000"/>
          <w:sz w:val="22"/>
        </w:rPr>
        <w:t>Reduced Monitoring Frequency for TTHM and HAA5</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917"/>
        <w:gridCol w:w="2765"/>
        <w:gridCol w:w="4838"/>
      </w:tblGrid>
      <w:tr>
        <w:trPr>
          <w:trHeight w:val="615" w:hRule="atLeast"/>
        </w:trPr>
        <w:tc>
          <w:tcPr>
            <w:tcW w:w="3917"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If you are a ...</w:t>
            </w:r>
          </w:p>
        </w:tc>
        <w:tc>
          <w:tcPr>
            <w:tcW w:w="2765"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And you have monitored at least one year and you have ...</w:t>
            </w:r>
          </w:p>
        </w:tc>
        <w:tc>
          <w:tcPr>
            <w:tcW w:w="4838"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You may reduce monitoring to this level</w:t>
            </w:r>
          </w:p>
        </w:tc>
      </w:tr>
      <w:tr>
        <w:trPr>
          <w:trHeight w:val="630" w:hRule="atLeast"/>
        </w:trPr>
        <w:tc>
          <w:tcPr>
            <w:tcW w:w="3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16"/>
              </w:rPr>
              <w:t>system serving ≥10,000 persons with a source water annual average TOC level, before any treatment, of ≤4.0 mg/L.</w:t>
            </w:r>
          </w:p>
        </w:tc>
        <w:tc>
          <w:tcPr>
            <w:tcW w:w="2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TTHM annual average ≤0.040 mg/L and HAA5 annual average ≤0.030 mg/L</w:t>
            </w:r>
          </w:p>
        </w:tc>
        <w:tc>
          <w:tcPr>
            <w:tcW w:w="48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sample per treatment plant per quarter at distribution system location reflecting MRT.</w:t>
            </w:r>
          </w:p>
        </w:tc>
      </w:tr>
      <w:tr>
        <w:trPr>
          <w:trHeight w:val="795" w:hRule="atLeast"/>
        </w:trPr>
        <w:tc>
          <w:tcPr>
            <w:tcW w:w="3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16"/>
              </w:rPr>
              <w:t>system serving 500 - 9,999 persons with a source water annual average TOC level, before any treatment, of ≤4.0 mg/L.</w:t>
            </w:r>
          </w:p>
        </w:tc>
        <w:tc>
          <w:tcPr>
            <w:tcW w:w="2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TTHM annual average ≤0.040 mg/L and HAA5 annual average ≤0.030 mg/L</w:t>
            </w:r>
          </w:p>
        </w:tc>
        <w:tc>
          <w:tcPr>
            <w:tcW w:w="48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sample per treatment plant per year at distribution system location reflecting MRT during month of warmest water temperature.</w:t>
            </w:r>
          </w:p>
        </w:tc>
      </w:tr>
      <w:tr>
        <w:trPr>
          <w:trHeight w:val="435" w:hRule="atLeast"/>
        </w:trPr>
        <w:tc>
          <w:tcPr>
            <w:tcW w:w="3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16"/>
              </w:rPr>
              <w:t>system serving &lt;500 persons</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16"/>
              </w:rPr>
              <w:t>systems serving &lt;500 persons may not reduce monitoring to less than 1 sample per treatment plant per year.</w:t>
            </w:r>
          </w:p>
        </w:tc>
      </w:tr>
      <w:tr>
        <w:trPr>
          <w:trHeight w:val="585" w:hRule="atLeast"/>
        </w:trPr>
        <w:tc>
          <w:tcPr>
            <w:tcW w:w="3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using only non-IGW GW using chemical disinfectant and serving ≥10,000 persons</w:t>
            </w:r>
          </w:p>
        </w:tc>
        <w:tc>
          <w:tcPr>
            <w:tcW w:w="2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TTHM annual average ≤0.040 mg/L and HAA5 annual average ≤0.030 mg/L</w:t>
            </w:r>
          </w:p>
        </w:tc>
        <w:tc>
          <w:tcPr>
            <w:tcW w:w="48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sample per treatment plant per year at distribution system location reflecting MRT during month of warmest water temperature.</w:t>
            </w:r>
          </w:p>
        </w:tc>
      </w:tr>
      <w:tr>
        <w:trPr>
          <w:trHeight w:val="1470" w:hRule="atLeast"/>
        </w:trPr>
        <w:tc>
          <w:tcPr>
            <w:tcW w:w="39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System using only non-IGW GW using chemical disinfectant and serving &lt;10,000 persons</w:t>
            </w:r>
          </w:p>
        </w:tc>
        <w:tc>
          <w:tcPr>
            <w:tcW w:w="276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TTHM annual average ≤0.040 mg/L and HAA5 annual average ≤0.030 mg/L for two consecutive years;</w:t>
            </w:r>
            <w:r>
              <w:br/>
            </w:r>
            <w:r>
              <w:rPr>
                <w:rFonts w:ascii="Times New Roman" w:hAnsi="Times New Roman"/>
                <w:b w:val="false"/>
                <w:i w:val="false"/>
                <w:color w:val="000000"/>
                <w:sz w:val="16"/>
              </w:rPr>
              <w:t>Or, TTHM annual average ≤0.020 mg/L and HAA5 annual average ≤0.015 mg/L for one year.</w:t>
            </w:r>
          </w:p>
        </w:tc>
        <w:tc>
          <w:tcPr>
            <w:tcW w:w="4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sample per treatment plant per 3-year monitoring cycle at distribution system location reflecting MRT during month of warmest water temperature, with the 3-year cycle beginning on January 1 following quarter in which system qualifies for reduced monitoring.</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SW/IGW indicates those systems that use either SW or IGW, in whole or in part.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Systems on a reduced monitoring schedule may remain on that reduced schedule as long as the average of all samples taken in the year (for systems monitoring quarterly) or the result of the sample (for systems monitoring no more frequently than annually) is less than or equal to 0.060 mg/L for TTHMs and less than or equal to 0.045 mg/L for HAA5. Systems that do not meet these levels must resume monitoring at the frequency identified in </w:t>
      </w:r>
      <w:hyperlink r:id="rId277">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(4)“1” in the quarter immediately following the quarter in which the system exceeds 0.060 mg/L for TTHMs and 0.045 mg/L for HAA5. For systems using only GW not under the direct influence of SW and serving fewer than 10,000 persons, if either the TTHM annual average is &gt;0.080 mg/L or the HAA5 annual average is &gt;0.060 mg/L, the system must go to increased monitoring identified in </w:t>
      </w:r>
      <w:hyperlink r:id="rId278">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(4)“1” in the quarter immediately following the monitoring period in which the system exceeds 0.080 mg/L for TTHMs or 0.060 mg/L for HAA5.</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department may allow systems on increased monitoring to return to routine monitoring if, after one year of monitoring, TTHM annual average is less than or equal to 0.060 mg/L and HAA5 annual average is less than or equal to 0.045 mg/L.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department may return a system to routine monitoring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DBP Analytical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must use only the analytical method(s) specified in this paragraph, or equivalent methods as determined by EPA, to demonstrate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must measure DBPs using the methods in the following table, as modified by the footnotes: </w:t>
      </w:r>
    </w:p>
    <w:p>
      <w:pPr>
        <w:spacing w:before="60" w:after="0"/>
        <w:ind w:left="120"/>
        <w:jc w:val="center"/>
      </w:pPr>
      <w:r>
        <w:rPr>
          <w:rFonts w:ascii="Times New Roman" w:hAnsi="Times New Roman"/>
          <w:b/>
          <w:i w:val="false"/>
          <w:color w:val="000000"/>
          <w:sz w:val="22"/>
        </w:rPr>
        <w:t>Approved Methods for DBP Compliance Monitoring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609"/>
        <w:gridCol w:w="2534"/>
        <w:gridCol w:w="1843"/>
        <w:gridCol w:w="2534"/>
      </w:tblGrid>
      <w:tr>
        <w:trPr>
          <w:trHeight w:val="285" w:hRule="atLeast"/>
        </w:trPr>
        <w:tc>
          <w:tcPr>
            <w:tcW w:w="4609"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Contaminant and Methodology</w:t>
            </w:r>
          </w:p>
        </w:tc>
        <w:tc>
          <w:tcPr>
            <w:tcW w:w="2534"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EPA Method</w:t>
            </w:r>
            <w:r>
              <w:rPr>
                <w:rFonts w:ascii="Times New Roman" w:hAnsi="Times New Roman"/>
                <w:b/>
                <w:i w:val="false"/>
                <w:color w:val="000000"/>
                <w:sz w:val="18"/>
                <w:vertAlign w:val="superscript"/>
              </w:rPr>
              <w:t>1</w:t>
            </w:r>
          </w:p>
        </w:tc>
        <w:tc>
          <w:tcPr>
            <w:tcW w:w="1843"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SM</w:t>
            </w:r>
            <w:r>
              <w:rPr>
                <w:rFonts w:ascii="Times New Roman" w:hAnsi="Times New Roman"/>
                <w:b/>
                <w:i w:val="false"/>
                <w:color w:val="000000"/>
                <w:sz w:val="18"/>
                <w:vertAlign w:val="superscript"/>
              </w:rPr>
              <w:t>2</w:t>
            </w:r>
          </w:p>
        </w:tc>
        <w:tc>
          <w:tcPr>
            <w:tcW w:w="2534"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ASTM Method</w:t>
            </w:r>
            <w:r>
              <w:rPr>
                <w:rFonts w:ascii="Times New Roman" w:hAnsi="Times New Roman"/>
                <w:b/>
                <w:i w:val="false"/>
                <w:color w:val="000000"/>
                <w:sz w:val="18"/>
                <w:vertAlign w:val="superscript"/>
              </w:rPr>
              <w:t>3</w:t>
            </w:r>
          </w:p>
        </w:tc>
      </w:tr>
      <w:tr>
        <w:trPr>
          <w:trHeight w:val="240"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TTHM</w:t>
            </w:r>
          </w:p>
        </w:tc>
      </w:tr>
      <w:tr>
        <w:trPr>
          <w:trHeight w:val="25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P&amp;T/GC/EICD &amp; PID</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502.2</w:t>
            </w:r>
            <w:r>
              <w:rPr>
                <w:rFonts w:ascii="Times New Roman" w:hAnsi="Times New Roman"/>
                <w:b w:val="false"/>
                <w:i w:val="false"/>
                <w:color w:val="000000"/>
                <w:sz w:val="18"/>
                <w:vertAlign w:val="superscript"/>
              </w:rPr>
              <w:t>4</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P&amp;T/GC/MS</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524.2, 524.3, 524.4</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LLE/GC/ECD</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551.1</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HAA5</w:t>
            </w:r>
          </w:p>
        </w:tc>
      </w:tr>
      <w:tr>
        <w:trPr>
          <w:trHeight w:val="480"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LLE (diazomethane)/GC/ECD</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6251 B</w:t>
            </w: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6251 B-07</w:t>
            </w:r>
            <w:r>
              <w:rPr>
                <w:rFonts w:ascii="Times New Roman" w:hAnsi="Times New Roman"/>
                <w:b w:val="false"/>
                <w:i w:val="false"/>
                <w:color w:val="000000"/>
                <w:sz w:val="18"/>
                <w:vertAlign w:val="superscript"/>
              </w:rPr>
              <w:t>12</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 (acidic methanol)/GC/ECD</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552.1</w:t>
            </w:r>
            <w:r>
              <w:rPr>
                <w:rFonts w:ascii="Times New Roman" w:hAnsi="Times New Roman"/>
                <w:b w:val="false"/>
                <w:i w:val="false"/>
                <w:color w:val="000000"/>
                <w:sz w:val="18"/>
                <w:vertAlign w:val="superscript"/>
              </w:rPr>
              <w:t>5</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LLE (acidic methanol)/GC/ECD</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552.2, 552.3</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 electrospray ionization tandem MS (IC-ESI-MS/MS)</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557</w:t>
            </w:r>
            <w:r>
              <w:rPr>
                <w:rFonts w:ascii="Times New Roman" w:hAnsi="Times New Roman"/>
                <w:b w:val="false"/>
                <w:i w:val="false"/>
                <w:color w:val="000000"/>
                <w:sz w:val="18"/>
                <w:vertAlign w:val="superscript"/>
              </w:rPr>
              <w:t>10</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Bromate</w:t>
            </w:r>
          </w:p>
        </w:tc>
      </w:tr>
      <w:tr>
        <w:trPr>
          <w:trHeight w:val="22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300.1</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6581-00</w:t>
            </w:r>
          </w:p>
        </w:tc>
      </w:tr>
      <w:tr>
        <w:trPr>
          <w:trHeight w:val="25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 &amp; postcolumn reaction</w:t>
            </w:r>
            <w:r>
              <w:rPr>
                <w:rFonts w:ascii="Times New Roman" w:hAnsi="Times New Roman"/>
                <w:b w:val="false"/>
                <w:i w:val="false"/>
                <w:color w:val="000000"/>
                <w:sz w:val="18"/>
                <w:vertAlign w:val="superscript"/>
              </w:rPr>
              <w:t>9</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317.0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2.0</w:t>
            </w: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326.0</w:t>
            </w:r>
            <w:r>
              <w:rPr>
                <w:rFonts w:ascii="Times New Roman" w:hAnsi="Times New Roman"/>
                <w:b w:val="false"/>
                <w:i w:val="false"/>
                <w:color w:val="000000"/>
                <w:sz w:val="18"/>
                <w:vertAlign w:val="superscript"/>
              </w:rPr>
              <w:t>6</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IC/ICP-MS</w:t>
            </w:r>
            <w:r>
              <w:rPr>
                <w:rFonts w:ascii="Times New Roman" w:hAnsi="Times New Roman"/>
                <w:b w:val="false"/>
                <w:i w:val="false"/>
                <w:color w:val="000000"/>
                <w:sz w:val="18"/>
                <w:vertAlign w:val="superscript"/>
              </w:rPr>
              <w:t>9</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321.8</w:t>
            </w:r>
            <w:r>
              <w:rPr>
                <w:rFonts w:ascii="Times New Roman" w:hAnsi="Times New Roman"/>
                <w:b w:val="false"/>
                <w:i w:val="false"/>
                <w:color w:val="000000"/>
                <w:sz w:val="18"/>
                <w:vertAlign w:val="superscript"/>
              </w:rPr>
              <w:t>6, 7</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Two-dimensional IC</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302.0</w:t>
            </w:r>
            <w:r>
              <w:rPr>
                <w:rFonts w:ascii="Times New Roman" w:hAnsi="Times New Roman"/>
                <w:b w:val="false"/>
                <w:i w:val="false"/>
                <w:color w:val="000000"/>
                <w:sz w:val="18"/>
                <w:vertAlign w:val="superscript"/>
              </w:rPr>
              <w:t>11</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 electrospray ionization tandem MS (IC-ESI-MS/MS)</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557</w:t>
            </w:r>
            <w:r>
              <w:rPr>
                <w:rFonts w:ascii="Times New Roman" w:hAnsi="Times New Roman"/>
                <w:b w:val="false"/>
                <w:i w:val="false"/>
                <w:color w:val="000000"/>
                <w:sz w:val="18"/>
                <w:vertAlign w:val="superscript"/>
              </w:rPr>
              <w:t>10</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Chemically suppressed IC</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6581-08 A</w:t>
            </w:r>
          </w:p>
        </w:tc>
      </w:tr>
      <w:tr>
        <w:trPr>
          <w:trHeight w:val="22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Electrolytically suppressed IC</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6581-08 B</w:t>
            </w:r>
          </w:p>
        </w:tc>
      </w:tr>
      <w:tr>
        <w:trPr>
          <w:trHeight w:val="270" w:hRule="atLeast"/>
        </w:trPr>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Chlorite</w:t>
            </w:r>
            <w:r>
              <w:rPr>
                <w:rFonts w:ascii="Times New Roman" w:hAnsi="Times New Roman"/>
                <w:b/>
                <w:i w:val="false"/>
                <w:color w:val="000000"/>
                <w:sz w:val="18"/>
                <w:vertAlign w:val="superscript"/>
              </w:rPr>
              <w:t>8</w:t>
            </w:r>
          </w:p>
        </w:tc>
      </w:tr>
      <w:tr>
        <w:trPr>
          <w:trHeight w:val="25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Amperometric titration</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4500-ClO</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E</w:t>
            </w:r>
            <w:r>
              <w:rPr>
                <w:rFonts w:ascii="Times New Roman" w:hAnsi="Times New Roman"/>
                <w:b w:val="false"/>
                <w:i w:val="false"/>
                <w:color w:val="000000"/>
                <w:sz w:val="18"/>
                <w:vertAlign w:val="superscript"/>
              </w:rPr>
              <w:t>8</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Amperometric sensor</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ChlordioX Plus</w:t>
            </w:r>
            <w:r>
              <w:rPr>
                <w:rFonts w:ascii="Times New Roman" w:hAnsi="Times New Roman"/>
                <w:b w:val="false"/>
                <w:i w:val="false"/>
                <w:color w:val="000000"/>
                <w:sz w:val="18"/>
                <w:vertAlign w:val="superscript"/>
              </w:rPr>
              <w:t>8, 13</w:t>
            </w:r>
          </w:p>
        </w:tc>
      </w:tr>
      <w:tr>
        <w:trPr>
          <w:trHeight w:val="25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Spectophotometry</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327.0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1.1</w:t>
            </w:r>
            <w:r>
              <w:rPr>
                <w:rFonts w:ascii="Times New Roman" w:hAnsi="Times New Roman"/>
                <w:b w:val="false"/>
                <w:i w:val="false"/>
                <w:color w:val="000000"/>
                <w:sz w:val="18"/>
                <w:vertAlign w:val="superscript"/>
              </w:rPr>
              <w:t>8</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300.0, 300.1, 317.0 Rev.</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2, 326.0</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Chemically suppressed IC</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6581-08 A</w:t>
            </w:r>
          </w:p>
        </w:tc>
      </w:tr>
      <w:tr>
        <w:trPr>
          <w:trHeight w:val="225" w:hRule="atLeast"/>
        </w:trPr>
        <w:tc>
          <w:tcPr>
            <w:tcW w:w="46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Electrolytically suppressed IC</w:t>
            </w:r>
          </w:p>
        </w:tc>
        <w:tc>
          <w:tcPr>
            <w:tcW w:w="253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4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6581-08 B</w:t>
            </w:r>
          </w:p>
        </w:tc>
      </w:tr>
    </w:tbl>
    <w:tbl>
      <w:tblPr>
        <w:tblW w:w="5000" w:type="pct"/>
        <w:tblCellSpacing w:w="0" w:type="auto"/>
        <w:tblBorders>
          <w:top w:val="none"/>
          <w:left w:val="none"/>
          <w:bottom w:val="none"/>
          <w:right w:val="none"/>
          <w:insideH w:val="none"/>
          <w:insideV w:val="none"/>
        </w:tblBorders>
        <w:tblLayout w:type="fixed"/>
      </w:tblPr>
      <w:tblGrid>
        <w:gridCol w:w="4050"/>
        <w:gridCol w:w="3570"/>
        <w:gridCol w:w="3570"/>
      </w:tblGrid>
      <w:tr>
        <w:trPr>
          <w:trHeight w:val="210" w:hRule="atLeast"/>
        </w:trPr>
        <w:tc>
          <w:tcPr>
            <w:tcW w:w="40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ECD = electron capture detector</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 = ion chromatography</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P&amp;T = purge and trap</w:t>
            </w:r>
          </w:p>
        </w:tc>
      </w:tr>
      <w:tr>
        <w:trPr>
          <w:trHeight w:val="285" w:hRule="atLeast"/>
        </w:trPr>
        <w:tc>
          <w:tcPr>
            <w:tcW w:w="40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EICD = electrolytic conductivity detector</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LLE = liquid/liquid extraction</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PID = photoionization detector</w:t>
            </w:r>
          </w:p>
        </w:tc>
      </w:tr>
      <w:tr>
        <w:trPr>
          <w:trHeight w:val="210" w:hRule="atLeast"/>
        </w:trPr>
        <w:tc>
          <w:tcPr>
            <w:tcW w:w="40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GC = gas chromatography</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MS = mass spectrometer</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 = solid phase extractor</w:t>
            </w:r>
          </w:p>
        </w:tc>
      </w:tr>
    </w:tbl>
    <w:p>
      <w:pPr>
        <w:spacing w:before="0" w:after="0"/>
        <w:ind w:left="120"/>
        <w:jc w:val="both"/>
      </w:pPr>
      <w:r>
        <w:rPr>
          <w:rFonts w:ascii="Times New Roman" w:hAnsi="Times New Roman"/>
          <w:b w:val="false"/>
          <w:i w:val="false"/>
          <w:color w:val="000000"/>
          <w:sz w:val="16"/>
        </w:rPr>
        <w:t xml:space="preserve">The procedures shall be done in accordance with the documents listed below. The incorporation by reference of the following documents was approved by the Director of the Federal Register on February 16, 1999, in accordance with </w:t>
      </w:r>
      <w:r>
        <w:rPr>
          <w:rFonts w:ascii="Times New Roman" w:hAnsi="Times New Roman"/>
          <w:b w:val="false"/>
          <w:i w:val="false"/>
          <w:color w:val="000000"/>
          <w:sz w:val="16"/>
        </w:rPr>
        <w:t>5 U.S.C. 552(a)</w:t>
      </w:r>
      <w:r>
        <w:rPr>
          <w:rFonts w:ascii="Times New Roman" w:hAnsi="Times New Roman"/>
          <w:b w:val="false"/>
          <w:i w:val="false"/>
          <w:color w:val="000000"/>
          <w:sz w:val="16"/>
        </w:rPr>
        <w:t xml:space="preserve"> and </w:t>
      </w:r>
      <w:r>
        <w:rPr>
          <w:rFonts w:ascii="Times New Roman" w:hAnsi="Times New Roman"/>
          <w:b w:val="false"/>
          <w:i w:val="false"/>
          <w:color w:val="000000"/>
          <w:sz w:val="16"/>
        </w:rPr>
        <w:t>1 CFR Part 51</w:t>
      </w:r>
      <w:r>
        <w:rPr>
          <w:rFonts w:ascii="Times New Roman" w:hAnsi="Times New Roman"/>
          <w:b w:val="false"/>
          <w:i w:val="false"/>
          <w:color w:val="000000"/>
          <w:sz w:val="16"/>
        </w:rPr>
        <w:t>. Copies may be obtained from the sources listed below. Information regarding the documents is available from the Safe Drinking Water Hotline at 800.426.4791. Documents may be inspected at EPA’s Drinking Water Docket or at the Office of Federal Register.</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EPA: The following methods are available from the NTIS: </w:t>
      </w:r>
    </w:p>
    <w:p>
      <w:pPr>
        <w:spacing w:before="0" w:after="0"/>
        <w:ind w:left="120"/>
        <w:jc w:val="both"/>
      </w:pPr>
      <w:r>
        <w:rPr>
          <w:rFonts w:ascii="Times New Roman" w:hAnsi="Times New Roman"/>
          <w:b w:val="false"/>
          <w:i w:val="false"/>
          <w:color w:val="000000"/>
          <w:sz w:val="16"/>
        </w:rPr>
        <w:t xml:space="preserve"> Methods 300.0 and 321.8: Methods for the Determination of Organic and Inorganic Compounds in Drinking Water, Volume 1, August 2000, EPA 815-R-00-014. NTIS, PB2000-106981. </w:t>
      </w:r>
    </w:p>
    <w:p>
      <w:pPr>
        <w:spacing w:before="0" w:after="0"/>
        <w:ind w:left="120"/>
        <w:jc w:val="both"/>
      </w:pPr>
      <w:r>
        <w:rPr>
          <w:rFonts w:ascii="Times New Roman" w:hAnsi="Times New Roman"/>
          <w:b w:val="false"/>
          <w:i w:val="false"/>
          <w:color w:val="000000"/>
          <w:sz w:val="16"/>
        </w:rPr>
        <w:t xml:space="preserve"> Method 300.1: “Determination of Inorganic Anions in Drinking Water by Ion Chromatography, Revision 1.0,” EPA-600/R-98/118, 1997. NTIS, PB98-169196. </w:t>
      </w:r>
    </w:p>
    <w:p>
      <w:pPr>
        <w:spacing w:before="0" w:after="0"/>
        <w:ind w:left="120"/>
        <w:jc w:val="both"/>
      </w:pPr>
      <w:r>
        <w:rPr>
          <w:rFonts w:ascii="Times New Roman" w:hAnsi="Times New Roman"/>
          <w:b w:val="false"/>
          <w:i w:val="false"/>
          <w:color w:val="000000"/>
          <w:sz w:val="16"/>
        </w:rPr>
        <w:t xml:space="preserve"> Method 317.0: “Determination of Inorganic Oxyhalide Disinfection By-Products in Drinking Water Using Ion Chromatography with the Addition of a Postcolumn Reagent for Trace Bromate Analysis, Revision 2.0,” July 2001, EPA 815-B-01-001. </w:t>
      </w:r>
    </w:p>
    <w:p>
      <w:pPr>
        <w:spacing w:before="0" w:after="0"/>
        <w:ind w:left="120"/>
        <w:jc w:val="both"/>
      </w:pPr>
      <w:r>
        <w:rPr>
          <w:rFonts w:ascii="Times New Roman" w:hAnsi="Times New Roman"/>
          <w:b w:val="false"/>
          <w:i w:val="false"/>
          <w:color w:val="000000"/>
          <w:sz w:val="16"/>
        </w:rPr>
        <w:t xml:space="preserve"> Method 326.0: “Determination of Inorganic Oxyhalide Disinfection By-Products in Drinking Water Using Ion Chromatography Incorporating the Addition of a Suppressor Acidified Postcolumn Reagent for Trace Bromate Analysis, Revision 1.0,” June 2002, EPA 815-R-03-007. </w:t>
      </w:r>
    </w:p>
    <w:p>
      <w:pPr>
        <w:spacing w:before="0" w:after="0"/>
        <w:ind w:left="120"/>
        <w:jc w:val="both"/>
      </w:pPr>
      <w:r>
        <w:rPr>
          <w:rFonts w:ascii="Times New Roman" w:hAnsi="Times New Roman"/>
          <w:b w:val="false"/>
          <w:i w:val="false"/>
          <w:color w:val="000000"/>
          <w:sz w:val="16"/>
        </w:rPr>
        <w:t xml:space="preserve"> Method 327.0: “Determination of Chlorine Dioxide and Chlorite Ion in Drinking Water Using Lissamine Green B and Horseradish Peroxidase with Detection by Visible Spectrophotometry, Revision 1.1,” May 2005, EPA 815-R-05-008. </w:t>
      </w:r>
    </w:p>
    <w:p>
      <w:pPr>
        <w:spacing w:before="0" w:after="0"/>
        <w:ind w:left="120"/>
        <w:jc w:val="both"/>
      </w:pPr>
      <w:r>
        <w:rPr>
          <w:rFonts w:ascii="Times New Roman" w:hAnsi="Times New Roman"/>
          <w:b w:val="false"/>
          <w:i w:val="false"/>
          <w:color w:val="000000"/>
          <w:sz w:val="16"/>
        </w:rPr>
        <w:t xml:space="preserve"> Methods 502.2, 524.2, 551.1, and 552.2: Methods for the Determination of Organic Compounds in Drinking Water—Supplement III, EPA-600/R-95-131, August 1995. NTIS PB95-261616. </w:t>
      </w:r>
    </w:p>
    <w:p>
      <w:pPr>
        <w:spacing w:before="0" w:after="0"/>
        <w:ind w:left="120"/>
        <w:jc w:val="both"/>
      </w:pPr>
      <w:r>
        <w:rPr>
          <w:rFonts w:ascii="Times New Roman" w:hAnsi="Times New Roman"/>
          <w:b w:val="false"/>
          <w:i w:val="false"/>
          <w:color w:val="000000"/>
          <w:sz w:val="16"/>
        </w:rPr>
        <w:t xml:space="preserve"> Method 524.3: “Measurement of Purgeable Organic Compounds in Water by Capillary Column Gas Chromatography/Mass Spectrometry, Version 1.0,” June 2009. EPA 815-B-09-009, </w:t>
      </w:r>
      <w:hyperlink r:id="rId279">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6"/>
        </w:rPr>
        <w:t xml:space="preserve"> Method 524.4: “Measurement of Purgeable Organic Compounds in Water by Gas Chromatography/Mass Spectrometry Using Nitrogen Purge Gas, Version 1.0,” May 2013. EPA 815-R-13-002, </w:t>
      </w:r>
      <w:hyperlink r:id="rId280">
        <w:r>
          <w:rPr>
            <w:rStyle w:val="Hyperlink"/>
            <w:rFonts w:ascii="Times New Roman" w:hAnsi="Times New Roman"/>
            <w:b w:val="false"/>
            <w:i w:val="false"/>
            <w:color w:val="000000"/>
            <w:sz w:val="16"/>
            <w:u w:val="single"/>
          </w:rPr>
          <w:t>nepis.epa.gov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6"/>
        </w:rPr>
        <w:t xml:space="preserve"> Method 552.1: Methods for the Determination of Organic Compounds in Drinking Water—Supplement II, EPA-600/R-92-129, August 1992. NTIS PB92-207703. </w:t>
      </w:r>
    </w:p>
    <w:p>
      <w:pPr>
        <w:spacing w:before="0" w:after="0"/>
        <w:ind w:left="120"/>
        <w:jc w:val="both"/>
      </w:pPr>
      <w:r>
        <w:rPr>
          <w:rFonts w:ascii="Times New Roman" w:hAnsi="Times New Roman"/>
          <w:b w:val="false"/>
          <w:i w:val="false"/>
          <w:color w:val="000000"/>
          <w:sz w:val="16"/>
        </w:rPr>
        <w:t xml:space="preserve"> Method 552.3: “Determination of Haloacetic Acids and Dalapon in Drinking Water by Liquid-liquid Microextraction, Derivatization, and Gas Chromatography with Electron Capture Detection, Revision 1.0,” July 2003, EPA-815-B-03-002.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4500-ClO</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 xml:space="preserve"> E and 6251B: SM, 19th (1995), 20th (1998), 21st (2005), and 22nd (2012) editions. </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Method D 6581-00: ASTM Volume 11.01,  2001 (or any year containing the cited version). </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If TTHMs are the only analytes being measured in the sample, then a PID is not required.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The samples must be extracted within 14 days of sample collection.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IC and postcolumn reaction or IC/ICP-MS must be used for bromate analysis to demonstrate eligibility for reduced monitoring. </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Samples must be preserved at sample collection with 50 mg ethylenediamine (EDA)/L of sample and must be analyzed within 28 days. </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Amperometric titration or spectrophotometry may be used for routine daily chlorite monitoring at the SEP, as prescribed in </w:t>
      </w:r>
      <w:r>
        <w:rPr>
          <w:rFonts w:ascii="Times New Roman" w:hAnsi="Times New Roman"/>
          <w:b w:val="false"/>
          <w:i w:val="false"/>
          <w:color w:val="000000"/>
          <w:sz w:val="16"/>
        </w:rPr>
        <w:t>41.6(1)</w:t>
      </w:r>
      <w:r>
        <w:rPr>
          <w:rFonts w:ascii="Times New Roman" w:hAnsi="Times New Roman"/>
          <w:b w:val="false"/>
          <w:i/>
          <w:color w:val="000000"/>
          <w:sz w:val="16"/>
        </w:rPr>
        <w:t>“c”</w:t>
      </w:r>
      <w:r>
        <w:rPr>
          <w:rFonts w:ascii="Times New Roman" w:hAnsi="Times New Roman"/>
          <w:b w:val="false"/>
          <w:i w:val="false"/>
          <w:color w:val="000000"/>
          <w:sz w:val="16"/>
        </w:rPr>
        <w:t xml:space="preserve">(3)“1.” IC must be used for routine monthly chlorite monitoring and additional chlorite monitoring in the distribution system, as prescribed in </w:t>
      </w:r>
      <w:r>
        <w:rPr>
          <w:rFonts w:ascii="Times New Roman" w:hAnsi="Times New Roman"/>
          <w:b w:val="false"/>
          <w:i w:val="false"/>
          <w:color w:val="000000"/>
          <w:sz w:val="16"/>
        </w:rPr>
        <w:t>41.6(1)</w:t>
      </w:r>
      <w:r>
        <w:rPr>
          <w:rFonts w:ascii="Times New Roman" w:hAnsi="Times New Roman"/>
          <w:b w:val="false"/>
          <w:i/>
          <w:color w:val="000000"/>
          <w:sz w:val="16"/>
        </w:rPr>
        <w:t>“c”</w:t>
      </w:r>
      <w:r>
        <w:rPr>
          <w:rFonts w:ascii="Times New Roman" w:hAnsi="Times New Roman"/>
          <w:b w:val="false"/>
          <w:i w:val="false"/>
          <w:color w:val="000000"/>
          <w:sz w:val="16"/>
        </w:rPr>
        <w:t xml:space="preserve">(3)“2” and “3.” </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 xml:space="preserve">These are the only methods approved for reduced bromate monitoring under </w:t>
      </w:r>
      <w:r>
        <w:rPr>
          <w:rFonts w:ascii="Times New Roman" w:hAnsi="Times New Roman"/>
          <w:b w:val="false"/>
          <w:i w:val="false"/>
          <w:color w:val="000000"/>
          <w:sz w:val="16"/>
        </w:rPr>
        <w:t>41.6(1)</w:t>
      </w:r>
      <w:r>
        <w:rPr>
          <w:rFonts w:ascii="Times New Roman" w:hAnsi="Times New Roman"/>
          <w:b w:val="false"/>
          <w:i/>
          <w:color w:val="000000"/>
          <w:sz w:val="16"/>
        </w:rPr>
        <w:t>“c”</w:t>
      </w:r>
      <w:r>
        <w:rPr>
          <w:rFonts w:ascii="Times New Roman" w:hAnsi="Times New Roman"/>
          <w:b w:val="false"/>
          <w:i w:val="false"/>
          <w:color w:val="000000"/>
          <w:sz w:val="16"/>
        </w:rPr>
        <w:t>(2)“2.”</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EPA Method 557, “Determination of Haloacetic Acids, Bromate, and Dalapon in Drinking Water by Ion Chromatography Electrospray Ionization Tandem Mass Spectrometry (IC-ESI-MS/MS),” August 2009. EPA 815-B-09-012, </w:t>
      </w:r>
      <w:hyperlink r:id="rId281">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EPA Method 302.0, “Determination of Bromate in Drinking Water Using Two-Dimensional Ion Chromatography with Suppressed Conductivity Detection,” September 2009. EPA 815-B-014, </w:t>
      </w:r>
      <w:hyperlink r:id="rId282">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 xml:space="preserve">SM Online. The year in which each method was approved is designated by the last two digits in the method number. The methods listed are the only online versions that may be used. </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 xml:space="preserve">ChlordioX Plus. “Chlorine Dioxide and Chlorite in Drinking Water by Amperometry Using Disposable Sensors,” November 2013. Palintest Water Analysis Technologies, </w:t>
      </w:r>
      <w:hyperlink r:id="rId283">
        <w:r>
          <w:rPr>
            <w:rStyle w:val="Hyperlink"/>
            <w:rFonts w:ascii="Times New Roman" w:hAnsi="Times New Roman"/>
            <w:b w:val="false"/>
            <w:i w:val="false"/>
            <w:color w:val="000000"/>
            <w:sz w:val="16"/>
            <w:u w:val="single"/>
          </w:rPr>
          <w:t>www.palintest.com</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DBP analyses under this rule shall only be conducted by laboratories certified in accordance with </w:t>
      </w:r>
      <w:hyperlink r:id="rId284">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except as specified under </w:t>
      </w:r>
      <w:hyperlink r:id="rId285">
        <w:r>
          <w:rPr>
            <w:rStyle w:val="Hyperlink"/>
            <w:rFonts w:ascii="Times New Roman" w:hAnsi="Times New Roman"/>
            <w:b w:val="false"/>
            <w:i w:val="false"/>
            <w:color w:val="000000"/>
            <w:sz w:val="22"/>
          </w:rPr>
          <w:t>41.6(1)</w:t>
        </w:r>
        <w:r>
          <w:rPr>
            <w:rFonts w:ascii="Times New Roman" w:hAnsi="Times New Roman"/>
            <w:b w:val="false"/>
            <w:i/>
            <w:color w:val="000000"/>
            <w:sz w:val="22"/>
          </w:rPr>
          <w:t>“d”</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The performance evaluation sample acceptance limits and minimum reporting levels are in </w:t>
      </w:r>
      <w:r>
        <w:rPr>
          <w:rFonts w:ascii="Times New Roman" w:hAnsi="Times New Roman"/>
          <w:b w:val="false"/>
          <w:i w:val="false"/>
          <w:color w:val="000000"/>
          <w:sz w:val="22"/>
        </w:rPr>
        <w:t>40 CFR §141.131(b)</w:t>
      </w:r>
      <w:r>
        <w:rPr>
          <w:rFonts w:ascii="Times New Roman" w:hAnsi="Times New Roman"/>
          <w:b w:val="false"/>
          <w:i w:val="false"/>
          <w:color w:val="000000"/>
          <w:sz w:val="22"/>
        </w:rPr>
        <w:t xml:space="preserve">(2)(iii).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Daily chlorite samples at the SEP must be measured by a Grade II, III or IV operator meeting the requirements of </w:t>
      </w:r>
      <w:hyperlink r:id="rId286">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any person under the supervision of such an operator, or a laboratory certified in accordance with </w:t>
      </w:r>
      <w:hyperlink r:id="rId287">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DBP compliance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compliance is based on an RAA of monthly or quarterly samples or averages and the system fails to monitor for TTHM, HAA5, or bromate, this failure to monitor will be treated as a monitoring violation for the entire period covered by the annual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invalidated by the department, all samples taken and analyzed under the provisions of this rule must be included in determining compliance, even if that number is greater than the minimum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the first year of monitoring under </w:t>
      </w:r>
      <w:hyperlink r:id="rId288">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 any individual quarter’s average will cause the RAA of that system to exceed the MCL, the system is out of compliance at the end of that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that violates the bromate, chlorite, or TTHM and HAA5 MCLs specified in this paragraph must provide PN pursuant to rule </w:t>
      </w:r>
      <w:hyperlink r:id="rId289">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 xml:space="preserve">(455B) and report to the department pursuant to </w:t>
      </w:r>
      <w:hyperlink r:id="rId290">
        <w:r>
          <w:rPr>
            <w:rStyle w:val="Hyperlink"/>
            <w:rFonts w:ascii="Times New Roman" w:hAnsi="Times New Roman"/>
            <w:b w:val="false"/>
            <w:i w:val="false"/>
            <w:color w:val="000000"/>
            <w:sz w:val="22"/>
          </w:rPr>
          <w:t>567—paragraph 40.8(3)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Bromate. Compliance must be based on an RAA, computed quarterly, of monthly samples (or, for months in which the system takes more than one sample, the average of all samples taken during the month) collected by the system as prescribed by </w:t>
      </w:r>
      <w:hyperlink r:id="rId291">
        <w:r>
          <w:rPr>
            <w:rStyle w:val="Hyperlink"/>
            <w:rFonts w:ascii="Times New Roman" w:hAnsi="Times New Roman"/>
            <w:b w:val="false"/>
            <w:i w:val="false"/>
            <w:color w:val="000000"/>
            <w:sz w:val="22"/>
          </w:rPr>
          <w:t>41.6(1)</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If the average of samples covering any consecutive four-quarter period exceeds the MCL, a system is in violation of the MCL. If a PWS fails to complete 12 consecutive months’ monitoring, MCL compliance for the last four-quarter compliance period must be based on an average of the available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Chlorite. Compliance must be based on an arithmetic average of each three-sample set taken in the distribution system as prescribed by </w:t>
      </w:r>
      <w:hyperlink r:id="rId292">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(3)“1” and “2.” If the arithmetic average of any three-sample set exceeds the MCL, a system is in violation of the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TTHM and HAA5.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monitoring quarterly, compliance with MCLs in </w:t>
      </w:r>
      <w:hyperlink r:id="rId293">
        <w:r>
          <w:rPr>
            <w:rStyle w:val="Hyperlink"/>
            <w:rFonts w:ascii="Times New Roman" w:hAnsi="Times New Roman"/>
            <w:b w:val="false"/>
            <w:i w:val="false"/>
            <w:color w:val="000000"/>
            <w:sz w:val="22"/>
          </w:rPr>
          <w:t>41.6(1)</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be based on an RAA, computed quarterly, of quarterly averages of all samples collected by the system as prescribed by </w:t>
      </w:r>
      <w:hyperlink r:id="rId294">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monitoring less frequently than quarterly, systems demonstrate MCL compliance if the average of samples taken that year under </w:t>
      </w:r>
      <w:hyperlink r:id="rId295">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(4) does not exceed the MCLs in </w:t>
      </w:r>
      <w:hyperlink r:id="rId296">
        <w:r>
          <w:rPr>
            <w:rStyle w:val="Hyperlink"/>
            <w:rFonts w:ascii="Times New Roman" w:hAnsi="Times New Roman"/>
            <w:b w:val="false"/>
            <w:i w:val="false"/>
            <w:color w:val="000000"/>
            <w:sz w:val="22"/>
          </w:rPr>
          <w:t>41.6(1)</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average of these samples exceeds the MCL, the system must increase monitoring to once per quarter per treatment plant and is not in violation of the MCL until it has completed one year of quarterly monitoring, unless the result of fewer than four quarters of monitoring will cause the RAA to exceed the MCL, in which case the system is in violation at the end of that quarter. Systems required to increase to quarterly monitoring must calculate compliance by including the sample that triggered the increased monitoring plus the following three quarters of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RAA of quarterly averages covering any consecutive four-quarter period exceeds the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PWS fails to complete four consecutive quarters of monitoring, MCL compliance for the last four-quarter compliance period must be based on an average of the available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DBP reporting requirements. </w:t>
      </w:r>
      <w:r>
        <w:rPr>
          <w:rFonts w:ascii="Times New Roman" w:hAnsi="Times New Roman"/>
          <w:b w:val="false"/>
          <w:i w:val="false"/>
          <w:color w:val="000000"/>
          <w:sz w:val="22"/>
        </w:rPr>
        <w:t xml:space="preserve">Systems required to sample quarterly or more frequently must report to the department within ten days after the end of each quarter in which samples were collected, notwithstanding the PN provisions of rule </w:t>
      </w:r>
      <w:hyperlink r:id="rId297">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 xml:space="preserve">(455B). Systems required to sample less frequently than quarterly must report to the department within ten days after the end of each monitoring period in which samples were collected. The specific reporting requirements for DBPs are in </w:t>
      </w:r>
      <w:hyperlink r:id="rId298">
        <w:r>
          <w:rPr>
            <w:rStyle w:val="Hyperlink"/>
            <w:rFonts w:ascii="Times New Roman" w:hAnsi="Times New Roman"/>
            <w:b w:val="false"/>
            <w:i w:val="false"/>
            <w:color w:val="000000"/>
            <w:sz w:val="22"/>
          </w:rPr>
          <w:t>567—subparagraph 40.8(3)</w:t>
        </w:r>
      </w:hyperlink>
      <w:r>
        <w:rPr>
          <w:rFonts w:ascii="Times New Roman" w:hAnsi="Times New Roman"/>
          <w:b w:val="false"/>
          <w:i/>
          <w:color w:val="000000"/>
          <w:sz w:val="22"/>
        </w:rPr>
        <w:t>“d”</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color w:val="000000"/>
          <w:sz w:val="22"/>
        </w:rPr>
        <w:t xml:space="preserve">Stage 2 initial distribution system evaluation. </w:t>
      </w:r>
      <w:r>
        <w:rPr>
          <w:rFonts w:ascii="Times New Roman" w:hAnsi="Times New Roman"/>
          <w:b w:val="false"/>
          <w:i w:val="false"/>
          <w:color w:val="000000"/>
          <w:sz w:val="22"/>
        </w:rPr>
        <w:t xml:space="preserve">The requirements for the Stage 2 initial distribution system evaluation (IDSE) in 40 CFR 141.600-60,5 as adopted on January 4, 2006, are adopted by reference. This regulation establishes monitoring and requirements for identifying compliance monitoring locations that are used to determine MCL compliance for TTHM and HAA5. All CWS required to comply with </w:t>
      </w:r>
      <w:hyperlink r:id="rId299">
        <w:r>
          <w:rPr>
            <w:rStyle w:val="Hyperlink"/>
            <w:rFonts w:ascii="Times New Roman" w:hAnsi="Times New Roman"/>
            <w:b w:val="false"/>
            <w:i w:val="false"/>
            <w:color w:val="000000"/>
            <w:sz w:val="22"/>
          </w:rPr>
          <w:t>41.6(1)</w:t>
        </w:r>
      </w:hyperlink>
      <w:r>
        <w:rPr>
          <w:rFonts w:ascii="Times New Roman" w:hAnsi="Times New Roman"/>
          <w:b w:val="false"/>
          <w:i w:val="false"/>
          <w:color w:val="000000"/>
          <w:sz w:val="22"/>
        </w:rPr>
        <w:t xml:space="preserve"> and all NTNC serving at least 10,000 people required to comply with </w:t>
      </w:r>
      <w:hyperlink r:id="rId300">
        <w:r>
          <w:rPr>
            <w:rStyle w:val="Hyperlink"/>
            <w:rFonts w:ascii="Times New Roman" w:hAnsi="Times New Roman"/>
            <w:b w:val="false"/>
            <w:i w:val="false"/>
            <w:color w:val="000000"/>
            <w:sz w:val="22"/>
          </w:rPr>
          <w:t>41.6(1)</w:t>
        </w:r>
      </w:hyperlink>
      <w:r>
        <w:rPr>
          <w:rFonts w:ascii="Times New Roman" w:hAnsi="Times New Roman"/>
          <w:b w:val="false"/>
          <w:i w:val="false"/>
          <w:color w:val="000000"/>
          <w:sz w:val="22"/>
        </w:rPr>
        <w:t xml:space="preserve"> are required to comply with this subrule. The requirements in this subrule constitute national primary drinking water regulations. Only the analytical methods specified in </w:t>
      </w:r>
      <w:hyperlink r:id="rId301">
        <w:r>
          <w:rPr>
            <w:rStyle w:val="Hyperlink"/>
            <w:rFonts w:ascii="Times New Roman" w:hAnsi="Times New Roman"/>
            <w:b w:val="false"/>
            <w:i w:val="false"/>
            <w:color w:val="000000"/>
            <w:sz w:val="22"/>
          </w:rPr>
          <w:t>41.6(1)</w:t>
        </w:r>
      </w:hyperlink>
      <w:r>
        <w:rPr>
          <w:rFonts w:ascii="Times New Roman" w:hAnsi="Times New Roman"/>
          <w:b w:val="false"/>
          <w:i/>
          <w:color w:val="000000"/>
          <w:sz w:val="22"/>
        </w:rPr>
        <w:t>“d”</w:t>
      </w:r>
      <w:r>
        <w:rPr>
          <w:rFonts w:ascii="Times New Roman" w:hAnsi="Times New Roman"/>
          <w:b w:val="false"/>
          <w:i w:val="false"/>
          <w:color w:val="000000"/>
          <w:sz w:val="22"/>
        </w:rPr>
        <w:t xml:space="preserve"> may be used to demonstrate compliance with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color w:val="000000"/>
          <w:sz w:val="22"/>
        </w:rPr>
        <w:t xml:space="preserve">Stage 2 DBP requirements. </w:t>
      </w:r>
      <w:r>
        <w:rPr>
          <w:rFonts w:ascii="Times New Roman" w:hAnsi="Times New Roman"/>
          <w:b w:val="false"/>
          <w:i w:val="false"/>
          <w:color w:val="000000"/>
          <w:sz w:val="22"/>
        </w:rPr>
        <w:t>The requirements of this subrule constitute national primary drinking water regulations. This subrule establishes monitoring and requirements for achieving MCL compliance based on locational running annual averages (LRAA) for TTHM and HAA5.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All CWS and NTNC systems that use a primary or residual disinfectant other than UV light or deliver water that has been treated with a primary or residual disinfectant other than UV light must comply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Schedule. Systems must comply with the dates in the appropriate schedule. For the purposes of this subrule, the combined distribution system (CDS) only includes active connections; emergency connections are excluded. Any CWS or NTNC that purchases or sells water on a routine basis through an active connection to another CWS or NTNC is part of a CDS. All systems included in a CDS must adhere to the schedule of the system that serves the largest population in that CDS. The system must comply with the requirements on the schedule for systems that are not a part of a CDS and for systems that serve the largest population in the CDS. The schedule for the other systems that are a part of a CDS, either wholesale or consecutive, is the same schedule as that of the system with the earliest compliance date in the CDS.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3264"/>
        <w:gridCol w:w="6912"/>
      </w:tblGrid>
      <w:tr>
        <w:trPr>
          <w:trHeight w:val="240" w:hRule="atLeast"/>
        </w:trPr>
        <w:tc>
          <w:tcPr>
            <w:tcW w:w="1344"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Schedule</w:t>
            </w:r>
          </w:p>
        </w:tc>
        <w:tc>
          <w:tcPr>
            <w:tcW w:w="3264"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System Population</w:t>
            </w:r>
          </w:p>
        </w:tc>
        <w:tc>
          <w:tcPr>
            <w:tcW w:w="6912"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Date by Which System Must Begin Stage 2 Compliance Monitoring</w:t>
            </w:r>
          </w:p>
        </w:tc>
      </w:tr>
      <w:tr>
        <w:trPr>
          <w:trHeight w:val="24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At least 100,000</w:t>
            </w:r>
          </w:p>
        </w:tc>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April 1, 2012</w:t>
            </w:r>
          </w:p>
        </w:tc>
      </w:tr>
      <w:tr>
        <w:trPr>
          <w:trHeight w:val="2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50,000-99,999</w:t>
            </w:r>
          </w:p>
        </w:tc>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 2012</w:t>
            </w:r>
          </w:p>
        </w:tc>
      </w:tr>
      <w:tr>
        <w:trPr>
          <w:trHeight w:val="2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10,000-49,999</w:t>
            </w:r>
          </w:p>
        </w:tc>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 2013</w:t>
            </w:r>
          </w:p>
        </w:tc>
      </w:tr>
      <w:tr>
        <w:trPr>
          <w:trHeight w:val="7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Fewer than 10,000</w:t>
            </w:r>
          </w:p>
        </w:tc>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October 1, 2013, for all GW systems and any SW/IGW systems that did not conduct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sampling under </w:t>
            </w:r>
            <w:hyperlink r:id="rId302">
              <w:r>
                <w:rPr>
                  <w:rStyle w:val="Hyperlink"/>
                  <w:rFonts w:ascii="Times New Roman" w:hAnsi="Times New Roman"/>
                  <w:b w:val="false"/>
                  <w:i w:val="false"/>
                  <w:color w:val="000000"/>
                  <w:sz w:val="16"/>
                </w:rPr>
                <w:t>567—paragraph 43.11(3)</w:t>
              </w:r>
            </w:hyperlink>
            <w:r>
              <w:rPr>
                <w:rFonts w:ascii="Times New Roman" w:hAnsi="Times New Roman"/>
                <w:b w:val="false"/>
                <w:i/>
                <w:color w:val="000000"/>
                <w:sz w:val="16"/>
              </w:rPr>
              <w:t>“b”</w:t>
            </w:r>
            <w:r>
              <w:rPr>
                <w:rFonts w:ascii="Times New Roman" w:hAnsi="Times New Roman"/>
                <w:b w:val="false"/>
                <w:i w:val="false"/>
                <w:color w:val="000000"/>
                <w:sz w:val="16"/>
              </w:rPr>
              <w:t>(2)“4”</w:t>
            </w:r>
            <w:r>
              <w:br/>
            </w:r>
            <w:r>
              <w:rPr>
                <w:rFonts w:ascii="Times New Roman" w:hAnsi="Times New Roman"/>
                <w:b w:val="false"/>
                <w:i w:val="false"/>
                <w:color w:val="000000"/>
                <w:sz w:val="16"/>
              </w:rPr>
              <w:t xml:space="preserve">October 1, 2014, for SW/IGW systems that conducted </w:t>
            </w:r>
            <w:r>
              <w:rPr>
                <w:rFonts w:ascii="Times New Roman" w:hAnsi="Times New Roman"/>
                <w:b w:val="false"/>
                <w:i/>
                <w:color w:val="000000"/>
                <w:sz w:val="16"/>
              </w:rPr>
              <w:t>Cryptosporidium</w:t>
            </w:r>
            <w:r>
              <w:rPr>
                <w:rFonts w:ascii="Times New Roman" w:hAnsi="Times New Roman"/>
                <w:b w:val="false"/>
                <w:i w:val="false"/>
                <w:color w:val="000000"/>
                <w:sz w:val="16"/>
              </w:rPr>
              <w:t xml:space="preserve"> sampling under </w:t>
            </w:r>
            <w:hyperlink r:id="rId303">
              <w:r>
                <w:rPr>
                  <w:rStyle w:val="Hyperlink"/>
                  <w:rFonts w:ascii="Times New Roman" w:hAnsi="Times New Roman"/>
                  <w:b w:val="false"/>
                  <w:i w:val="false"/>
                  <w:color w:val="000000"/>
                  <w:sz w:val="16"/>
                </w:rPr>
                <w:t>567—paragraph 43.11(3)</w:t>
              </w:r>
            </w:hyperlink>
            <w:r>
              <w:rPr>
                <w:rFonts w:ascii="Times New Roman" w:hAnsi="Times New Roman"/>
                <w:b w:val="false"/>
                <w:i/>
                <w:color w:val="000000"/>
                <w:sz w:val="16"/>
              </w:rPr>
              <w:t>“b”</w:t>
            </w:r>
            <w:r>
              <w:rPr>
                <w:rFonts w:ascii="Times New Roman" w:hAnsi="Times New Roman"/>
                <w:b w:val="false"/>
                <w:i w:val="false"/>
                <w:color w:val="000000"/>
                <w:sz w:val="16"/>
              </w:rPr>
              <w:t>(2)“4”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Initiation of compliance monitoring under Stage 2. Systems shall switch from Stage 1 compliance monitoring (</w:t>
      </w:r>
      <w:hyperlink r:id="rId304">
        <w:r>
          <w:rPr>
            <w:rStyle w:val="Hyperlink"/>
            <w:rFonts w:ascii="Times New Roman" w:hAnsi="Times New Roman"/>
            <w:b w:val="false"/>
            <w:i w:val="false"/>
            <w:color w:val="000000"/>
            <w:sz w:val="22"/>
          </w:rPr>
          <w:t>41.6(1)</w:t>
        </w:r>
      </w:hyperlink>
      <w:r>
        <w:rPr>
          <w:rFonts w:ascii="Times New Roman" w:hAnsi="Times New Roman"/>
          <w:b w:val="false"/>
          <w:i w:val="false"/>
          <w:color w:val="000000"/>
          <w:sz w:val="22"/>
        </w:rPr>
        <w:t>) to Stage 2 monitoring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required to monitor quarterly must start monitoring in the first full calendar quarter that includes the compliance date in the preceding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that conducted IDSE monitoring and have an approved report and that are required to monitor at a frequency less than quarterly must start monitoring in the calendar month recommended in the approved IDSE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that were not required to prepare an IDSE report under </w:t>
      </w:r>
      <w:hyperlink r:id="rId305">
        <w:r>
          <w:rPr>
            <w:rStyle w:val="Hyperlink"/>
            <w:rFonts w:ascii="Times New Roman" w:hAnsi="Times New Roman"/>
            <w:b w:val="false"/>
            <w:i w:val="false"/>
            <w:color w:val="000000"/>
            <w:sz w:val="22"/>
          </w:rPr>
          <w:t>41.6(2)</w:t>
        </w:r>
      </w:hyperlink>
      <w:r>
        <w:rPr>
          <w:rFonts w:ascii="Times New Roman" w:hAnsi="Times New Roman"/>
          <w:b w:val="false"/>
          <w:i w:val="false"/>
          <w:color w:val="000000"/>
          <w:sz w:val="22"/>
        </w:rPr>
        <w:t xml:space="preserve"> must update their Stage 1 monitoring plan to meet the Stage 2 requirements and submit it for department approval six months prior to the compliance date in the preceding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Timing of initial determination of compliance under Stage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required to monitor quarterly must make compliance calculations at the end of the fourth calendar quarter that follows the compliance date or earlier if the LRAA calculated based on fewer than four quarters of data would cause an MCL exceedance regardless of the results of subsequent sampling. Compliance determination must continue at the end of each subsequent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required to monitor at a frequency that is less than quarterly must make compliance calculations beginning with the first compliance sample taken after the compliance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and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required to monitor quarterly must calculate LRAAs for TTHM and HAA5 using the monitoring results collected under this subrule and determine that each LRAA does not exceed the MCL. If the system does not complete the four consecutive quarters of monitoring, it must calculate MCL compliance based on the average of the available data from the most recent four quarters. If the system collects more than one sample per quarter at a monitoring location, all samples taken in the quarter at that location must be averaged to determine a quarterly average to be used for the LRAA calculation. If a system fails to monitor, it is in violation of the monitoring requirements for each quarter that a monitoring result would be used in calculating an LRAA.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required to monitor yearly or triennially must determine that each sample collected is less than the MCL. If any sample exceeds the MCL, the system must comply with </w:t>
      </w:r>
      <w:hyperlink r:id="rId306">
        <w:r>
          <w:rPr>
            <w:rStyle w:val="Hyperlink"/>
            <w:rFonts w:ascii="Times New Roman" w:hAnsi="Times New Roman"/>
            <w:b w:val="false"/>
            <w:i w:val="false"/>
            <w:color w:val="000000"/>
            <w:sz w:val="22"/>
          </w:rPr>
          <w:t>41.6(3)</w:t>
        </w:r>
        <w:r>
          <w:rPr>
            <w:rFonts w:ascii="Times New Roman" w:hAnsi="Times New Roman"/>
            <w:b w:val="false"/>
            <w:i/>
            <w:color w:val="000000"/>
            <w:sz w:val="22"/>
          </w:rPr>
          <w:t>“e.”</w:t>
        </w:r>
      </w:hyperlink>
      <w:r>
        <w:rPr>
          <w:rFonts w:ascii="Times New Roman" w:hAnsi="Times New Roman"/>
          <w:b w:val="false"/>
          <w:i w:val="false"/>
          <w:color w:val="000000"/>
          <w:sz w:val="22"/>
        </w:rPr>
        <w:t xml:space="preserve"> If no sample exceeds the MCL, the sample result for each monitoring location is considered to be the LRAA for that monitoring location. If a system fails to monitor, it is in violation of the monitoring requirements for each quarter that a monitoring result would be used in calculating an LRAA.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up to an additional 24 months for compliance with MCLs and operational evaluation levels if the system is required to make capital improvements in order to comply with an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CWS or NTNC that begins using water to which a disinfectant has been added, other than ultraviolet light, after the initial compliance dates for IDSE or Stage 2 compliance monitoring must comply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Monitoring plan. </w:t>
      </w:r>
      <w:r>
        <w:rPr>
          <w:rFonts w:ascii="Times New Roman" w:hAnsi="Times New Roman"/>
          <w:b w:val="false"/>
          <w:i w:val="false"/>
          <w:color w:val="000000"/>
          <w:sz w:val="22"/>
        </w:rPr>
        <w:t>All systems must develop and implement a DBP monitoring plan that shall be kept on file at the system for review by the department and the public. The monitoring plan must contain the monitoring locations, monitoring dates, and compliance calculation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system has an approved IDSE-standard monitoring plan (IDSE-SMP), that report contains all of the plan elements and meets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system does not have an approved IDSE-SMP and does not have sufficient monitoring locations from its initial DBP sampling plan, it must identify additional locations by alternating selection of locations representing high TTHM levels and high HAA5 levels until the required number of compliance monitoring locations have been identified. The system must provide the rationale for identifying locations as having high levels of TTHM or HAA5.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system does not have an approved IDSE-SMP and has more monitoring locations from its initial Stage 1 DBP sampling plan than the number of locations required under the Stage 2 compliance monitoring, it must identify which locations it will use for compliance monitoring by alternating selection of locations representing high TTHM levels and high HAA5 levels until the required number of compliance monitoring locations have been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plans must be reviewed by the system every three years and updated as system conditions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system may revise its monitoring plan to reflect changes in treatment, distribution system operations, and layout (including new service areas), to reflect other factors that may affect TTHM or HAA5 formation, or for department-approved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system must consult with the department regarding the need for plan changes and the appropriateness of changes. A system must replace existing compliance monitoring locations that have the lowest LRAA with new locations that reflect the current distribution system locations with expected high TTHM or HAA5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modifications in a system’s monitoring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are also required to maintain the disinfectant and MRDL elements of the Stage 1 monitoring plan pursuant to </w:t>
      </w:r>
      <w:hyperlink r:id="rId307">
        <w:r>
          <w:rPr>
            <w:rStyle w:val="Hyperlink"/>
            <w:rFonts w:ascii="Times New Roman" w:hAnsi="Times New Roman"/>
            <w:b w:val="false"/>
            <w:i w:val="false"/>
            <w:color w:val="000000"/>
            <w:sz w:val="22"/>
          </w:rPr>
          <w:t>41.6(1)</w:t>
        </w:r>
      </w:hyperlink>
      <w:r>
        <w:rPr>
          <w:rFonts w:ascii="Times New Roman" w:hAnsi="Times New Roman"/>
          <w:b w:val="false"/>
          <w:i/>
          <w:color w:val="000000"/>
          <w:sz w:val="22"/>
        </w:rPr>
        <w:t>“c”</w:t>
      </w:r>
      <w:r>
        <w:rPr>
          <w:rFonts w:ascii="Times New Roman" w:hAnsi="Times New Roman"/>
          <w:b w:val="false"/>
          <w:i w:val="false"/>
          <w:color w:val="000000"/>
          <w:sz w:val="22"/>
        </w:rPr>
        <w:t xml:space="preserve">(1)“6” and </w:t>
      </w:r>
      <w:hyperlink r:id="rId308">
        <w:r>
          <w:rPr>
            <w:rStyle w:val="Hyperlink"/>
            <w:rFonts w:ascii="Times New Roman" w:hAnsi="Times New Roman"/>
            <w:b w:val="false"/>
            <w:i w:val="false"/>
            <w:color w:val="000000"/>
            <w:sz w:val="22"/>
          </w:rPr>
          <w:t>567—paragraph 43.6(1)</w:t>
        </w:r>
      </w:hyperlink>
      <w:r>
        <w:rPr>
          <w:rFonts w:ascii="Times New Roman" w:hAnsi="Times New Roman"/>
          <w:b w:val="false"/>
          <w:i/>
          <w:color w:val="000000"/>
          <w:sz w:val="22"/>
        </w:rPr>
        <w:t>“c”</w:t>
      </w:r>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systems are required to have a valid DBP monitoring plan prior to the start of compliance monitoring in </w:t>
      </w:r>
      <w:hyperlink r:id="rId309">
        <w:r>
          <w:rPr>
            <w:rStyle w:val="Hyperlink"/>
            <w:rFonts w:ascii="Times New Roman" w:hAnsi="Times New Roman"/>
            <w:b w:val="false"/>
            <w:i w:val="false"/>
            <w:color w:val="000000"/>
            <w:sz w:val="22"/>
          </w:rPr>
          <w:t>41.6(3)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Routine monitoring. </w:t>
      </w:r>
      <w:r>
        <w:rPr>
          <w:rFonts w:ascii="Times New Roman" w:hAnsi="Times New Roman"/>
          <w:b w:val="false"/>
          <w:i w:val="false"/>
          <w:color w:val="000000"/>
          <w:sz w:val="22"/>
        </w:rPr>
        <w:t xml:space="preserve">Systems are required to start monitoring at the locations specified in the approved DBP monitoring plan and on the schedule specified in </w:t>
      </w:r>
      <w:hyperlink r:id="rId310">
        <w:r>
          <w:rPr>
            <w:rStyle w:val="Hyperlink"/>
            <w:rFonts w:ascii="Times New Roman" w:hAnsi="Times New Roman"/>
            <w:b w:val="false"/>
            <w:i w:val="false"/>
            <w:color w:val="000000"/>
            <w:sz w:val="22"/>
          </w:rPr>
          <w:t>41.6(3)</w:t>
        </w:r>
      </w:hyperlink>
      <w:r>
        <w:rPr>
          <w:rFonts w:ascii="Times New Roman" w:hAnsi="Times New Roman"/>
          <w:b w:val="false"/>
          <w:i/>
          <w:color w:val="000000"/>
          <w:sz w:val="22"/>
        </w:rPr>
        <w:t>“a”</w:t>
      </w:r>
      <w:r>
        <w:rPr>
          <w:rFonts w:ascii="Times New Roman" w:hAnsi="Times New Roman"/>
          <w:b w:val="false"/>
          <w:i w:val="false"/>
          <w:color w:val="000000"/>
          <w:sz w:val="22"/>
        </w:rPr>
        <w:t>(1). Each system must monitor the DBPs at the minimum number of locations identified in the table below.</w:t>
      </w:r>
    </w:p>
    <w:p>
      <w:pPr>
        <w:spacing w:before="60" w:after="0"/>
        <w:ind w:left="120"/>
        <w:jc w:val="center"/>
      </w:pPr>
      <w:r>
        <w:rPr>
          <w:rFonts w:ascii="Times New Roman" w:hAnsi="Times New Roman"/>
          <w:b/>
          <w:i w:val="false"/>
          <w:color w:val="000000"/>
          <w:sz w:val="22"/>
        </w:rPr>
        <w:t>Routine Monitoring for DBPs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04"/>
        <w:gridCol w:w="3456"/>
        <w:gridCol w:w="2304"/>
        <w:gridCol w:w="3456"/>
      </w:tblGrid>
      <w:tr>
        <w:trPr>
          <w:trHeight w:val="615" w:hRule="atLeast"/>
        </w:trPr>
        <w:tc>
          <w:tcPr>
            <w:tcW w:w="2304"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Source water type</w:t>
            </w:r>
          </w:p>
        </w:tc>
        <w:tc>
          <w:tcPr>
            <w:tcW w:w="3456"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Population size category</w:t>
            </w:r>
          </w:p>
        </w:tc>
        <w:tc>
          <w:tcPr>
            <w:tcW w:w="2304"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Monitoring frequency</w:t>
            </w:r>
          </w:p>
        </w:tc>
        <w:tc>
          <w:tcPr>
            <w:tcW w:w="3456"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Total number of distribution system monitoring location sites per monitoring period</w:t>
            </w:r>
          </w:p>
        </w:tc>
      </w:tr>
      <w:tr>
        <w:trPr>
          <w:trHeight w:val="240" w:hRule="atLeast"/>
        </w:trPr>
        <w:tc>
          <w:tcPr>
            <w:tcW w:w="230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SW/IGW</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&lt;500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year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0" w:type="auto"/>
            <w:vMerge/>
            <w:tcBorders>
              <w:top w:val="nil"/>
              <w:bottom w:val="single" w:color="000000" w:sz="8"/>
              <w:right w:val="single" w:color="000000" w:sz="8"/>
            </w:tcBorders>
          </w:tcP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500-3,300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quarter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0" w:type="auto"/>
            <w:vMerge/>
            <w:tcBorders>
              <w:top w:val="nil"/>
              <w:bottom w:val="single" w:color="000000" w:sz="8"/>
              <w:right w:val="single" w:color="000000" w:sz="8"/>
            </w:tcBorders>
          </w:tcP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3,301-9,999</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quarter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0" w:type="auto"/>
            <w:vMerge/>
            <w:tcBorders>
              <w:top w:val="nil"/>
              <w:bottom w:val="single" w:color="000000" w:sz="8"/>
              <w:right w:val="single" w:color="000000" w:sz="8"/>
            </w:tcBorders>
          </w:tcP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10,000-49,999</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quarter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r>
      <w:tr>
        <w:trPr>
          <w:trHeight w:val="225" w:hRule="atLeast"/>
        </w:trPr>
        <w:tc>
          <w:tcPr>
            <w:tcW w:w="0" w:type="auto"/>
            <w:vMerge/>
            <w:tcBorders>
              <w:top w:val="nil"/>
              <w:bottom w:val="single" w:color="000000" w:sz="8"/>
              <w:right w:val="single" w:color="000000" w:sz="8"/>
            </w:tcBorders>
          </w:tcP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50,000-249,999</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quarter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r>
      <w:tr>
        <w:trPr>
          <w:trHeight w:val="225" w:hRule="atLeast"/>
        </w:trPr>
        <w:tc>
          <w:tcPr>
            <w:tcW w:w="0" w:type="auto"/>
            <w:vMerge/>
            <w:tcBorders>
              <w:top w:val="nil"/>
              <w:bottom w:val="single" w:color="000000" w:sz="8"/>
              <w:right w:val="single" w:color="000000" w:sz="8"/>
            </w:tcBorders>
          </w:tcP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250,000-999,999</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quarter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25" w:hRule="atLeast"/>
        </w:trPr>
        <w:tc>
          <w:tcPr>
            <w:tcW w:w="230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GW</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&lt;500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year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0" w:type="auto"/>
            <w:vMerge/>
            <w:tcBorders>
              <w:top w:val="nil"/>
              <w:bottom w:val="single" w:color="000000" w:sz="8"/>
              <w:right w:val="single" w:color="000000" w:sz="8"/>
            </w:tcBorders>
          </w:tcP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500-9,999</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year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0" w:type="auto"/>
            <w:vMerge/>
            <w:tcBorders>
              <w:top w:val="nil"/>
              <w:bottom w:val="single" w:color="000000" w:sz="8"/>
              <w:right w:val="single" w:color="000000" w:sz="8"/>
            </w:tcBorders>
          </w:tcP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10,000-99,999</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quarter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r>
      <w:tr>
        <w:trPr>
          <w:trHeight w:val="225" w:hRule="atLeast"/>
        </w:trPr>
        <w:tc>
          <w:tcPr>
            <w:tcW w:w="0" w:type="auto"/>
            <w:vMerge/>
            <w:tcBorders>
              <w:top w:val="nil"/>
              <w:bottom w:val="single" w:color="000000" w:sz="8"/>
              <w:right w:val="single" w:color="000000" w:sz="8"/>
            </w:tcBorders>
          </w:tcP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100,000-499,999</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quarter</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systems must monitor during the month of highest DBP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on a quarterly monitoring frequency must collect samples for TTHM and HAA5 every 90 days at each monitoring location, except that SW/IGW systems serving 500 to 3,300 people may collect at one location as provided in </w:t>
      </w:r>
      <w:hyperlink r:id="rId311">
        <w:r>
          <w:rPr>
            <w:rStyle w:val="Hyperlink"/>
            <w:rFonts w:ascii="Times New Roman" w:hAnsi="Times New Roman"/>
            <w:b w:val="false"/>
            <w:i w:val="false"/>
            <w:color w:val="000000"/>
            <w:sz w:val="22"/>
          </w:rPr>
          <w:t>41.6(3)</w:t>
        </w:r>
      </w:hyperlink>
      <w:r>
        <w:rPr>
          <w:rFonts w:ascii="Times New Roman" w:hAnsi="Times New Roman"/>
          <w:b w:val="false"/>
          <w:i/>
          <w:color w:val="000000"/>
          <w:sz w:val="22"/>
        </w:rPr>
        <w:t>“c”</w:t>
      </w:r>
      <w:r>
        <w:rPr>
          <w:rFonts w:ascii="Times New Roman" w:hAnsi="Times New Roman"/>
          <w:b w:val="false"/>
          <w:i w:val="false"/>
          <w:color w:val="000000"/>
          <w:sz w:val="22"/>
        </w:rPr>
        <w:t>(3). Each sample collected at each location must be analyzed for both TTHM and HAA5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on an annual monitoring frequency and SW/IGW systems serving 500 to 3,300 people are required to collect TTHM and HAA5 samples at the locations with the highest TTHM and HAA5 concentrations, respectively. Each sample must be analyzed for both TTHM and HAA5 components. Sample collection is required from only one location if the highest TTHM concentration and the highest HAA5 concentration occur at the same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Analytical methods. Systems must use an approved method in </w:t>
      </w:r>
      <w:hyperlink r:id="rId312">
        <w:r>
          <w:rPr>
            <w:rStyle w:val="Hyperlink"/>
            <w:rFonts w:ascii="Times New Roman" w:hAnsi="Times New Roman"/>
            <w:b w:val="false"/>
            <w:i w:val="false"/>
            <w:color w:val="000000"/>
            <w:sz w:val="22"/>
          </w:rPr>
          <w:t>41.6(1)</w:t>
        </w:r>
      </w:hyperlink>
      <w:r>
        <w:rPr>
          <w:rFonts w:ascii="Times New Roman" w:hAnsi="Times New Roman"/>
          <w:b w:val="false"/>
          <w:i/>
          <w:color w:val="000000"/>
          <w:sz w:val="22"/>
        </w:rPr>
        <w:t>“d”</w:t>
      </w:r>
      <w:r>
        <w:rPr>
          <w:rFonts w:ascii="Times New Roman" w:hAnsi="Times New Roman"/>
          <w:b w:val="false"/>
          <w:i w:val="false"/>
          <w:color w:val="000000"/>
          <w:sz w:val="22"/>
        </w:rPr>
        <w:t xml:space="preserve">(2) for TTHM and HAA5 analyses pursuant to this subrule. DBP analyses must be conducted by laboratories certified in accordance with </w:t>
      </w:r>
      <w:hyperlink r:id="rId313">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Reduced monitoring. </w:t>
      </w:r>
      <w:r>
        <w:rPr>
          <w:rFonts w:ascii="Times New Roman" w:hAnsi="Times New Roman"/>
          <w:b w:val="false"/>
          <w:i w:val="false"/>
          <w:color w:val="000000"/>
          <w:sz w:val="22"/>
        </w:rPr>
        <w:t>A system may reduce monitoring to the level specified in the Reduced Monitoring for DBPs table below anytime the LRAA is less than or equal to half the MCL for TTHM and HAA5 at all monitoring locations (i.e., less than or equal to 0.040 mg/L for TTHM and 0.030 mg/L for HAA5). Only data collected under this rule may be used to qualify for reduced monitoring. </w:t>
      </w:r>
    </w:p>
    <w:p>
      <w:pPr>
        <w:spacing w:before="60" w:after="0"/>
        <w:ind w:left="120"/>
        <w:jc w:val="center"/>
      </w:pPr>
      <w:r>
        <w:rPr>
          <w:rFonts w:ascii="Times New Roman" w:hAnsi="Times New Roman"/>
          <w:b/>
          <w:i w:val="false"/>
          <w:color w:val="000000"/>
          <w:sz w:val="22"/>
        </w:rPr>
        <w:t>Reduced Monitoring for DBPs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44"/>
        <w:gridCol w:w="1958"/>
        <w:gridCol w:w="1958"/>
        <w:gridCol w:w="5760"/>
      </w:tblGrid>
      <w:tr>
        <w:trPr>
          <w:trHeight w:val="465" w:hRule="atLeast"/>
        </w:trPr>
        <w:tc>
          <w:tcPr>
            <w:tcW w:w="1844"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Source water type</w:t>
            </w:r>
          </w:p>
        </w:tc>
        <w:tc>
          <w:tcPr>
            <w:tcW w:w="1958"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Population size category</w:t>
            </w:r>
          </w:p>
        </w:tc>
        <w:tc>
          <w:tcPr>
            <w:tcW w:w="1958"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Monitoring frequency</w:t>
            </w:r>
            <w:r>
              <w:rPr>
                <w:rFonts w:ascii="Times New Roman" w:hAnsi="Times New Roman"/>
                <w:b/>
                <w:i w:val="false"/>
                <w:color w:val="000000"/>
                <w:sz w:val="18"/>
                <w:vertAlign w:val="superscript"/>
              </w:rPr>
              <w:t>1</w:t>
            </w:r>
          </w:p>
        </w:tc>
        <w:tc>
          <w:tcPr>
            <w:tcW w:w="576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Distribution system monitoring location sites per monitoring period</w:t>
            </w:r>
            <w:r>
              <w:rPr>
                <w:rFonts w:ascii="Times New Roman" w:hAnsi="Times New Roman"/>
                <w:b/>
                <w:i w:val="false"/>
                <w:color w:val="000000"/>
                <w:sz w:val="18"/>
                <w:vertAlign w:val="superscript"/>
              </w:rPr>
              <w:t>2</w:t>
            </w:r>
          </w:p>
        </w:tc>
      </w:tr>
      <w:tr>
        <w:trPr>
          <w:trHeight w:val="240" w:hRule="atLeast"/>
        </w:trPr>
        <w:tc>
          <w:tcPr>
            <w:tcW w:w="184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 SW/IGW</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&lt;500</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year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Monitoring may not be reduced</w:t>
            </w:r>
          </w:p>
        </w:tc>
      </w:tr>
      <w:tr>
        <w:trPr>
          <w:trHeight w:val="585" w:hRule="atLeast"/>
        </w:trPr>
        <w:tc>
          <w:tcPr>
            <w:tcW w:w="0" w:type="auto"/>
            <w:vMerge/>
            <w:tcBorders>
              <w:top w:val="nil"/>
              <w:bottom w:val="single" w:color="000000" w:sz="8"/>
              <w:right w:val="single" w:color="000000" w:sz="8"/>
            </w:tcBorders>
          </w:tcP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500-3,300</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year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sample per year at same location if the highest TTHM and HAA5 measurements occurred at the same location and in the same quarter, analyzed for both TTHM and HAA5</w:t>
            </w:r>
          </w:p>
        </w:tc>
      </w:tr>
      <w:tr>
        <w:trPr>
          <w:trHeight w:val="585" w:hRule="atLeast"/>
        </w:trPr>
        <w:tc>
          <w:tcPr>
            <w:tcW w:w="0" w:type="auto"/>
            <w:vMerge/>
            <w:tcBorders>
              <w:top w:val="nil"/>
              <w:bottom w:val="single" w:color="000000" w:sz="8"/>
              <w:right w:val="single" w:color="000000" w:sz="8"/>
            </w:tcBorders>
          </w:tcP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3,301-9,999</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year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samples: 1 at location and during quarter with the highest TTHM single measurement; 1 at location and during quarter with the highest HAA5 single measurement</w:t>
            </w:r>
          </w:p>
        </w:tc>
      </w:tr>
      <w:tr>
        <w:trPr>
          <w:trHeight w:val="405" w:hRule="atLeast"/>
        </w:trPr>
        <w:tc>
          <w:tcPr>
            <w:tcW w:w="0" w:type="auto"/>
            <w:vMerge/>
            <w:tcBorders>
              <w:top w:val="nil"/>
              <w:bottom w:val="single" w:color="000000" w:sz="8"/>
              <w:right w:val="single" w:color="000000" w:sz="8"/>
            </w:tcBorders>
          </w:tcP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10,000-49,999</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quarter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samples: 1 at highest TTHM LRAA location; 1 at highest HAA5 LRAA location</w:t>
            </w:r>
          </w:p>
        </w:tc>
      </w:tr>
      <w:tr>
        <w:trPr>
          <w:trHeight w:val="405" w:hRule="atLeast"/>
        </w:trPr>
        <w:tc>
          <w:tcPr>
            <w:tcW w:w="0" w:type="auto"/>
            <w:vMerge/>
            <w:tcBorders>
              <w:top w:val="nil"/>
              <w:bottom w:val="single" w:color="000000" w:sz="8"/>
              <w:right w:val="single" w:color="000000" w:sz="8"/>
            </w:tcBorders>
          </w:tcP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50,000-249,999</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quarter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samples: 1 sample each at highest two TTHM LRAA locations; 1 sample each at highest two HAA5 LRAA locations</w:t>
            </w:r>
          </w:p>
        </w:tc>
      </w:tr>
      <w:tr>
        <w:trPr>
          <w:trHeight w:val="405" w:hRule="atLeast"/>
        </w:trPr>
        <w:tc>
          <w:tcPr>
            <w:tcW w:w="0" w:type="auto"/>
            <w:vMerge/>
            <w:tcBorders>
              <w:top w:val="nil"/>
              <w:bottom w:val="single" w:color="000000" w:sz="8"/>
              <w:right w:val="single" w:color="000000" w:sz="8"/>
            </w:tcBorders>
          </w:tcP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250,000-999,999</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quarter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samples: 1 sample each at highest 3 TTHM LRAA locations; 1 sample each at highest 3 HAA5 LRAA locations</w:t>
            </w:r>
          </w:p>
        </w:tc>
      </w:tr>
      <w:tr>
        <w:trPr>
          <w:trHeight w:val="585" w:hRule="atLeast"/>
        </w:trPr>
        <w:tc>
          <w:tcPr>
            <w:tcW w:w="184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 GW</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&lt;500</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every third year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sample at same location if the highest TTHM and HAA5 measurements occurred at the same location and in the same quarter, analyzed for both TTHM and HAA5</w:t>
            </w:r>
          </w:p>
        </w:tc>
      </w:tr>
      <w:tr>
        <w:trPr>
          <w:trHeight w:val="585" w:hRule="atLeast"/>
        </w:trPr>
        <w:tc>
          <w:tcPr>
            <w:tcW w:w="0" w:type="auto"/>
            <w:vMerge/>
            <w:tcBorders>
              <w:top w:val="nil"/>
              <w:bottom w:val="single" w:color="000000" w:sz="8"/>
              <w:right w:val="single" w:color="000000" w:sz="8"/>
            </w:tcBorders>
          </w:tcP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500-9,999</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year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sample per year at same location if the highest TTHM and HAA5 measurements occurred at the same location and in the same quarter, analyzed for both TTHM and HAA5</w:t>
            </w:r>
          </w:p>
        </w:tc>
      </w:tr>
      <w:tr>
        <w:trPr>
          <w:trHeight w:val="585" w:hRule="atLeast"/>
        </w:trPr>
        <w:tc>
          <w:tcPr>
            <w:tcW w:w="0" w:type="auto"/>
            <w:vMerge/>
            <w:tcBorders>
              <w:top w:val="nil"/>
              <w:bottom w:val="single" w:color="000000" w:sz="8"/>
              <w:right w:val="single" w:color="000000" w:sz="8"/>
            </w:tcBorders>
          </w:tcP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10,000-99,999</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year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samples: 1 at location and during quarter with the highest TTHM single measurement; 1 at location and during quarter with the highest HAA5 single measurement</w:t>
            </w:r>
          </w:p>
        </w:tc>
      </w:tr>
      <w:tr>
        <w:trPr>
          <w:trHeight w:val="405" w:hRule="atLeast"/>
        </w:trPr>
        <w:tc>
          <w:tcPr>
            <w:tcW w:w="0" w:type="auto"/>
            <w:vMerge/>
            <w:tcBorders>
              <w:top w:val="nil"/>
              <w:bottom w:val="single" w:color="000000" w:sz="8"/>
              <w:right w:val="single" w:color="000000" w:sz="8"/>
            </w:tcBorders>
          </w:tcP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100,000-499,999</w:t>
            </w:r>
          </w:p>
        </w:tc>
        <w:tc>
          <w:tcPr>
            <w:tcW w:w="19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 quarter</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samples: 1 at the highest TTHM LRAA location; 1 at the highest HAA5 LRAA location</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Systems on a quarterly monitoring frequency must collect the sample(s) every 90 days.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Each sample must be analyzed for all TTHM and HAA5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source water TOC requirement for SW/IGW systems. For SW/IGW systems, the source water RAA TOC level, before any treatment, must be less than or equal to 4.0 mg/L at each treatment plant treating SW or IGW, based on the monitoring conducted under </w:t>
      </w:r>
      <w:hyperlink r:id="rId314">
        <w:r>
          <w:rPr>
            <w:rStyle w:val="Hyperlink"/>
            <w:rFonts w:ascii="Times New Roman" w:hAnsi="Times New Roman"/>
            <w:b w:val="false"/>
            <w:i w:val="false"/>
            <w:color w:val="000000"/>
            <w:sz w:val="22"/>
          </w:rPr>
          <w:t>567—paragraph 43.6(2)</w:t>
        </w:r>
        <w:r>
          <w:rPr>
            <w:rFonts w:ascii="Times New Roman" w:hAnsi="Times New Roman"/>
            <w:b w:val="false"/>
            <w:i/>
            <w:color w:val="000000"/>
            <w:sz w:val="22"/>
          </w:rPr>
          <w:t>“b,”</w:t>
        </w:r>
      </w:hyperlink>
      <w:r>
        <w:rPr>
          <w:rFonts w:ascii="Times New Roman" w:hAnsi="Times New Roman"/>
          <w:b w:val="false"/>
          <w:i w:val="false"/>
          <w:color w:val="000000"/>
          <w:sz w:val="22"/>
        </w:rPr>
        <w:t xml:space="preserve"> in order to qualify for reduced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Continued reduced monitoring frequency. Systems may remain on a reduced monitoring frequency as long as they meet the following criteria. For SW/IGW systems, the source water annual average TOC level requirement in </w:t>
      </w:r>
      <w:hyperlink r:id="rId315">
        <w:r>
          <w:rPr>
            <w:rStyle w:val="Hyperlink"/>
            <w:rFonts w:ascii="Times New Roman" w:hAnsi="Times New Roman"/>
            <w:b w:val="false"/>
            <w:i w:val="false"/>
            <w:color w:val="000000"/>
            <w:sz w:val="22"/>
          </w:rPr>
          <w:t>41.6(3)</w:t>
        </w:r>
      </w:hyperlink>
      <w:r>
        <w:rPr>
          <w:rFonts w:ascii="Times New Roman" w:hAnsi="Times New Roman"/>
          <w:b w:val="false"/>
          <w:i/>
          <w:color w:val="000000"/>
          <w:sz w:val="22"/>
        </w:rPr>
        <w:t>“d”</w:t>
      </w:r>
      <w:r>
        <w:rPr>
          <w:rFonts w:ascii="Times New Roman" w:hAnsi="Times New Roman"/>
          <w:b w:val="false"/>
          <w:i w:val="false"/>
          <w:color w:val="000000"/>
          <w:sz w:val="22"/>
        </w:rPr>
        <w:t>(1) must continue to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system with a quarterly reduced monitoring frequency may remain on reduced monitoring as long as the TTHM LRAA is less than or equal to 0.040 mg/L and the HAA5 LRAA is less than or equal to 0.030 mg/L at each monitoring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system with an annual or triennial monitoring frequency may remain on reduced monitoring as long as each TTHM sample is less than or equal to 0.060 mg/L and each HAA5 sample is less than or equal to 0.045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Return to routine monitoring frequency. Systems that cannot meet the requirements for reduced monitoring must resume routine monitoring according to </w:t>
      </w:r>
      <w:hyperlink r:id="rId316">
        <w:r>
          <w:rPr>
            <w:rStyle w:val="Hyperlink"/>
            <w:rFonts w:ascii="Times New Roman" w:hAnsi="Times New Roman"/>
            <w:b w:val="false"/>
            <w:i w:val="false"/>
            <w:color w:val="000000"/>
            <w:sz w:val="22"/>
          </w:rPr>
          <w:t>41.6(3)</w:t>
        </w:r>
        <w:r>
          <w:rPr>
            <w:rFonts w:ascii="Times New Roman" w:hAnsi="Times New Roman"/>
            <w:b w:val="false"/>
            <w:i/>
            <w:color w:val="000000"/>
            <w:sz w:val="22"/>
          </w:rPr>
          <w:t>“c”</w:t>
        </w:r>
      </w:hyperlink>
      <w:r>
        <w:rPr>
          <w:rFonts w:ascii="Times New Roman" w:hAnsi="Times New Roman"/>
          <w:b w:val="false"/>
          <w:i w:val="false"/>
          <w:color w:val="000000"/>
          <w:sz w:val="22"/>
        </w:rPr>
        <w:t xml:space="preserve"> or begin increased monitoring according to </w:t>
      </w:r>
      <w:hyperlink r:id="rId317">
        <w:r>
          <w:rPr>
            <w:rStyle w:val="Hyperlink"/>
            <w:rFonts w:ascii="Times New Roman" w:hAnsi="Times New Roman"/>
            <w:b w:val="false"/>
            <w:i w:val="false"/>
            <w:color w:val="000000"/>
            <w:sz w:val="22"/>
          </w:rPr>
          <w:t>41.6(3)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system with a quarterly reduced monitoring frequency must resume routine monitoring if the LRAA from any location exceeds either 0.040 mg/L for TTHM or 0.030 mg/L for HAA5.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system with an annual or triennial monitoring frequency must resume routine monitoring if the annual sample at any location exceeds either 0.060 mg/L for TTHM or 0.045 mg/L for HAA5.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SW/IGW system must resume routine monitoring if the RAA source water TOC level, prior to any treatment, is more than 4.0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addition, the department may require any system to resume routine monitoring at the department’s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Remaining on reduced monitoring from Stage 1 to Stage 2 transition. A system may remain on reduced monitoring after the dates in </w:t>
      </w:r>
      <w:hyperlink r:id="rId318">
        <w:r>
          <w:rPr>
            <w:rStyle w:val="Hyperlink"/>
            <w:rFonts w:ascii="Times New Roman" w:hAnsi="Times New Roman"/>
            <w:b w:val="false"/>
            <w:i w:val="false"/>
            <w:color w:val="000000"/>
            <w:sz w:val="22"/>
          </w:rPr>
          <w:t>41.6(3)</w:t>
        </w:r>
      </w:hyperlink>
      <w:r>
        <w:rPr>
          <w:rFonts w:ascii="Times New Roman" w:hAnsi="Times New Roman"/>
          <w:b w:val="false"/>
          <w:i/>
          <w:color w:val="000000"/>
          <w:sz w:val="22"/>
        </w:rPr>
        <w:t>“a”</w:t>
      </w:r>
      <w:r>
        <w:rPr>
          <w:rFonts w:ascii="Times New Roman" w:hAnsi="Times New Roman"/>
          <w:b w:val="false"/>
          <w:i w:val="false"/>
          <w:color w:val="000000"/>
          <w:sz w:val="22"/>
        </w:rPr>
        <w:t>(1) if all of the following three criteria are met. If the three criteria are not met, the system must return to routine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the IDSE, the system qualified for a 40/30 certification or received a very small system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meets the reduced monitoring criteria of this paragraph;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has not changed or added locations for DBP monitoring from those used under the Stage 1 requirements in </w:t>
      </w:r>
      <w:hyperlink r:id="rId319">
        <w:r>
          <w:rPr>
            <w:rStyle w:val="Hyperlink"/>
            <w:rFonts w:ascii="Times New Roman" w:hAnsi="Times New Roman"/>
            <w:b w:val="false"/>
            <w:i w:val="false"/>
            <w:color w:val="000000"/>
            <w:sz w:val="22"/>
          </w:rPr>
          <w:t>41.6(1)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Increased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that are monitoring annually or triennially must increase their monitoring frequency to quarterly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 result exceeds the TTHM or HAA5 MCL. A system that is monitoring annually or triennially must increase monitoring to quarterly at all locations if a single TTHM sample is greater than 0.080 mg/L or a single HAA5 sample is greater than 0.060 mg/L. Quarterly samples must be analyzed for both TTHM and HAA5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with a TTHM or HAA5 MCL violation. A system that is monitoring annually or triennially that is in violation of the TTHM or HAA5 MCL, based upon the LRAA, must increase monitoring to quarterly at all locations. Quarterly samples must be analyzed for both TTHM and HAA5 components. Calculate the LRAA using either four consecutive quarters of monitoring or using fewer quarters of monitoring if the MCL would be exceeded regardless of the monitoring results of subsequent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on a quarterly monitoring frequency during Stage 1 to Stage 2 transition. A system that was on increased monitoring under Stage 1 must remain on increased monitoring until it qualifies for a return to routine monitoring under </w:t>
      </w:r>
      <w:hyperlink r:id="rId320">
        <w:r>
          <w:rPr>
            <w:rStyle w:val="Hyperlink"/>
            <w:rFonts w:ascii="Times New Roman" w:hAnsi="Times New Roman"/>
            <w:b w:val="false"/>
            <w:i w:val="false"/>
            <w:color w:val="000000"/>
            <w:sz w:val="22"/>
          </w:rPr>
          <w:t>41.6(3)</w:t>
        </w:r>
      </w:hyperlink>
      <w:r>
        <w:rPr>
          <w:rFonts w:ascii="Times New Roman" w:hAnsi="Times New Roman"/>
          <w:b w:val="false"/>
          <w:i/>
          <w:color w:val="000000"/>
          <w:sz w:val="22"/>
        </w:rPr>
        <w:t>“e”</w:t>
      </w:r>
      <w:r>
        <w:rPr>
          <w:rFonts w:ascii="Times New Roman" w:hAnsi="Times New Roman"/>
          <w:b w:val="false"/>
          <w:i w:val="false"/>
          <w:color w:val="000000"/>
          <w:sz w:val="22"/>
        </w:rPr>
        <w:t xml:space="preserve">(3). The system must conduct the increased monitoring at the monitoring locations in the monitoring plan developed under </w:t>
      </w:r>
      <w:hyperlink r:id="rId321">
        <w:r>
          <w:rPr>
            <w:rStyle w:val="Hyperlink"/>
            <w:rFonts w:ascii="Times New Roman" w:hAnsi="Times New Roman"/>
            <w:b w:val="false"/>
            <w:i w:val="false"/>
            <w:color w:val="000000"/>
            <w:sz w:val="22"/>
          </w:rPr>
          <w:t>41.6(3)</w:t>
        </w:r>
      </w:hyperlink>
      <w:r>
        <w:rPr>
          <w:rFonts w:ascii="Times New Roman" w:hAnsi="Times New Roman"/>
          <w:b w:val="false"/>
          <w:i/>
          <w:color w:val="000000"/>
          <w:sz w:val="22"/>
        </w:rPr>
        <w:t>“b,”</w:t>
      </w:r>
      <w:r>
        <w:rPr>
          <w:rFonts w:ascii="Times New Roman" w:hAnsi="Times New Roman"/>
          <w:b w:val="false"/>
          <w:i w:val="false"/>
          <w:color w:val="000000"/>
          <w:sz w:val="22"/>
        </w:rPr>
        <w:t xml:space="preserve"> beginning on the date identified in </w:t>
      </w:r>
      <w:hyperlink r:id="rId322">
        <w:r>
          <w:rPr>
            <w:rStyle w:val="Hyperlink"/>
            <w:rFonts w:ascii="Times New Roman" w:hAnsi="Times New Roman"/>
            <w:b w:val="false"/>
            <w:i w:val="false"/>
            <w:color w:val="000000"/>
            <w:sz w:val="22"/>
          </w:rPr>
          <w:t>41.6(3)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Return to routine monitoring frequency. A system may return to routine monitoring once it has conducted increased monitoring for at least four consecutive quarters and the LRAA for every monitoring location is less than or equal to 0.060 mg/L for TTHM and less than or equal to 0.045 mg/L for HAA5. A system may not have any monitoring violations during the most recent four consecutive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Operational evaluation level (OEL).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TTHM OEL. The TTHM OEL is determined by the sum of the two previous quarters’ TTHM results plus twice the current quarter’s TTHM result, divided by four to determine an average. If that average exceeds 0.080 mg/L, a system has exceeded the TTHM OEL.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HAA5 OEL. The HAA5 OEL is determined by the sum of the two previous quarters’ HAA5 results plus twice the current quarter’s HAA5 result, divided by four to determine an average. If that average exceeds 0.060 mg/L, a system has exceeded the HAA5 OEL.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OEL compliance. A system must calculate the OEL at any monitoring location that has a single analytical result in excess of the TTHM or HAA5 MCL in the analytical data used to calculate the current 12-month LRAA. A system must determine compliance with the OEL every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OEL exceedance requirements. A system must conduct an operational evaluation and submit a written evaluation report to the department within 90 days after the system is notified of the analytical result that caused it to exceed the OEL. The report must be made available to the public upon request. The report must include an evaluation of system treatment and distribution operational practices, including storage tank operations, excess storage capacity, distribution system flushing, changes in source water or source water quality, and treatment changes or problems that may contribute to DBP formation, and what steps could be considered to minimize future exceedances.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system may request that the department limit the scope of the evaluation if it is able to identify the cause of the OEL exceedance. The 90-day report submission deadline cannot be extended.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system must have written department approval to limit the scope of the evaluation. The approval must be kept with the completed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recordkeeping. </w:t>
      </w:r>
      <w:r>
        <w:rPr>
          <w:rFonts w:ascii="Times New Roman" w:hAnsi="Times New Roman"/>
          <w:b w:val="false"/>
          <w:i w:val="false"/>
          <w:color w:val="000000"/>
          <w:sz w:val="22"/>
        </w:rPr>
        <w:t xml:space="preserve">All systems required to comply with this rule must meet the reporting requirements of </w:t>
      </w:r>
      <w:hyperlink r:id="rId323">
        <w:r>
          <w:rPr>
            <w:rStyle w:val="Hyperlink"/>
            <w:rFonts w:ascii="Times New Roman" w:hAnsi="Times New Roman"/>
            <w:b w:val="false"/>
            <w:i w:val="false"/>
            <w:color w:val="000000"/>
            <w:sz w:val="22"/>
          </w:rPr>
          <w:t>567—paragraph 40.8(3)</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retain monitoring plans and analytical results as required by </w:t>
      </w:r>
      <w:hyperlink r:id="rId324">
        <w:r>
          <w:rPr>
            <w:rStyle w:val="Hyperlink"/>
            <w:rFonts w:ascii="Times New Roman" w:hAnsi="Times New Roman"/>
            <w:b w:val="false"/>
            <w:i w:val="false"/>
            <w:color w:val="000000"/>
            <w:sz w:val="22"/>
          </w:rPr>
          <w:t>567—subrule 40.9(8)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567—41.7</w:t>
      </w:r>
      <w:r>
        <w:rPr>
          <w:rFonts w:ascii="Times New Roman" w:hAnsi="Times New Roman"/>
          <w:b/>
          <w:i w:val="false"/>
          <w:color w:val="000000"/>
          <w:sz w:val="22"/>
        </w:rPr>
        <w:t xml:space="preserve">(455B) </w:t>
      </w:r>
      <w:r>
        <w:rPr>
          <w:rFonts w:ascii="Times New Roman" w:hAnsi="Times New Roman"/>
          <w:b/>
          <w:i w:val="false"/>
          <w:color w:val="000000"/>
          <w:sz w:val="22"/>
        </w:rPr>
        <w:t xml:space="preserve">Groundwater (GW) rule: sanitary survey, microbial source water monitoring, TT.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The requirements of this rule constitute national primary drinking water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applies to all PWSs that use GW, except for PWSs that combine all of their GW with SW or with IGW prior to treatment under </w:t>
      </w:r>
      <w:hyperlink r:id="rId325">
        <w:r>
          <w:rPr>
            <w:rStyle w:val="Hyperlink"/>
            <w:rFonts w:ascii="Times New Roman" w:hAnsi="Times New Roman"/>
            <w:b w:val="false"/>
            <w:i w:val="false"/>
            <w:color w:val="000000"/>
            <w:sz w:val="22"/>
          </w:rPr>
          <w:t>567—43.5</w:t>
        </w:r>
      </w:hyperlink>
      <w:r>
        <w:rPr>
          <w:rFonts w:ascii="Times New Roman" w:hAnsi="Times New Roman"/>
          <w:b w:val="false"/>
          <w:i w:val="false"/>
          <w:color w:val="000000"/>
          <w:sz w:val="22"/>
        </w:rPr>
        <w:t xml:space="preserve">(455B). For the purposes of this rule, “GW system” is defined as any PWS meeting this applicability statement, including consecutive systems receiving finished GW. For the purposes of this rule, “4-log virus treatment” means treatment that includes inactivation, removal, or a department-approved combination of inactivation and removal before or at the first customer of 4-log (99.99 percent) of viruses.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Systems subject to this rule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Sanitary survey requirements for all GW systems are described in </w:t>
      </w:r>
      <w:hyperlink r:id="rId326">
        <w:r>
          <w:rPr>
            <w:rStyle w:val="Hyperlink"/>
            <w:rFonts w:ascii="Times New Roman" w:hAnsi="Times New Roman"/>
            <w:b w:val="false"/>
            <w:i w:val="false"/>
            <w:color w:val="000000"/>
            <w:sz w:val="22"/>
          </w:rPr>
          <w:t>41.7(2)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Microbial source water monitoring requirements for GW systems that do not treat all of their GW to at least 99.99 percent (4-log) virus treatment, as described in </w:t>
      </w:r>
      <w:hyperlink r:id="rId327">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TT requirements that apply to GW systems either with fecally contaminated source waters, as determined by monitoring conducted under </w:t>
      </w:r>
      <w:hyperlink r:id="rId328">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 or with significant department-identified deficiencies. A GW system with fecally contaminated source water or with significant deficiencies subject to the TT requirements of this rule must implement one or more of the following corrective action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 all significant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an alternate source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Eliminate the source of contamination;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treatment that reliably achieves at least 4-log virus treatment before or at the first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GW systems that provide at least 4-log virus treatment must conduct compliance monitoring to demonstrate treatment effectiveness, as described in </w:t>
      </w:r>
      <w:hyperlink r:id="rId329">
        <w:r>
          <w:rPr>
            <w:rStyle w:val="Hyperlink"/>
            <w:rFonts w:ascii="Times New Roman" w:hAnsi="Times New Roman"/>
            <w:b w:val="false"/>
            <w:i w:val="false"/>
            <w:color w:val="000000"/>
            <w:sz w:val="22"/>
          </w:rPr>
          <w:t>41.7(4)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requested, GW systems must provide information that will enable the department to perform a hydrogeologic sensitivity assessment. For the purposes of this rule, “hydrogeologic sensitivity assessment” is a determination of whether GW systems obtain water from hydrogeologically sensitive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Analyses under this rule shall only be conducted by laboratories certified in accordance with </w:t>
      </w:r>
      <w:hyperlink r:id="rId330">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color w:val="000000"/>
          <w:sz w:val="22"/>
        </w:rPr>
        <w:t xml:space="preserve">Sanitary surveys for GW systems. </w:t>
      </w:r>
      <w:r>
        <w:rPr>
          <w:rFonts w:ascii="Times New Roman" w:hAnsi="Times New Roman"/>
          <w:b w:val="false"/>
          <w:i w:val="false"/>
          <w:color w:val="000000"/>
          <w:sz w:val="22"/>
        </w:rPr>
        <w:t xml:space="preserve">For the purposes of this rule, a “sanitary survey” conducted in accordance with </w:t>
      </w:r>
      <w:hyperlink r:id="rId331">
        <w:r>
          <w:rPr>
            <w:rStyle w:val="Hyperlink"/>
            <w:rFonts w:ascii="Times New Roman" w:hAnsi="Times New Roman"/>
            <w:b w:val="false"/>
            <w:i w:val="false"/>
            <w:color w:val="000000"/>
            <w:sz w:val="22"/>
          </w:rPr>
          <w:t>567—subrule 43.1(7)</w:t>
        </w:r>
      </w:hyperlink>
      <w:r>
        <w:rPr>
          <w:rFonts w:ascii="Times New Roman" w:hAnsi="Times New Roman"/>
          <w:b w:val="false"/>
          <w:i w:val="false"/>
          <w:color w:val="000000"/>
          <w:sz w:val="22"/>
        </w:rPr>
        <w:t>, includes, but is not limited to, an on-site review of the water sources (identifying sources of contamination using source water assessments or other relevant information), facilities, equipment, operation, maintenance, and monitoring compliance of a PWS.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41.7(3)</w:t>
      </w:r>
      <w:r>
        <w:rPr>
          <w:rFonts w:ascii="Times New Roman" w:hAnsi="Times New Roman"/>
          <w:b w:val="false"/>
          <w:i w:val="false"/>
          <w:color w:val="000000"/>
          <w:sz w:val="22"/>
        </w:rPr>
        <w:t> </w:t>
      </w:r>
      <w:r>
        <w:rPr>
          <w:rFonts w:ascii="Times New Roman" w:hAnsi="Times New Roman"/>
          <w:b w:val="false"/>
          <w:i/>
          <w:color w:val="000000"/>
          <w:sz w:val="22"/>
        </w:rPr>
        <w:t xml:space="preserve">GW source microbial monitoring and analytical methods. </w:t>
      </w:r>
      <w:r>
        <w:rPr>
          <w:rFonts w:ascii="Times New Roman" w:hAnsi="Times New Roman"/>
          <w:b w:val="false"/>
          <w:i w:val="false"/>
          <w:color w:val="000000"/>
          <w:sz w:val="22"/>
        </w:rPr>
        <w:t xml:space="preserve">A GW system that has a department-approved 4-log virus treatment process and is fulfilling the requirements of </w:t>
      </w:r>
      <w:hyperlink r:id="rId332">
        <w:r>
          <w:rPr>
            <w:rStyle w:val="Hyperlink"/>
            <w:rFonts w:ascii="Times New Roman" w:hAnsi="Times New Roman"/>
            <w:b w:val="false"/>
            <w:i w:val="false"/>
            <w:color w:val="000000"/>
            <w:sz w:val="22"/>
          </w:rPr>
          <w:t>41.7(4)</w:t>
        </w:r>
        <w:r>
          <w:rPr>
            <w:rFonts w:ascii="Times New Roman" w:hAnsi="Times New Roman"/>
            <w:b w:val="false"/>
            <w:i/>
            <w:color w:val="000000"/>
            <w:sz w:val="22"/>
          </w:rPr>
          <w:t>“b”</w:t>
        </w:r>
      </w:hyperlink>
      <w:r>
        <w:rPr>
          <w:rFonts w:ascii="Times New Roman" w:hAnsi="Times New Roman"/>
          <w:b w:val="false"/>
          <w:i w:val="false"/>
          <w:color w:val="000000"/>
          <w:sz w:val="22"/>
        </w:rPr>
        <w:t xml:space="preserve"> is not required to conduct the triggered source water monitoring under </w:t>
      </w:r>
      <w:hyperlink r:id="rId333">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Triggered source water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A GW system must conduct triggered source water monitoring if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provide at least 4-log virus treatment for each GW 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notified that a sample collected under </w:t>
      </w:r>
      <w:hyperlink r:id="rId334">
        <w:r>
          <w:rPr>
            <w:rStyle w:val="Hyperlink"/>
            <w:rFonts w:ascii="Times New Roman" w:hAnsi="Times New Roman"/>
            <w:b w:val="false"/>
            <w:i w:val="false"/>
            <w:color w:val="000000"/>
            <w:sz w:val="22"/>
          </w:rPr>
          <w:t>41.2(1)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is total coliform-positive, and the sample is not invalidated under </w:t>
      </w:r>
      <w:hyperlink r:id="rId335">
        <w:r>
          <w:rPr>
            <w:rStyle w:val="Hyperlink"/>
            <w:rFonts w:ascii="Times New Roman" w:hAnsi="Times New Roman"/>
            <w:b w:val="false"/>
            <w:i w:val="false"/>
            <w:color w:val="000000"/>
            <w:sz w:val="22"/>
          </w:rPr>
          <w:t>41.2(1)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Sampling. A GW system must collect at least one GW source sample from each GW source in use at the time the total coliform-positive sample was collected under </w:t>
      </w:r>
      <w:hyperlink r:id="rId336">
        <w:r>
          <w:rPr>
            <w:rStyle w:val="Hyperlink"/>
            <w:rFonts w:ascii="Times New Roman" w:hAnsi="Times New Roman"/>
            <w:b w:val="false"/>
            <w:i w:val="false"/>
            <w:color w:val="000000"/>
            <w:sz w:val="22"/>
          </w:rPr>
          <w:t>41.2(1)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that could have reasonably contributed to the positive sample. The source sample must be collected within 24 hours of the system’s receipt of the total coliform-positive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extend the 24-hour time limit on a case-by-case basis if the system cannot collect the GW source sample within 24 hours due to circumstances beyond its control. The department must specify how much time the system has to collect the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GW system serving 1,000 or fewer people may use a repeat sample collected from a GW source to meet both the requirements of </w:t>
      </w:r>
      <w:hyperlink r:id="rId337">
        <w:r>
          <w:rPr>
            <w:rStyle w:val="Hyperlink"/>
            <w:rFonts w:ascii="Times New Roman" w:hAnsi="Times New Roman"/>
            <w:b w:val="false"/>
            <w:i w:val="false"/>
            <w:color w:val="000000"/>
            <w:sz w:val="22"/>
          </w:rPr>
          <w:t>41.2(1)</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this paragraph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department approves the use of </w:t>
      </w:r>
      <w:r>
        <w:rPr>
          <w:rFonts w:ascii="Times New Roman" w:hAnsi="Times New Roman"/>
          <w:b w:val="false"/>
          <w:i/>
          <w:color w:val="000000"/>
          <w:sz w:val="22"/>
        </w:rPr>
        <w:t>E. coli</w:t>
      </w:r>
      <w:r>
        <w:rPr>
          <w:rFonts w:ascii="Times New Roman" w:hAnsi="Times New Roman"/>
          <w:b w:val="false"/>
          <w:i w:val="false"/>
          <w:color w:val="000000"/>
          <w:sz w:val="22"/>
        </w:rPr>
        <w:t xml:space="preserve"> as the fecal indicator,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system only has one GW source required to be sampled,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system has no treatment,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Should the source water sample be </w:t>
      </w:r>
      <w:r>
        <w:rPr>
          <w:rFonts w:ascii="Times New Roman" w:hAnsi="Times New Roman"/>
          <w:b w:val="false"/>
          <w:i/>
          <w:color w:val="000000"/>
          <w:sz w:val="22"/>
        </w:rPr>
        <w:t>E. coli</w:t>
      </w:r>
      <w:r>
        <w:rPr>
          <w:rFonts w:ascii="Times New Roman" w:hAnsi="Times New Roman"/>
          <w:b w:val="false"/>
          <w:i w:val="false"/>
          <w:color w:val="000000"/>
          <w:sz w:val="22"/>
        </w:rPr>
        <w:t xml:space="preserve">-positive, the system would incur an acute coliform bacteria MCL violation, and would need to comply with Tier 1 PN requirements and the additional sample monitoring in </w:t>
      </w:r>
      <w:hyperlink r:id="rId338">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sampling. Unless the department requires corrective action for a valid triggered source water sample that tested positive for the fecal indicator, the system must collect five additional source water samples from that same source within 24 hours of receipt of a fecal indicator-positive sample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 Consecutive and wholesale systems. In addition to the other requirements in this paragraph: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consecutive GW system that has a total coliform-positive sample collected under </w:t>
      </w:r>
      <w:hyperlink r:id="rId339">
        <w:r>
          <w:rPr>
            <w:rStyle w:val="Hyperlink"/>
            <w:rFonts w:ascii="Times New Roman" w:hAnsi="Times New Roman"/>
            <w:b w:val="false"/>
            <w:i w:val="false"/>
            <w:color w:val="000000"/>
            <w:sz w:val="22"/>
          </w:rPr>
          <w:t>41.2(1)</w:t>
        </w:r>
      </w:hyperlink>
      <w:r>
        <w:rPr>
          <w:rFonts w:ascii="Times New Roman" w:hAnsi="Times New Roman"/>
          <w:b w:val="false"/>
          <w:i/>
          <w:color w:val="000000"/>
          <w:sz w:val="22"/>
        </w:rPr>
        <w:t>“f”</w:t>
      </w:r>
      <w:r>
        <w:rPr>
          <w:rFonts w:ascii="Times New Roman" w:hAnsi="Times New Roman"/>
          <w:b w:val="false"/>
          <w:i w:val="false"/>
          <w:color w:val="000000"/>
          <w:sz w:val="22"/>
        </w:rPr>
        <w:t xml:space="preserve"> must notify the wholesale system(s) within 24 hours of receipt of the total coliform-positive sample,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wholesale GW system that does not provide 4-log virus treatment must comply with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wholesale GW system that receives notice from a consecutive system it serves that a sample collected under </w:t>
      </w:r>
      <w:hyperlink r:id="rId340">
        <w:r>
          <w:rPr>
            <w:rStyle w:val="Hyperlink"/>
            <w:rFonts w:ascii="Times New Roman" w:hAnsi="Times New Roman"/>
            <w:b w:val="false"/>
            <w:i w:val="false"/>
            <w:color w:val="000000"/>
            <w:sz w:val="22"/>
          </w:rPr>
          <w:t>41.2(1)</w:t>
        </w:r>
      </w:hyperlink>
      <w:r>
        <w:rPr>
          <w:rFonts w:ascii="Times New Roman" w:hAnsi="Times New Roman"/>
          <w:b w:val="false"/>
          <w:i/>
          <w:color w:val="000000"/>
          <w:sz w:val="22"/>
        </w:rPr>
        <w:t>“f”</w:t>
      </w:r>
      <w:r>
        <w:rPr>
          <w:rFonts w:ascii="Times New Roman" w:hAnsi="Times New Roman"/>
          <w:b w:val="false"/>
          <w:i w:val="false"/>
          <w:color w:val="000000"/>
          <w:sz w:val="22"/>
        </w:rPr>
        <w:t xml:space="preserve"> is total coliform-positive must, within 24 hours of receipt, collect triggered sample(s) from its GW source(s) under </w:t>
      </w:r>
      <w:hyperlink r:id="rId341">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(2) and analyze the sample(s) for a fecal indicator.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triggered source sample(s) is fecal indicator-positive, the wholesale GW system must, within 24 hours of receipt of the result, notify all consecutive systems served by that GW source of the fecal indicator-positive result and collect the required additional five source water samples in accordance with </w:t>
      </w:r>
      <w:hyperlink r:id="rId342">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Exceptions. A GW system is not required to comply with the triggered source water monitoring requirements of this paragraph if either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determines in writing that the total coliform-positive sample collected under </w:t>
      </w:r>
      <w:hyperlink r:id="rId343">
        <w:r>
          <w:rPr>
            <w:rStyle w:val="Hyperlink"/>
            <w:rFonts w:ascii="Times New Roman" w:hAnsi="Times New Roman"/>
            <w:b w:val="false"/>
            <w:i w:val="false"/>
            <w:color w:val="000000"/>
            <w:sz w:val="22"/>
          </w:rPr>
          <w:t>41.2(1)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was caused by a distribution system deficiency;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coliform-positive sample collected under </w:t>
      </w:r>
      <w:hyperlink r:id="rId344">
        <w:r>
          <w:rPr>
            <w:rStyle w:val="Hyperlink"/>
            <w:rFonts w:ascii="Times New Roman" w:hAnsi="Times New Roman"/>
            <w:b w:val="false"/>
            <w:i w:val="false"/>
            <w:color w:val="000000"/>
            <w:sz w:val="22"/>
          </w:rPr>
          <w:t>41.2(1)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is collected at a location that meets department criteria for distribution system conditions that will cause total coliform-positive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Assessment source water monitoring. </w:t>
      </w:r>
      <w:r>
        <w:rPr>
          <w:rFonts w:ascii="Times New Roman" w:hAnsi="Times New Roman"/>
          <w:b w:val="false"/>
          <w:i w:val="false"/>
          <w:color w:val="000000"/>
          <w:sz w:val="22"/>
        </w:rPr>
        <w:t xml:space="preserve">If directed by the department, GW systems must conduct assessment source water monitoring that meets department-determined requirements. GW systems conducting assessment source water monitoring may use a triggered source water sample collected under </w:t>
      </w:r>
      <w:hyperlink r:id="rId345">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(2) to meet the requirements of this paragraph. Department-determined assessment source water monitoring requirements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Collection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total of 12 GW source samples representing each month the system provides GW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Samples from each well, unless the system obtains written department approval to conduct monitoring at one or more wells within the GW system that are representative of multiple wells used by that system and that draw water from the same hydrogeologic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standard sample volume of at least 100 mL for fecal indicator analysis, regardless of technical indicator or analytical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GW source samples at a location before any treatment of the GW source, unless the department approves a sampling location after treatment;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GW source samples at the well itself, unless the system’s configuration does not allow for sampling at the well itself and the department approves an alternate sampling location representative of the water quality of that well;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Analysis of all GW source samples using one of the analytical methods listed in </w:t>
      </w:r>
      <w:r>
        <w:rPr>
          <w:rFonts w:ascii="Times New Roman" w:hAnsi="Times New Roman"/>
          <w:b w:val="false"/>
          <w:i w:val="false"/>
          <w:color w:val="000000"/>
          <w:sz w:val="22"/>
        </w:rPr>
        <w:t>41.7(3)</w:t>
      </w:r>
      <w:r>
        <w:rPr>
          <w:rFonts w:ascii="Times New Roman" w:hAnsi="Times New Roman"/>
          <w:b w:val="false"/>
          <w:i/>
          <w:color w:val="000000"/>
          <w:sz w:val="22"/>
        </w:rPr>
        <w:t>“c”</w:t>
      </w:r>
      <w:r>
        <w:rPr>
          <w:rFonts w:ascii="Times New Roman" w:hAnsi="Times New Roman"/>
          <w:b w:val="false"/>
          <w:i w:val="false"/>
          <w:color w:val="000000"/>
          <w:sz w:val="22"/>
        </w:rPr>
        <w:t xml:space="preserve"> for the presence of </w:t>
      </w:r>
      <w:r>
        <w:rPr>
          <w:rFonts w:ascii="Times New Roman" w:hAnsi="Times New Roman"/>
          <w:b w:val="false"/>
          <w:i/>
          <w:color w:val="000000"/>
          <w:sz w:val="22"/>
        </w:rPr>
        <w:t>E. coli</w:t>
      </w:r>
      <w:r>
        <w:rPr>
          <w:rFonts w:ascii="Times New Roman" w:hAnsi="Times New Roman"/>
          <w:b w:val="false"/>
          <w:i w:val="false"/>
          <w:color w:val="000000"/>
          <w:sz w:val="22"/>
        </w:rPr>
        <w:t>, enterococci, or coliphage.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GW systems subject to the source water monitoring requirements of this rule must collect a standard sample volume of at least 100 mL for fecal indicator analysis regardless of the fecal indicator or analytical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GW systems must analyze all GW source samples collected under this rule using one of the analytical methods in the following table for the presence of </w:t>
      </w:r>
      <w:r>
        <w:rPr>
          <w:rFonts w:ascii="Times New Roman" w:hAnsi="Times New Roman"/>
          <w:b w:val="false"/>
          <w:i/>
          <w:color w:val="000000"/>
          <w:sz w:val="22"/>
        </w:rPr>
        <w:t>E. coli</w:t>
      </w:r>
      <w:r>
        <w:rPr>
          <w:rFonts w:ascii="Times New Roman" w:hAnsi="Times New Roman"/>
          <w:b w:val="false"/>
          <w:i w:val="false"/>
          <w:color w:val="000000"/>
          <w:sz w:val="22"/>
        </w:rPr>
        <w:t>, enterococci, or coliphage.</w:t>
      </w:r>
    </w:p>
    <w:p>
      <w:pPr>
        <w:spacing w:before="60" w:after="0"/>
        <w:ind w:left="120"/>
        <w:jc w:val="center"/>
      </w:pPr>
      <w:r>
        <w:rPr>
          <w:rFonts w:ascii="Times New Roman" w:hAnsi="Times New Roman"/>
          <w:b/>
          <w:i w:val="false"/>
          <w:color w:val="000000"/>
          <w:sz w:val="22"/>
        </w:rPr>
        <w:t>Analytical Methods for Source Water Monitoring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28"/>
        <w:gridCol w:w="5760"/>
        <w:gridCol w:w="4032"/>
      </w:tblGrid>
      <w:tr>
        <w:trPr>
          <w:trHeight w:val="270" w:hRule="atLeast"/>
        </w:trPr>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Fecal Indicator</w:t>
            </w:r>
            <w:r>
              <w:rPr>
                <w:rFonts w:ascii="Times New Roman" w:hAnsi="Times New Roman"/>
                <w:b/>
                <w:i w:val="false"/>
                <w:color w:val="000000"/>
                <w:sz w:val="18"/>
                <w:vertAlign w:val="superscript"/>
              </w:rPr>
              <w:t>1</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Methodology</w:t>
            </w:r>
          </w:p>
        </w:tc>
        <w:tc>
          <w:tcPr>
            <w:tcW w:w="40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Method Citation</w:t>
            </w:r>
          </w:p>
        </w:tc>
      </w:tr>
      <w:tr>
        <w:trPr>
          <w:trHeight w:val="255" w:hRule="atLeast"/>
        </w:trPr>
        <w:tc>
          <w:tcPr>
            <w:tcW w:w="172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color w:val="000000"/>
                <w:sz w:val="16"/>
              </w:rPr>
              <w:t>E. coli</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Colilert</w:t>
            </w:r>
            <w:r>
              <w:rPr>
                <w:rFonts w:ascii="Times New Roman" w:hAnsi="Times New Roman"/>
                <w:b w:val="false"/>
                <w:i w:val="false"/>
                <w:color w:val="000000"/>
                <w:sz w:val="18"/>
                <w:vertAlign w:val="superscript"/>
              </w:rPr>
              <w:t>3</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9223B</w:t>
            </w:r>
            <w:r>
              <w:rPr>
                <w:rFonts w:ascii="Times New Roman" w:hAnsi="Times New Roman"/>
                <w:b w:val="false"/>
                <w:i w:val="false"/>
                <w:color w:val="000000"/>
                <w:sz w:val="18"/>
                <w:vertAlign w:val="superscript"/>
              </w:rPr>
              <w:t>2, 12, 13</w:t>
            </w:r>
            <w:r>
              <w:rPr>
                <w:rFonts w:ascii="Times New Roman" w:hAnsi="Times New Roman"/>
                <w:b w:val="false"/>
                <w:i w:val="false"/>
                <w:color w:val="000000"/>
                <w:sz w:val="16"/>
              </w:rPr>
              <w:t>, 9223 B-97, B-04</w:t>
            </w:r>
            <w:r>
              <w:rPr>
                <w:rFonts w:ascii="Times New Roman" w:hAnsi="Times New Roman"/>
                <w:b w:val="false"/>
                <w:i w:val="false"/>
                <w:color w:val="000000"/>
                <w:sz w:val="18"/>
                <w:vertAlign w:val="superscript"/>
              </w:rPr>
              <w:t>18</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Colisure</w:t>
            </w:r>
            <w:r>
              <w:rPr>
                <w:rFonts w:ascii="Times New Roman" w:hAnsi="Times New Roman"/>
                <w:b w:val="false"/>
                <w:i w:val="false"/>
                <w:color w:val="000000"/>
                <w:sz w:val="18"/>
                <w:vertAlign w:val="superscript"/>
              </w:rPr>
              <w:t>3</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9223B</w:t>
            </w:r>
            <w:r>
              <w:rPr>
                <w:rFonts w:ascii="Times New Roman" w:hAnsi="Times New Roman"/>
                <w:b w:val="false"/>
                <w:i w:val="false"/>
                <w:color w:val="000000"/>
                <w:sz w:val="18"/>
                <w:vertAlign w:val="superscript"/>
              </w:rPr>
              <w:t>2, 12, 13</w:t>
            </w:r>
            <w:r>
              <w:rPr>
                <w:rFonts w:ascii="Times New Roman" w:hAnsi="Times New Roman"/>
                <w:b w:val="false"/>
                <w:i w:val="false"/>
                <w:color w:val="000000"/>
                <w:sz w:val="16"/>
              </w:rPr>
              <w:t>, 9223 B-97, B-04</w:t>
            </w:r>
            <w:r>
              <w:rPr>
                <w:rFonts w:ascii="Times New Roman" w:hAnsi="Times New Roman"/>
                <w:b w:val="false"/>
                <w:i w:val="false"/>
                <w:color w:val="000000"/>
                <w:sz w:val="18"/>
                <w:vertAlign w:val="superscript"/>
              </w:rPr>
              <w:t>18</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filter method with MI agar</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EPA Method 1604</w:t>
            </w:r>
            <w:r>
              <w:rPr>
                <w:rFonts w:ascii="Times New Roman" w:hAnsi="Times New Roman"/>
                <w:b w:val="false"/>
                <w:i w:val="false"/>
                <w:color w:val="000000"/>
                <w:sz w:val="18"/>
                <w:vertAlign w:val="superscript"/>
              </w:rPr>
              <w:t>4</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Colilert-18</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9223B</w:t>
            </w:r>
            <w:r>
              <w:rPr>
                <w:rFonts w:ascii="Times New Roman" w:hAnsi="Times New Roman"/>
                <w:b w:val="false"/>
                <w:i w:val="false"/>
                <w:color w:val="000000"/>
                <w:sz w:val="18"/>
                <w:vertAlign w:val="superscript"/>
              </w:rPr>
              <w:t>2, 12, 13</w:t>
            </w:r>
            <w:r>
              <w:rPr>
                <w:rFonts w:ascii="Times New Roman" w:hAnsi="Times New Roman"/>
                <w:b w:val="false"/>
                <w:i w:val="false"/>
                <w:color w:val="000000"/>
                <w:sz w:val="16"/>
              </w:rPr>
              <w:t>, 9223B-97, B-0418</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m-ColiBlue24 Test</w:t>
            </w:r>
            <w:r>
              <w:rPr>
                <w:rFonts w:ascii="Times New Roman" w:hAnsi="Times New Roman"/>
                <w:b w:val="false"/>
                <w:i w:val="false"/>
                <w:color w:val="000000"/>
                <w:sz w:val="18"/>
                <w:vertAlign w:val="superscript"/>
              </w:rPr>
              <w:t>5</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E*Colite Test</w:t>
            </w:r>
            <w:r>
              <w:rPr>
                <w:rFonts w:ascii="Times New Roman" w:hAnsi="Times New Roman"/>
                <w:b w:val="false"/>
                <w:i w:val="false"/>
                <w:color w:val="000000"/>
                <w:sz w:val="18"/>
                <w:vertAlign w:val="superscript"/>
              </w:rPr>
              <w:t>6</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EC-MUG</w:t>
            </w:r>
            <w:r>
              <w:rPr>
                <w:rFonts w:ascii="Times New Roman" w:hAnsi="Times New Roman"/>
                <w:b w:val="false"/>
                <w:i w:val="false"/>
                <w:color w:val="000000"/>
                <w:sz w:val="18"/>
                <w:vertAlign w:val="superscript"/>
              </w:rPr>
              <w:t>7</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9221F</w:t>
            </w:r>
            <w:r>
              <w:rPr>
                <w:rFonts w:ascii="Times New Roman" w:hAnsi="Times New Roman"/>
                <w:b w:val="false"/>
                <w:i w:val="false"/>
                <w:color w:val="000000"/>
                <w:sz w:val="18"/>
                <w:vertAlign w:val="superscript"/>
              </w:rPr>
              <w:t>2, 13</w:t>
            </w:r>
            <w:r>
              <w:rPr>
                <w:rFonts w:ascii="Times New Roman" w:hAnsi="Times New Roman"/>
                <w:b w:val="false"/>
                <w:i w:val="false"/>
                <w:color w:val="000000"/>
                <w:sz w:val="16"/>
              </w:rPr>
              <w:t>, 9221 F-06</w:t>
            </w:r>
            <w:r>
              <w:rPr>
                <w:rFonts w:ascii="Times New Roman" w:hAnsi="Times New Roman"/>
                <w:b w:val="false"/>
                <w:i w:val="false"/>
                <w:color w:val="000000"/>
                <w:sz w:val="18"/>
                <w:vertAlign w:val="superscript"/>
              </w:rPr>
              <w:t>18</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NA-MUG</w:t>
            </w:r>
            <w:r>
              <w:rPr>
                <w:rFonts w:ascii="Times New Roman" w:hAnsi="Times New Roman"/>
                <w:b w:val="false"/>
                <w:i w:val="false"/>
                <w:color w:val="000000"/>
                <w:sz w:val="18"/>
                <w:vertAlign w:val="superscript"/>
              </w:rPr>
              <w:t>7</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9222G</w:t>
            </w:r>
            <w:r>
              <w:rPr>
                <w:rFonts w:ascii="Times New Roman" w:hAnsi="Times New Roman"/>
                <w:b w:val="false"/>
                <w:i w:val="false"/>
                <w:color w:val="000000"/>
                <w:sz w:val="18"/>
                <w:vertAlign w:val="superscript"/>
              </w:rPr>
              <w:t>2</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Readycult</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Readycult</w:t>
            </w:r>
            <w:r>
              <w:rPr>
                <w:rFonts w:ascii="Times New Roman" w:hAnsi="Times New Roman"/>
                <w:b w:val="false"/>
                <w:i w:val="false"/>
                <w:color w:val="000000"/>
                <w:sz w:val="18"/>
                <w:vertAlign w:val="superscript"/>
              </w:rPr>
              <w:t>14</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Colitag</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Modified Colitag</w:t>
            </w:r>
            <w:r>
              <w:rPr>
                <w:rFonts w:ascii="Times New Roman" w:hAnsi="Times New Roman"/>
                <w:b w:val="false"/>
                <w:i w:val="false"/>
                <w:color w:val="000000"/>
                <w:sz w:val="18"/>
                <w:vertAlign w:val="superscript"/>
              </w:rPr>
              <w:t>15</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Chromocult</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Chromocult</w:t>
            </w:r>
            <w:r>
              <w:rPr>
                <w:rFonts w:ascii="Times New Roman" w:hAnsi="Times New Roman"/>
                <w:b w:val="false"/>
                <w:i w:val="false"/>
                <w:color w:val="000000"/>
                <w:sz w:val="18"/>
                <w:vertAlign w:val="superscript"/>
              </w:rPr>
              <w:t>16</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Tecta EC/TC</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Tecta EC/TC</w:t>
            </w:r>
            <w:r>
              <w:rPr>
                <w:rFonts w:ascii="Times New Roman" w:hAnsi="Times New Roman"/>
                <w:b w:val="false"/>
                <w:i w:val="false"/>
                <w:color w:val="000000"/>
                <w:sz w:val="18"/>
                <w:vertAlign w:val="superscript"/>
              </w:rPr>
              <w:t>19</w:t>
            </w:r>
          </w:p>
        </w:tc>
      </w:tr>
      <w:tr>
        <w:trPr>
          <w:trHeight w:val="255" w:hRule="atLeast"/>
        </w:trPr>
        <w:tc>
          <w:tcPr>
            <w:tcW w:w="172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Enterococci</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Multiple-tube technique</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9230B</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9230 B-04</w:t>
            </w:r>
            <w:r>
              <w:rPr>
                <w:rFonts w:ascii="Times New Roman" w:hAnsi="Times New Roman"/>
                <w:b w:val="false"/>
                <w:i w:val="false"/>
                <w:color w:val="000000"/>
                <w:sz w:val="18"/>
                <w:vertAlign w:val="superscript"/>
              </w:rPr>
              <w:t>18</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Membrane filter technique</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9230C</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EPA Method 1600</w:t>
            </w:r>
            <w:r>
              <w:rPr>
                <w:rFonts w:ascii="Times New Roman" w:hAnsi="Times New Roman"/>
                <w:b w:val="false"/>
                <w:i w:val="false"/>
                <w:color w:val="000000"/>
                <w:sz w:val="18"/>
                <w:vertAlign w:val="superscript"/>
              </w:rPr>
              <w:t>8</w:t>
            </w:r>
          </w:p>
        </w:tc>
      </w:tr>
      <w:tr>
        <w:trPr>
          <w:trHeight w:val="255" w:hRule="atLeast"/>
        </w:trPr>
        <w:tc>
          <w:tcPr>
            <w:tcW w:w="0" w:type="auto"/>
            <w:vMerge/>
            <w:tcBorders>
              <w:top w:val="nil"/>
              <w:bottom w:val="single" w:color="000000" w:sz="8"/>
              <w:right w:val="single" w:color="000000" w:sz="8"/>
            </w:tcBorders>
          </w:tcP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Enterolert</w:t>
            </w:r>
            <w:r>
              <w:rPr>
                <w:rFonts w:ascii="Times New Roman" w:hAnsi="Times New Roman"/>
                <w:b w:val="false"/>
                <w:i w:val="false"/>
                <w:color w:val="000000"/>
                <w:sz w:val="18"/>
                <w:vertAlign w:val="superscript"/>
              </w:rPr>
              <w:t>9</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1728" w:type="dxa"/>
            <w:vMerge w:val="restart"/>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Coliphage</w:t>
            </w:r>
          </w:p>
        </w:tc>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Two-step enrichment presence-absence procedure</w:t>
            </w:r>
          </w:p>
        </w:tc>
        <w:tc>
          <w:tcPr>
            <w:tcW w:w="40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EPA Method 1601</w:t>
            </w: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FastPhage</w:t>
            </w:r>
            <w:r>
              <w:rPr>
                <w:rFonts w:ascii="Times New Roman" w:hAnsi="Times New Roman"/>
                <w:b w:val="false"/>
                <w:i w:val="false"/>
                <w:color w:val="000000"/>
                <w:sz w:val="18"/>
                <w:vertAlign w:val="superscript"/>
              </w:rPr>
              <w:t>17</w:t>
            </w:r>
          </w:p>
        </w:tc>
      </w:tr>
      <w:tr>
        <w:trPr>
          <w:trHeight w:val="255" w:hRule="atLeast"/>
        </w:trPr>
        <w:tc>
          <w:tcPr>
            <w:tcW w:w="0" w:type="auto"/>
            <w:vMerge/>
            <w:tcBorders>
              <w:top w:val="nil"/>
              <w:right w:val="single" w:color="000000" w:sz="8"/>
            </w:tcBorders>
          </w:tcPr>
          <w:p/>
        </w:tc>
        <w:tc>
          <w:tcPr>
            <w:tcW w:w="57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Single agar layer procedure</w:t>
            </w:r>
          </w:p>
        </w:tc>
        <w:tc>
          <w:tcPr>
            <w:tcW w:w="40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EPA Method 1602</w:t>
            </w:r>
            <w:r>
              <w:rPr>
                <w:rFonts w:ascii="Times New Roman" w:hAnsi="Times New Roman"/>
                <w:b w:val="false"/>
                <w:i w:val="false"/>
                <w:color w:val="000000"/>
                <w:sz w:val="18"/>
                <w:vertAlign w:val="superscript"/>
              </w:rPr>
              <w:t>11</w:t>
            </w:r>
          </w:p>
        </w:tc>
      </w:tr>
    </w:tbl>
    <w:p>
      <w:pPr>
        <w:spacing w:before="0" w:after="0"/>
        <w:ind w:left="120"/>
        <w:jc w:val="both"/>
      </w:pPr>
      <w:r>
        <w:rPr>
          <w:rFonts w:ascii="Times New Roman" w:hAnsi="Times New Roman"/>
          <w:b w:val="false"/>
          <w:i w:val="false"/>
          <w:color w:val="000000"/>
          <w:sz w:val="16"/>
        </w:rPr>
        <w:t xml:space="preserve">Analyses must be conducted in accordance with the documents listed below. The Director of the Federal Register approves the incorporation by reference of the documents listed in footnotes 2 through 11 in accordance with </w:t>
      </w:r>
      <w:r>
        <w:rPr>
          <w:rFonts w:ascii="Times New Roman" w:hAnsi="Times New Roman"/>
          <w:b w:val="false"/>
          <w:i w:val="false"/>
          <w:color w:val="000000"/>
          <w:sz w:val="16"/>
        </w:rPr>
        <w:t>5 U.S.C. 552(a)</w:t>
      </w:r>
      <w:r>
        <w:rPr>
          <w:rFonts w:ascii="Times New Roman" w:hAnsi="Times New Roman"/>
          <w:b w:val="false"/>
          <w:i w:val="false"/>
          <w:color w:val="000000"/>
          <w:sz w:val="16"/>
        </w:rPr>
        <w:t xml:space="preserve"> and </w:t>
      </w:r>
      <w:r>
        <w:rPr>
          <w:rFonts w:ascii="Times New Roman" w:hAnsi="Times New Roman"/>
          <w:b w:val="false"/>
          <w:i w:val="false"/>
          <w:color w:val="000000"/>
          <w:sz w:val="16"/>
        </w:rPr>
        <w:t>1 CFR Part 51</w:t>
      </w:r>
      <w:r>
        <w:rPr>
          <w:rFonts w:ascii="Times New Roman" w:hAnsi="Times New Roman"/>
          <w:b w:val="false"/>
          <w:i w:val="false"/>
          <w:color w:val="000000"/>
          <w:sz w:val="16"/>
        </w:rPr>
        <w:t xml:space="preserve">. Copies may be obtained from the sources listed below or inspected at EPA’s Drinking Water Docket or at NARA. </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The time from sample collection to initiation of analysis may not exceed 30 hours. GW systems are encouraged but not required to hold samples below 10 degrees Celsius during transit.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Methods are described in SM, 20th edition (1998). </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Medium is available through IDEXX Laboratories, Inc., One IDEXX Drive, Westbrook, ME 04092. </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EPA Method 1604: Total Coliforms and Escherichia coli in Water by Membrane Filtration Using a Simultaneous Detection Technique (MI Medium); September 2002, EPA 821-R-02-024, </w:t>
      </w:r>
      <w:hyperlink r:id="rId346">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A description of the m-ColiBlue24 Test, “Total Coliforms and </w:t>
      </w:r>
      <w:r>
        <w:rPr>
          <w:rFonts w:ascii="Times New Roman" w:hAnsi="Times New Roman"/>
          <w:b w:val="false"/>
          <w:i/>
          <w:color w:val="000000"/>
          <w:sz w:val="16"/>
        </w:rPr>
        <w:t>E. coli</w:t>
      </w:r>
      <w:r>
        <w:rPr>
          <w:rFonts w:ascii="Times New Roman" w:hAnsi="Times New Roman"/>
          <w:b w:val="false"/>
          <w:i w:val="false"/>
          <w:color w:val="000000"/>
          <w:sz w:val="16"/>
        </w:rPr>
        <w:t xml:space="preserve"> Membrane Filtration Method with m-ColiBlue24 Broth,” Method No. 10029, Revision 2, August 17, 1999, Hach Company, 100 Dayton Avenue, Ames, IA 50010.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A description of the E*Colite Test, “Charm E*Colite Presence/Absence Test for Detection and Identification of Coliform Bacteria and </w:t>
      </w:r>
      <w:r>
        <w:rPr>
          <w:rFonts w:ascii="Times New Roman" w:hAnsi="Times New Roman"/>
          <w:b w:val="false"/>
          <w:i/>
          <w:color w:val="000000"/>
          <w:sz w:val="16"/>
        </w:rPr>
        <w:t>Escherichia coli</w:t>
      </w:r>
      <w:r>
        <w:rPr>
          <w:rFonts w:ascii="Times New Roman" w:hAnsi="Times New Roman"/>
          <w:b w:val="false"/>
          <w:i w:val="false"/>
          <w:color w:val="000000"/>
          <w:sz w:val="16"/>
        </w:rPr>
        <w:t xml:space="preserve"> in Drinking Water,” January 9, 1998, Charm Sciences, Inc., 659 Andover Street, Lawrence, MA 01843-1032. </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EC-MUG (Method 9221F) or NA-MUG (Method 9222G) can be used for </w:t>
      </w:r>
      <w:r>
        <w:rPr>
          <w:rFonts w:ascii="Times New Roman" w:hAnsi="Times New Roman"/>
          <w:b w:val="false"/>
          <w:i/>
          <w:color w:val="000000"/>
          <w:sz w:val="16"/>
        </w:rPr>
        <w:t>E. coli</w:t>
      </w:r>
      <w:r>
        <w:rPr>
          <w:rFonts w:ascii="Times New Roman" w:hAnsi="Times New Roman"/>
          <w:b w:val="false"/>
          <w:i w:val="false"/>
          <w:color w:val="000000"/>
          <w:sz w:val="16"/>
        </w:rPr>
        <w:t xml:space="preserve"> testing step as described in </w:t>
      </w:r>
      <w:r>
        <w:rPr>
          <w:rFonts w:ascii="Times New Roman" w:hAnsi="Times New Roman"/>
          <w:b w:val="false"/>
          <w:i w:val="false"/>
          <w:color w:val="000000"/>
          <w:sz w:val="16"/>
        </w:rPr>
        <w:t>41.2(1)“f”(6)</w:t>
      </w:r>
      <w:r>
        <w:rPr>
          <w:rFonts w:ascii="Times New Roman" w:hAnsi="Times New Roman"/>
          <w:b w:val="false"/>
          <w:i w:val="false"/>
          <w:color w:val="000000"/>
          <w:sz w:val="16"/>
        </w:rPr>
        <w:t xml:space="preserve"> or (7) after use of SM 9221B, 9221D, 9222B, or 9222C. </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EPA Method 1600: Enterococci in Water by Membrane Filtration Using Membrane-Enterococcus Indoxyl-β-D-Glucoside Agar (MEI), EPA 821-R-02-022 (September 2002), is an approved variation of SM 9230C, </w:t>
      </w:r>
      <w:hyperlink r:id="rId347">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The holding time and temperature for GW samples is specified in footnote 1 above, rather than as specified in Section 8 of EPA Method 1600. </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 xml:space="preserve">Medium is available through IDEXX Laboratories, Inc., One IDEXX Drive, Westbrook, ME 04092. Preparation and use of the medium is set forth in the article “Evaluation of Enterolert for Enumeration of Enterococci in Recreational Waters” by Budnick, G.E., Howard, R.T., and Mayo, D.R., 1996, Applied and Environmental Microbiology, 62:3881-3884. </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EPA Method 1601: Male-Specific (F+) and Somatic Coliphage in Water by Two-Step Enrichment Procedure; April 2001, EPA 821-R-01-030, </w:t>
      </w:r>
      <w:hyperlink r:id="rId348">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EPA Method 1602: Male-Specific (F+) and Somatic Coliphage in Water by Single Agar Layer (SAL) Procedure; April 2001, EPA 821-R-01-029, www.nemi.gov. </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 xml:space="preserve">SM, 21st edition (2005). </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 xml:space="preserve">SM, 22nd edition (2012). </w:t>
      </w:r>
    </w:p>
    <w:p>
      <w:pPr>
        <w:spacing w:before="0" w:after="0"/>
        <w:ind w:left="120"/>
        <w:jc w:val="both"/>
      </w:pPr>
      <w:r>
        <w:rPr>
          <w:rFonts w:ascii="Times New Roman" w:hAnsi="Times New Roman"/>
          <w:b w:val="false"/>
          <w:i w:val="false"/>
          <w:color w:val="000000"/>
          <w:sz w:val="18"/>
          <w:vertAlign w:val="superscript"/>
        </w:rPr>
        <w:t>14</w:t>
      </w:r>
      <w:r>
        <w:rPr>
          <w:rFonts w:ascii="Times New Roman" w:hAnsi="Times New Roman"/>
          <w:b w:val="false"/>
          <w:i w:val="false"/>
          <w:color w:val="000000"/>
          <w:sz w:val="16"/>
        </w:rPr>
        <w:t xml:space="preserve">Readycult Method, “Readycult Coliforms 100 Presence/Absence Test for Detection and Identification of Coliform Bacteria and </w:t>
      </w:r>
      <w:r>
        <w:rPr>
          <w:rFonts w:ascii="Times New Roman" w:hAnsi="Times New Roman"/>
          <w:b w:val="false"/>
          <w:i/>
          <w:color w:val="000000"/>
          <w:sz w:val="16"/>
        </w:rPr>
        <w:t>Escherichia coli</w:t>
      </w:r>
      <w:r>
        <w:rPr>
          <w:rFonts w:ascii="Times New Roman" w:hAnsi="Times New Roman"/>
          <w:b w:val="false"/>
          <w:i w:val="false"/>
          <w:color w:val="000000"/>
          <w:sz w:val="16"/>
        </w:rPr>
        <w:t xml:space="preserve"> in Finished Waters,” January 2007, Version 1.1. EMD Millipore, 290 Concord Road, Billerica, MA 01821. </w:t>
      </w:r>
    </w:p>
    <w:p>
      <w:pPr>
        <w:spacing w:before="0" w:after="0"/>
        <w:ind w:left="120"/>
        <w:jc w:val="both"/>
      </w:pPr>
      <w:r>
        <w:rPr>
          <w:rFonts w:ascii="Times New Roman" w:hAnsi="Times New Roman"/>
          <w:b w:val="false"/>
          <w:i w:val="false"/>
          <w:color w:val="000000"/>
          <w:sz w:val="18"/>
          <w:vertAlign w:val="superscript"/>
        </w:rPr>
        <w:t>15</w:t>
      </w:r>
      <w:r>
        <w:rPr>
          <w:rFonts w:ascii="Times New Roman" w:hAnsi="Times New Roman"/>
          <w:b w:val="false"/>
          <w:i w:val="false"/>
          <w:color w:val="000000"/>
          <w:sz w:val="16"/>
        </w:rPr>
        <w:t xml:space="preserve">Modified Colitag Method, “Modified Colitag Test Method for the Simultaneous Detection of </w:t>
      </w:r>
      <w:r>
        <w:rPr>
          <w:rFonts w:ascii="Times New Roman" w:hAnsi="Times New Roman"/>
          <w:b w:val="false"/>
          <w:i/>
          <w:color w:val="000000"/>
          <w:sz w:val="16"/>
        </w:rPr>
        <w:t>E. coli</w:t>
      </w:r>
      <w:r>
        <w:rPr>
          <w:rFonts w:ascii="Times New Roman" w:hAnsi="Times New Roman"/>
          <w:b w:val="false"/>
          <w:i w:val="false"/>
          <w:color w:val="000000"/>
          <w:sz w:val="16"/>
        </w:rPr>
        <w:t xml:space="preserve"> and Other Total Coliforms in Water (ATP D05-0035),” August 28, 2009, </w:t>
      </w:r>
      <w:hyperlink r:id="rId349">
        <w:r>
          <w:rPr>
            <w:rStyle w:val="Hyperlink"/>
            <w:rFonts w:ascii="Times New Roman" w:hAnsi="Times New Roman"/>
            <w:b w:val="false"/>
            <w:i w:val="false"/>
            <w:color w:val="000000"/>
            <w:sz w:val="16"/>
            <w:u w:val="single"/>
          </w:rPr>
          <w:t>www.nemi.gov</w:t>
        </w:r>
      </w:hyperlink>
      <w:r>
        <w:rPr>
          <w:rFonts w:ascii="Times New Roman" w:hAnsi="Times New Roman"/>
          <w:b w:val="false"/>
          <w:i w:val="false"/>
          <w:color w:val="000000"/>
          <w:sz w:val="16"/>
        </w:rPr>
        <w:t xml:space="preserve"> or CPI International, 5580 Skylane Blvd., Santa Rosa, CA 95403. </w:t>
      </w:r>
    </w:p>
    <w:p>
      <w:pPr>
        <w:spacing w:before="0" w:after="0"/>
        <w:ind w:left="120"/>
        <w:jc w:val="both"/>
      </w:pPr>
      <w:r>
        <w:rPr>
          <w:rFonts w:ascii="Times New Roman" w:hAnsi="Times New Roman"/>
          <w:b w:val="false"/>
          <w:i w:val="false"/>
          <w:color w:val="000000"/>
          <w:sz w:val="18"/>
          <w:vertAlign w:val="superscript"/>
        </w:rPr>
        <w:t>16</w:t>
      </w:r>
      <w:r>
        <w:rPr>
          <w:rFonts w:ascii="Times New Roman" w:hAnsi="Times New Roman"/>
          <w:b w:val="false"/>
          <w:i w:val="false"/>
          <w:color w:val="000000"/>
          <w:sz w:val="16"/>
        </w:rPr>
        <w:t xml:space="preserve">Chromocult Method, “Chromocult Coliform Agar Presence/Absence Membrane Filter Test Method for Detection and Identification of Coliform Bacteria and </w:t>
      </w:r>
      <w:r>
        <w:rPr>
          <w:rFonts w:ascii="Times New Roman" w:hAnsi="Times New Roman"/>
          <w:b w:val="false"/>
          <w:i/>
          <w:color w:val="000000"/>
          <w:sz w:val="16"/>
        </w:rPr>
        <w:t>Escherichia coli</w:t>
      </w:r>
      <w:r>
        <w:rPr>
          <w:rFonts w:ascii="Times New Roman" w:hAnsi="Times New Roman"/>
          <w:b w:val="false"/>
          <w:i w:val="false"/>
          <w:color w:val="000000"/>
          <w:sz w:val="16"/>
        </w:rPr>
        <w:t xml:space="preserve"> in Finished Waters,” November 2000, Version 1.0. EMD Millipore, 290 Concord Road, Billerica, MA 01821. </w:t>
      </w:r>
    </w:p>
    <w:p>
      <w:pPr>
        <w:spacing w:before="0" w:after="0"/>
        <w:ind w:left="120"/>
        <w:jc w:val="both"/>
      </w:pPr>
      <w:r>
        <w:rPr>
          <w:rFonts w:ascii="Times New Roman" w:hAnsi="Times New Roman"/>
          <w:b w:val="false"/>
          <w:i w:val="false"/>
          <w:color w:val="000000"/>
          <w:sz w:val="18"/>
          <w:vertAlign w:val="superscript"/>
        </w:rPr>
        <w:t>17</w:t>
      </w:r>
      <w:r>
        <w:rPr>
          <w:rFonts w:ascii="Times New Roman" w:hAnsi="Times New Roman"/>
          <w:b w:val="false"/>
          <w:i w:val="false"/>
          <w:color w:val="000000"/>
          <w:sz w:val="16"/>
        </w:rPr>
        <w:t xml:space="preserve">Charm Sciences, Inc., “FastPhage Test Procedure. Presence/Absence for Coliphage in Ground Water with Same Day Positive Prediction,” Version 009, November 2012, </w:t>
      </w:r>
      <w:hyperlink r:id="rId350">
        <w:r>
          <w:rPr>
            <w:rStyle w:val="Hyperlink"/>
            <w:rFonts w:ascii="Times New Roman" w:hAnsi="Times New Roman"/>
            <w:b w:val="false"/>
            <w:i w:val="false"/>
            <w:color w:val="000000"/>
            <w:sz w:val="16"/>
            <w:u w:val="single"/>
          </w:rPr>
          <w:t>www.federalregister.gov</w:t>
        </w:r>
      </w:hyperlink>
      <w:r>
        <w:rPr>
          <w:rFonts w:ascii="Times New Roman" w:hAnsi="Times New Roman"/>
          <w:b w:val="false"/>
          <w:i w:val="false"/>
          <w:color w:val="000000"/>
          <w:sz w:val="16"/>
        </w:rPr>
        <w:t xml:space="preserve">. </w:t>
      </w:r>
    </w:p>
    <w:p>
      <w:pPr>
        <w:spacing w:before="0" w:after="0"/>
        <w:ind w:left="120"/>
        <w:jc w:val="both"/>
      </w:pPr>
      <w:r>
        <w:rPr>
          <w:rFonts w:ascii="Times New Roman" w:hAnsi="Times New Roman"/>
          <w:b w:val="false"/>
          <w:i w:val="false"/>
          <w:color w:val="000000"/>
          <w:sz w:val="18"/>
          <w:vertAlign w:val="superscript"/>
        </w:rPr>
        <w:t>18</w:t>
      </w:r>
      <w:r>
        <w:rPr>
          <w:rFonts w:ascii="Times New Roman" w:hAnsi="Times New Roman"/>
          <w:b w:val="false"/>
          <w:i w:val="false"/>
          <w:color w:val="000000"/>
          <w:sz w:val="16"/>
        </w:rPr>
        <w:t xml:space="preserve">SM Online. The year in which each method was approved is designated by the last two digits in the method number. The methods listed are the only online versions that may be used. </w:t>
      </w:r>
    </w:p>
    <w:p>
      <w:pPr>
        <w:spacing w:before="0" w:after="0"/>
        <w:ind w:left="120"/>
        <w:jc w:val="both"/>
      </w:pPr>
      <w:r>
        <w:rPr>
          <w:rFonts w:ascii="Times New Roman" w:hAnsi="Times New Roman"/>
          <w:b w:val="false"/>
          <w:i w:val="false"/>
          <w:color w:val="000000"/>
          <w:sz w:val="18"/>
          <w:vertAlign w:val="superscript"/>
        </w:rPr>
        <w:t>19</w:t>
      </w:r>
      <w:r>
        <w:rPr>
          <w:rFonts w:ascii="Times New Roman" w:hAnsi="Times New Roman"/>
          <w:b w:val="false"/>
          <w:i w:val="false"/>
          <w:color w:val="000000"/>
          <w:sz w:val="16"/>
        </w:rPr>
        <w:t xml:space="preserve">Tecta EC/TC. “Presence/Absence Method for Simultaneous Detection of Total Coliforms and </w:t>
      </w:r>
      <w:r>
        <w:rPr>
          <w:rFonts w:ascii="Times New Roman" w:hAnsi="Times New Roman"/>
          <w:b w:val="false"/>
          <w:i/>
          <w:color w:val="000000"/>
          <w:sz w:val="16"/>
        </w:rPr>
        <w:t>Escherichia coli</w:t>
      </w:r>
      <w:r>
        <w:rPr>
          <w:rFonts w:ascii="Times New Roman" w:hAnsi="Times New Roman"/>
          <w:b w:val="false"/>
          <w:i w:val="false"/>
          <w:color w:val="000000"/>
          <w:sz w:val="16"/>
        </w:rPr>
        <w:t xml:space="preserve"> in Drinking Water,” April 2014. Veolia Water Solutions and Technologies, Suite 4697, Biosciences Complex, 116 Barrie Street, Kingston, Ontario, Canada K7L 3N6.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Invalidation of a fecal indicator-positive GW source sample.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GW systems may obtain invalidation from the department of a fecal indicator-positive GW source sample collected under </w:t>
      </w:r>
      <w:hyperlink r:id="rId351">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 only under these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provides the department with written notice from the laboratory that improper sample analysis occurred;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determines in writing that there is substantial evidence that a fecal indicator-positive GW source sample is not related to source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invalidates a fecal indicator-positive GW source sample, the system must collect another source water sample under </w:t>
      </w:r>
      <w:hyperlink r:id="rId352">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 within 24 hours of department notification of the invalidation decision. The sample must be analyzed for the same fecal indicator using the analytical methods in </w:t>
      </w:r>
      <w:hyperlink r:id="rId353">
        <w:r>
          <w:rPr>
            <w:rStyle w:val="Hyperlink"/>
            <w:rFonts w:ascii="Times New Roman" w:hAnsi="Times New Roman"/>
            <w:b w:val="false"/>
            <w:i w:val="false"/>
            <w:color w:val="000000"/>
            <w:sz w:val="22"/>
          </w:rPr>
          <w:t>41.7(3)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department may extend the 24-hour time limit on a case-by-case basis if the system cannot collect the source water sample within 24 hours due to circumstances beyond its control. For an extension, the department must specify how much time the system has to collect the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Sampling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GW source sample required under </w:t>
      </w:r>
      <w:hyperlink r:id="rId354">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be collected at a location prior to any treatment of the GW source, unless the department approves a sampling location after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system’s configuration does not allow for sampling at the well itself, the system may collect a sample at a department-approved location to meet the requirements of </w:t>
      </w:r>
      <w:hyperlink r:id="rId355">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sample is representative of the water quality of that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New sources. </w:t>
      </w:r>
      <w:r>
        <w:rPr>
          <w:rFonts w:ascii="Times New Roman" w:hAnsi="Times New Roman"/>
          <w:b w:val="false"/>
          <w:i w:val="false"/>
          <w:color w:val="000000"/>
          <w:sz w:val="22"/>
        </w:rPr>
        <w:t xml:space="preserve">As directed by the department, a GW system that places a new GW source into service must conduct assessment source water monitoring, including the sampling and analysis in </w:t>
      </w:r>
      <w:r>
        <w:rPr>
          <w:rFonts w:ascii="Times New Roman" w:hAnsi="Times New Roman"/>
          <w:b w:val="false"/>
          <w:i w:val="false"/>
          <w:color w:val="000000"/>
          <w:sz w:val="22"/>
        </w:rPr>
        <w:t>41.7(3)</w:t>
      </w:r>
      <w:r>
        <w:rPr>
          <w:rFonts w:ascii="Times New Roman" w:hAnsi="Times New Roman"/>
          <w:b w:val="false"/>
          <w:i/>
          <w:color w:val="000000"/>
          <w:sz w:val="22"/>
        </w:rPr>
        <w:t>“b”</w:t>
      </w:r>
      <w:r>
        <w:rPr>
          <w:rFonts w:ascii="Times New Roman" w:hAnsi="Times New Roman"/>
          <w:b w:val="false"/>
          <w:i w:val="false"/>
          <w:color w:val="000000"/>
          <w:sz w:val="22"/>
        </w:rPr>
        <w:t xml:space="preserve">(3) to </w:t>
      </w:r>
      <w:r>
        <w:rPr>
          <w:rFonts w:ascii="Times New Roman" w:hAnsi="Times New Roman"/>
          <w:b w:val="false"/>
          <w:i w:val="false"/>
          <w:color w:val="000000"/>
          <w:sz w:val="22"/>
        </w:rPr>
        <w:t>41.7(3)</w:t>
      </w:r>
      <w:r>
        <w:rPr>
          <w:rFonts w:ascii="Times New Roman" w:hAnsi="Times New Roman"/>
          <w:b w:val="false"/>
          <w:i/>
          <w:color w:val="000000"/>
          <w:sz w:val="22"/>
        </w:rPr>
        <w:t>“b”</w:t>
      </w:r>
      <w:r>
        <w:rPr>
          <w:rFonts w:ascii="Times New Roman" w:hAnsi="Times New Roman"/>
          <w:b w:val="false"/>
          <w:i w:val="false"/>
          <w:color w:val="000000"/>
          <w:sz w:val="22"/>
        </w:rPr>
        <w:t>(6). If directed, the system must begin monitoring before the GW source is used to provide water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PN. </w:t>
      </w:r>
      <w:r>
        <w:rPr>
          <w:rFonts w:ascii="Times New Roman" w:hAnsi="Times New Roman"/>
          <w:b w:val="false"/>
          <w:i w:val="false"/>
          <w:color w:val="000000"/>
          <w:sz w:val="22"/>
        </w:rPr>
        <w:t xml:space="preserve">A system with a GW source sample collected under </w:t>
      </w:r>
      <w:hyperlink r:id="rId356">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that is fecal indicator-positive and that is not invalidated under </w:t>
      </w:r>
      <w:hyperlink r:id="rId357">
        <w:r>
          <w:rPr>
            <w:rStyle w:val="Hyperlink"/>
            <w:rFonts w:ascii="Times New Roman" w:hAnsi="Times New Roman"/>
            <w:b w:val="false"/>
            <w:i w:val="false"/>
            <w:color w:val="000000"/>
            <w:sz w:val="22"/>
          </w:rPr>
          <w:t>41.7(3)</w:t>
        </w:r>
      </w:hyperlink>
      <w:r>
        <w:rPr>
          <w:rFonts w:ascii="Times New Roman" w:hAnsi="Times New Roman"/>
          <w:b w:val="false"/>
          <w:i/>
          <w:color w:val="000000"/>
          <w:sz w:val="22"/>
        </w:rPr>
        <w:t>“d,”</w:t>
      </w:r>
      <w:r>
        <w:rPr>
          <w:rFonts w:ascii="Times New Roman" w:hAnsi="Times New Roman"/>
          <w:b w:val="false"/>
          <w:i w:val="false"/>
          <w:color w:val="000000"/>
          <w:sz w:val="22"/>
        </w:rPr>
        <w:t xml:space="preserve"> including consecutive systems served by the GW source, must conduct Tier 1 PN under </w:t>
      </w:r>
      <w:hyperlink r:id="rId358">
        <w:r>
          <w:rPr>
            <w:rStyle w:val="Hyperlink"/>
            <w:rFonts w:ascii="Times New Roman" w:hAnsi="Times New Roman"/>
            <w:b w:val="false"/>
            <w:i w:val="false"/>
            <w:color w:val="000000"/>
            <w:sz w:val="22"/>
          </w:rPr>
          <w:t>567—subrule 40.5(2)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Monitoring violations. </w:t>
      </w:r>
      <w:r>
        <w:rPr>
          <w:rFonts w:ascii="Times New Roman" w:hAnsi="Times New Roman"/>
          <w:b w:val="false"/>
          <w:i w:val="false"/>
          <w:color w:val="000000"/>
          <w:sz w:val="22"/>
        </w:rPr>
        <w:t xml:space="preserve">Failure to meet the requirements of </w:t>
      </w:r>
      <w:hyperlink r:id="rId359">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is a monitoring violation that requires the system to provide Tier 3 PN under </w:t>
      </w:r>
      <w:hyperlink r:id="rId360">
        <w:r>
          <w:rPr>
            <w:rStyle w:val="Hyperlink"/>
            <w:rFonts w:ascii="Times New Roman" w:hAnsi="Times New Roman"/>
            <w:b w:val="false"/>
            <w:i w:val="false"/>
            <w:color w:val="000000"/>
            <w:sz w:val="22"/>
          </w:rPr>
          <w:t>567—subrule 40.5(4)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41.7(4)</w:t>
      </w:r>
      <w:r>
        <w:rPr>
          <w:rFonts w:ascii="Times New Roman" w:hAnsi="Times New Roman"/>
          <w:b w:val="false"/>
          <w:i w:val="false"/>
          <w:color w:val="000000"/>
          <w:sz w:val="22"/>
        </w:rPr>
        <w:t> </w:t>
      </w:r>
      <w:r>
        <w:rPr>
          <w:rFonts w:ascii="Times New Roman" w:hAnsi="Times New Roman"/>
          <w:b w:val="false"/>
          <w:i/>
          <w:color w:val="000000"/>
          <w:sz w:val="22"/>
        </w:rPr>
        <w:t xml:space="preserve">GW system TT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GW systems with significant deficiencies or source water fecal contamination.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TT requirements of this subrule must be met by GW systems when a significant deficiency is identified or when a GW source sample collected under </w:t>
      </w:r>
      <w:hyperlink r:id="rId361">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(3) is fecal indicator-positive.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directed by the department, a GW system with a GW source sample collected under </w:t>
      </w:r>
      <w:hyperlink r:id="rId362">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(4), or </w:t>
      </w:r>
      <w:hyperlink r:id="rId363">
        <w:r>
          <w:rPr>
            <w:rStyle w:val="Hyperlink"/>
            <w:rFonts w:ascii="Times New Roman" w:hAnsi="Times New Roman"/>
            <w:b w:val="false"/>
            <w:i w:val="false"/>
            <w:color w:val="000000"/>
            <w:sz w:val="22"/>
          </w:rPr>
          <w:t>41.7(3)</w:t>
        </w:r>
      </w:hyperlink>
      <w:r>
        <w:rPr>
          <w:rFonts w:ascii="Times New Roman" w:hAnsi="Times New Roman"/>
          <w:b w:val="false"/>
          <w:i/>
          <w:color w:val="000000"/>
          <w:sz w:val="22"/>
        </w:rPr>
        <w:t>“b”</w:t>
      </w:r>
      <w:r>
        <w:rPr>
          <w:rFonts w:ascii="Times New Roman" w:hAnsi="Times New Roman"/>
          <w:b w:val="false"/>
          <w:i w:val="false"/>
          <w:color w:val="000000"/>
          <w:sz w:val="22"/>
        </w:rPr>
        <w:t xml:space="preserve"> that is fecal indicator-positive must comply with the TT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significant deficiency is identified at a SW or IGW system that also uses a GW source not under the influence of SW, the system must comply with provisions of this paragraph, except in cases where the department determines that the significant deficiency is in a portion of the distribution system that is served solely by the SW or IGW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department directs the GW system to implement a specific corrective action, the system must consult with the department regarding the appropriate corrective action within 30 days of either receiving a written department notice of a significant deficiency, written notice from a laboratory that a GW source sample collected under </w:t>
      </w:r>
      <w:hyperlink r:id="rId364">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(3) is fecal indicator-positive, or direction from the department that a fecal indicator-positive sample collected under </w:t>
      </w:r>
      <w:hyperlink r:id="rId365">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(4), or </w:t>
      </w:r>
      <w:hyperlink r:id="rId366">
        <w:r>
          <w:rPr>
            <w:rStyle w:val="Hyperlink"/>
            <w:rFonts w:ascii="Times New Roman" w:hAnsi="Times New Roman"/>
            <w:b w:val="false"/>
            <w:i w:val="false"/>
            <w:color w:val="000000"/>
            <w:sz w:val="22"/>
          </w:rPr>
          <w:t>41.7(3)</w:t>
        </w:r>
      </w:hyperlink>
      <w:r>
        <w:rPr>
          <w:rFonts w:ascii="Times New Roman" w:hAnsi="Times New Roman"/>
          <w:b w:val="false"/>
          <w:i/>
          <w:color w:val="000000"/>
          <w:sz w:val="22"/>
        </w:rPr>
        <w:t>“b”</w:t>
      </w:r>
      <w:r>
        <w:rPr>
          <w:rFonts w:ascii="Times New Roman" w:hAnsi="Times New Roman"/>
          <w:b w:val="false"/>
          <w:i w:val="false"/>
          <w:color w:val="000000"/>
          <w:sz w:val="22"/>
        </w:rPr>
        <w:t xml:space="preserve"> requires corrective action. For the purposes of this subrule, significant deficiencies include, but are not limited to, defects in design, operation, or maintenance, or a failure or malfunction of the sources, treatment, storage, or distribution system that the department determines to be causing, or have potential for causing, the introduction of contamination into the water delivered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 Within 120 days, or earlier if directed by the department, of either receiving written department notification of a significant deficiency, written notice from a laboratory that a GW source sample collected under </w:t>
      </w:r>
      <w:hyperlink r:id="rId367">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(3) is fecal indicator-positive, or direction from the department that a fecal indicator-positive sample collected under </w:t>
      </w:r>
      <w:hyperlink r:id="rId368">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(4), or </w:t>
      </w:r>
      <w:hyperlink r:id="rId369">
        <w:r>
          <w:rPr>
            <w:rStyle w:val="Hyperlink"/>
            <w:rFonts w:ascii="Times New Roman" w:hAnsi="Times New Roman"/>
            <w:b w:val="false"/>
            <w:i w:val="false"/>
            <w:color w:val="000000"/>
            <w:sz w:val="22"/>
          </w:rPr>
          <w:t>41.7(3)</w:t>
        </w:r>
      </w:hyperlink>
      <w:r>
        <w:rPr>
          <w:rFonts w:ascii="Times New Roman" w:hAnsi="Times New Roman"/>
          <w:b w:val="false"/>
          <w:i/>
          <w:color w:val="000000"/>
          <w:sz w:val="22"/>
        </w:rPr>
        <w:t>“b”</w:t>
      </w:r>
      <w:r>
        <w:rPr>
          <w:rFonts w:ascii="Times New Roman" w:hAnsi="Times New Roman"/>
          <w:b w:val="false"/>
          <w:i w:val="false"/>
          <w:color w:val="000000"/>
          <w:sz w:val="22"/>
        </w:rPr>
        <w:t xml:space="preserve"> requires corrective action, the GW system must either: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completed corrective action in accordance with applicable department plan review processes or other department guidance or direction, if any, including department-specified interim measures;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in compliance with a department-approved corrective action plan and schedule, subject to the following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subsequent modifications to a department-approved corrective action plan and schedule must also be approved by the department;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department specifies interim measures for public health protection, pending department approval of the corrective action plan and schedule, or pending completion of the corrective action plan, the system must comply with these interim measures in addition to any department-specified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Corrective action alternatives. GW systems meeting the conditions of </w:t>
      </w:r>
      <w:hyperlink r:id="rId370">
        <w:r>
          <w:rPr>
            <w:rStyle w:val="Hyperlink"/>
            <w:rFonts w:ascii="Times New Roman" w:hAnsi="Times New Roman"/>
            <w:b w:val="false"/>
            <w:i w:val="false"/>
            <w:color w:val="000000"/>
            <w:sz w:val="22"/>
          </w:rPr>
          <w:t>41.7(4)</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(2) must implement one or more of the following corrective action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 all significant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an alternate source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Eliminate the source of contamination;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treatment that reliably achieves at least 4-log virus treatment for the GW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Special PN of significant deficiencies or source water fecal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Tier 1 PN requirements of </w:t>
      </w:r>
      <w:hyperlink r:id="rId371">
        <w:r>
          <w:rPr>
            <w:rStyle w:val="Hyperlink"/>
            <w:rFonts w:ascii="Times New Roman" w:hAnsi="Times New Roman"/>
            <w:b w:val="false"/>
            <w:i w:val="false"/>
            <w:color w:val="000000"/>
            <w:sz w:val="22"/>
          </w:rPr>
          <w:t>567—subrule 40.5(2)</w:t>
        </w:r>
      </w:hyperlink>
      <w:r>
        <w:rPr>
          <w:rFonts w:ascii="Times New Roman" w:hAnsi="Times New Roman"/>
          <w:b w:val="false"/>
          <w:i w:val="false"/>
          <w:color w:val="000000"/>
          <w:sz w:val="22"/>
        </w:rPr>
        <w:t xml:space="preserve">, a community GW system that receives department notice of a significant deficiency or notification of a fecal indicator-positive GW source sample that is not invalidated under this rule must inform the public served by the water system of the fecal indicator-positive source sample or of any uncorrected significant deficiency, in accordance with </w:t>
      </w:r>
      <w:hyperlink r:id="rId372">
        <w:r>
          <w:rPr>
            <w:rStyle w:val="Hyperlink"/>
            <w:rFonts w:ascii="Times New Roman" w:hAnsi="Times New Roman"/>
            <w:b w:val="false"/>
            <w:i w:val="false"/>
            <w:color w:val="000000"/>
            <w:sz w:val="22"/>
          </w:rPr>
          <w:t>567—paragraph 40.7(9)</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system must continue to inform the public annually until the significant deficiency is corrected or until the department determines that the fecal contamination in the GW source is corrected, in accordance with </w:t>
      </w:r>
      <w:hyperlink r:id="rId373">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Tier 1 PN requirements of </w:t>
      </w:r>
      <w:hyperlink r:id="rId374">
        <w:r>
          <w:rPr>
            <w:rStyle w:val="Hyperlink"/>
            <w:rFonts w:ascii="Times New Roman" w:hAnsi="Times New Roman"/>
            <w:b w:val="false"/>
            <w:i w:val="false"/>
            <w:color w:val="000000"/>
            <w:sz w:val="22"/>
          </w:rPr>
          <w:t>567—subrule 40.5(2)</w:t>
        </w:r>
      </w:hyperlink>
      <w:r>
        <w:rPr>
          <w:rFonts w:ascii="Times New Roman" w:hAnsi="Times New Roman"/>
          <w:b w:val="false"/>
          <w:i w:val="false"/>
          <w:color w:val="000000"/>
          <w:sz w:val="22"/>
        </w:rPr>
        <w:t>, a noncommunity GW system that receives department notice of a significant deficiency must inform the public served by the system, in a department-approved manner, of any significant deficiency that is not corrected within 12 months of department notification or earlier if directed by the department. The system must continue to inform the public annually until the significant deficiency is corrected. The information must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nature of the significant deficiency and the date it was identified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department-approved plan and schedule for correction of the significant deficiency, including interim measures, progress to date, and any interim measures completed;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systems with a large proportion of non-English speaking consumers, as determined by the department, information in the applicable language(s) regarding the importance of the notice, or a telephone number or address where consumers may contact the system to obtain a translated copy of the notice or assistance in the appropriate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directed by the department, an NCWS with significant deficiencies that have been corrected must inform its customers of the significant deficiencies, how the deficiencies were corrected, and the dates of correction under </w:t>
      </w:r>
      <w:hyperlink r:id="rId375">
        <w:r>
          <w:rPr>
            <w:rStyle w:val="Hyperlink"/>
            <w:rFonts w:ascii="Times New Roman" w:hAnsi="Times New Roman"/>
            <w:b w:val="false"/>
            <w:i w:val="false"/>
            <w:color w:val="000000"/>
            <w:sz w:val="22"/>
          </w:rPr>
          <w:t>41.7(4)</w:t>
        </w:r>
      </w:hyperlink>
      <w:r>
        <w:rPr>
          <w:rFonts w:ascii="Times New Roman" w:hAnsi="Times New Roman"/>
          <w:b w:val="false"/>
          <w:i/>
          <w:color w:val="000000"/>
          <w:sz w:val="22"/>
        </w:rPr>
        <w:t>“a”</w:t>
      </w:r>
      <w:r>
        <w:rPr>
          <w:rFonts w:ascii="Times New Roman" w:hAnsi="Times New Roman"/>
          <w:b w:val="false"/>
          <w:i w:val="false"/>
          <w:color w:val="000000"/>
          <w:sz w:val="22"/>
        </w:rPr>
        <w:t>(7)“2.”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GW sources. A GW system that provides at least 4-log virus treatment must submit a request to the department to avoid the source water monitoring requirements of </w:t>
      </w:r>
      <w:hyperlink r:id="rId376">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 xml:space="preserve">. The request must include engineering, operational, or other information that the department may need to evaluate the submission. The department must approve the request in writing before the system can avoid the GW source monitoring requirements. The system’s operation permit will include the mandatory operational requirements for the approved 4-log virus treatment. If the system subsequently discontinues 4-log virus treatment or no longer wishes to be exempt, the system must conduct GW source monitoring as required under </w:t>
      </w:r>
      <w:hyperlink r:id="rId377">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GW sources. A GW system that places a GW source in service that is not required to meet the source water monitoring requirements of this subrule because it provides at least 4-log virus treatment for the GW source must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must notify the department in writing that it provides at least 4-log virus treatment for the GW source. The department notification must include engineering, operational, or other information that the department requests to evaluate the submission. The contact time values for virus inactivation using free chlorine, chlorine dioxide, and ozone are in </w:t>
      </w:r>
      <w:hyperlink r:id="rId378">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Appendix C. No CT table is provided for chloramines and total chlorine as the CT values would be prohibitively high for GW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must conduct compliance monitoring under </w:t>
      </w:r>
      <w:hyperlink r:id="rId379">
        <w:r>
          <w:rPr>
            <w:rStyle w:val="Hyperlink"/>
            <w:rFonts w:ascii="Times New Roman" w:hAnsi="Times New Roman"/>
            <w:b w:val="false"/>
            <w:i w:val="false"/>
            <w:color w:val="000000"/>
            <w:sz w:val="22"/>
          </w:rPr>
          <w:t>41.7(4)</w:t>
        </w:r>
      </w:hyperlink>
      <w:r>
        <w:rPr>
          <w:rFonts w:ascii="Times New Roman" w:hAnsi="Times New Roman"/>
          <w:b w:val="false"/>
          <w:i/>
          <w:color w:val="000000"/>
          <w:sz w:val="22"/>
        </w:rPr>
        <w:t>“b”</w:t>
      </w:r>
      <w:r>
        <w:rPr>
          <w:rFonts w:ascii="Times New Roman" w:hAnsi="Times New Roman"/>
          <w:b w:val="false"/>
          <w:i w:val="false"/>
          <w:color w:val="000000"/>
          <w:sz w:val="22"/>
        </w:rPr>
        <w:t>(3) within 30 days of placing the source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must conduct GW source monitoring under </w:t>
      </w:r>
      <w:hyperlink r:id="rId380">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 xml:space="preserve"> if it subsequently discontinues 4-log virus treatment for the GW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requirements. A GW system subject to </w:t>
      </w:r>
      <w:hyperlink r:id="rId381">
        <w:r>
          <w:rPr>
            <w:rStyle w:val="Hyperlink"/>
            <w:rFonts w:ascii="Times New Roman" w:hAnsi="Times New Roman"/>
            <w:b w:val="false"/>
            <w:i w:val="false"/>
            <w:color w:val="000000"/>
            <w:sz w:val="22"/>
          </w:rPr>
          <w:t>41.7(4)</w:t>
        </w:r>
      </w:hyperlink>
      <w:r>
        <w:rPr>
          <w:rFonts w:ascii="Times New Roman" w:hAnsi="Times New Roman"/>
          <w:b w:val="false"/>
          <w:i/>
          <w:color w:val="000000"/>
          <w:sz w:val="22"/>
        </w:rPr>
        <w:t>“a,”</w:t>
      </w:r>
      <w:hyperlink r:id="rId382">
        <w:r>
          <w:rPr>
            <w:rStyle w:val="Hyperlink"/>
            <w:rFonts w:ascii="Times New Roman" w:hAnsi="Times New Roman"/>
            <w:b w:val="false"/>
            <w:i w:val="false"/>
            <w:color w:val="000000"/>
            <w:sz w:val="22"/>
          </w:rPr>
          <w:t>41.7(4)</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r>
        <w:rPr>
          <w:rFonts w:ascii="Times New Roman" w:hAnsi="Times New Roman"/>
          <w:b w:val="false"/>
          <w:i/>
          <w:color w:val="000000"/>
          <w:sz w:val="22"/>
        </w:rPr>
        <w:t>“b”</w:t>
      </w:r>
      <w:r>
        <w:rPr>
          <w:rFonts w:ascii="Times New Roman" w:hAnsi="Times New Roman"/>
          <w:b w:val="false"/>
          <w:i w:val="false"/>
          <w:color w:val="000000"/>
          <w:sz w:val="22"/>
        </w:rPr>
        <w:t>(2) must monitor the effectiveness and reliability of treatment for that GW source before or at the first customer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Chemical disinfection. A GW system must monitor the residual disinfectant concentration, using analytical methods specified in </w:t>
      </w:r>
      <w:hyperlink r:id="rId383">
        <w:r>
          <w:rPr>
            <w:rStyle w:val="Hyperlink"/>
            <w:rFonts w:ascii="Times New Roman" w:hAnsi="Times New Roman"/>
            <w:b w:val="false"/>
            <w:i w:val="false"/>
            <w:color w:val="000000"/>
            <w:sz w:val="22"/>
          </w:rPr>
          <w:t>567—subparagraph 43.5(4)</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at a department-approved location and must record the lowest residual disinfectant concentration each day that water from the GW source is served to the public. A GW system must maintain the department-determined minimum residual disinfectant concentration every day the GW system serves water from the GW source to the public.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GW system serving more than 3,300 people must monitor continuously. If there is a failure in the continuous monitoring equipment, the system must conduct grab sampling every four hours until the continuous monitoring equipment is returned to service. The system must resume continuous residual disinfectant monitoring within 14 days.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GW system serving 3,300 or fewer people must take a daily grab sample during the hour of peak flow or at another department-specified time. If any daily grab sample measurement falls below the department-determined minimum residual disinfectant concentration, the system must take follow-up samples every four hours until the residual disinfectant concentration is restored to the department-determined minimum level. Alternatively, a GW system that serves 3,300 or fewer people may monitor continuously and meet the requirements of </w:t>
      </w:r>
      <w:hyperlink r:id="rId384">
        <w:r>
          <w:rPr>
            <w:rStyle w:val="Hyperlink"/>
            <w:rFonts w:ascii="Times New Roman" w:hAnsi="Times New Roman"/>
            <w:b w:val="false"/>
            <w:i w:val="false"/>
            <w:color w:val="000000"/>
            <w:sz w:val="22"/>
          </w:rPr>
          <w:t>41.7(4)</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“1,” first bulleted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Membrane filtration. A GW system using membrane filtration to meet the requirements of this paragraph to provide at least 4-log virus treatment must monitor and operate the membrane filtration process in accordance with all department-specified monitoring and compliance requirements. A GW system that uses membrane filtration is in compliance with the requirement to achieve at least 4-log virus removal when: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membrane has an absolute molecular weight cut-off (MWCO), or an alternate parameter that describes the exclusion characteristics of the membrane, that can reliably achieve at least 4-log virus removal;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membrane process is operated in accordance with department-specified compliance requirements;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integrity of the membrane is intact.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treatment. A GW system using a department-approved alternative treatment to meet the requirements of </w:t>
      </w:r>
      <w:hyperlink r:id="rId385">
        <w:r>
          <w:rPr>
            <w:rStyle w:val="Hyperlink"/>
            <w:rFonts w:ascii="Times New Roman" w:hAnsi="Times New Roman"/>
            <w:b w:val="false"/>
            <w:i w:val="false"/>
            <w:color w:val="000000"/>
            <w:sz w:val="22"/>
          </w:rPr>
          <w:t>41.7(4)</w:t>
        </w:r>
      </w:hyperlink>
      <w:r>
        <w:rPr>
          <w:rFonts w:ascii="Times New Roman" w:hAnsi="Times New Roman"/>
          <w:b w:val="false"/>
          <w:i/>
          <w:color w:val="000000"/>
          <w:sz w:val="22"/>
        </w:rPr>
        <w:t>“b”</w:t>
      </w:r>
      <w:r>
        <w:rPr>
          <w:rFonts w:ascii="Times New Roman" w:hAnsi="Times New Roman"/>
          <w:b w:val="false"/>
          <w:i w:val="false"/>
          <w:color w:val="000000"/>
          <w:sz w:val="22"/>
        </w:rPr>
        <w:t xml:space="preserve"> by providing at least 4-log virus treatment must: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Monitor the alternative treatment in accordance with all department-specified monitoring requirements;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Operate the alternative treatment in accordance with all compliance requirements that the department determines to be necessary to achieve at least 4-log virus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Discontinuing treatment. </w:t>
      </w:r>
      <w:r>
        <w:rPr>
          <w:rFonts w:ascii="Times New Roman" w:hAnsi="Times New Roman"/>
          <w:b w:val="false"/>
          <w:i w:val="false"/>
          <w:color w:val="000000"/>
          <w:sz w:val="22"/>
        </w:rPr>
        <w:t xml:space="preserve">A GW system may discontinue 4-log virus treatment for a GW source if the department determines in writing that 4-log virus treatment is no longer necessary for that GW source. A system that discontinues 4-log virus treatment is subject to </w:t>
      </w:r>
      <w:hyperlink r:id="rId386">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Monitoring violation. </w:t>
      </w:r>
      <w:r>
        <w:rPr>
          <w:rFonts w:ascii="Times New Roman" w:hAnsi="Times New Roman"/>
          <w:b w:val="false"/>
          <w:i w:val="false"/>
          <w:color w:val="000000"/>
          <w:sz w:val="22"/>
        </w:rPr>
        <w:t xml:space="preserve">Failure to meet the monitoring requirements of </w:t>
      </w:r>
      <w:hyperlink r:id="rId387">
        <w:r>
          <w:rPr>
            <w:rStyle w:val="Hyperlink"/>
            <w:rFonts w:ascii="Times New Roman" w:hAnsi="Times New Roman"/>
            <w:b w:val="false"/>
            <w:i w:val="false"/>
            <w:color w:val="000000"/>
            <w:sz w:val="22"/>
          </w:rPr>
          <w:t>41.7(4)</w:t>
        </w:r>
      </w:hyperlink>
      <w:r>
        <w:rPr>
          <w:rFonts w:ascii="Times New Roman" w:hAnsi="Times New Roman"/>
          <w:b w:val="false"/>
          <w:i/>
          <w:color w:val="000000"/>
          <w:sz w:val="22"/>
        </w:rPr>
        <w:t>“b”</w:t>
      </w:r>
      <w:r>
        <w:rPr>
          <w:rFonts w:ascii="Times New Roman" w:hAnsi="Times New Roman"/>
          <w:b w:val="false"/>
          <w:i w:val="false"/>
          <w:color w:val="000000"/>
          <w:sz w:val="22"/>
        </w:rPr>
        <w:t xml:space="preserve"> is a monitoring violation and requires the GW system to provide Tier 3 PN under </w:t>
      </w:r>
      <w:hyperlink r:id="rId388">
        <w:r>
          <w:rPr>
            <w:rStyle w:val="Hyperlink"/>
            <w:rFonts w:ascii="Times New Roman" w:hAnsi="Times New Roman"/>
            <w:b w:val="false"/>
            <w:i w:val="false"/>
            <w:color w:val="000000"/>
            <w:sz w:val="22"/>
          </w:rPr>
          <w:t>567—subrule 40.5(4)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41.7(5)</w:t>
      </w:r>
      <w:r>
        <w:rPr>
          <w:rFonts w:ascii="Times New Roman" w:hAnsi="Times New Roman"/>
          <w:b w:val="false"/>
          <w:i w:val="false"/>
          <w:color w:val="000000"/>
          <w:sz w:val="22"/>
        </w:rPr>
        <w:t> </w:t>
      </w:r>
      <w:r>
        <w:rPr>
          <w:rFonts w:ascii="Times New Roman" w:hAnsi="Times New Roman"/>
          <w:b w:val="false"/>
          <w:i/>
          <w:color w:val="000000"/>
          <w:sz w:val="22"/>
        </w:rPr>
        <w:t xml:space="preserve">GW system TT violations. </w:t>
      </w:r>
      <w:r>
        <w:rPr>
          <w:rFonts w:ascii="Times New Roman" w:hAnsi="Times New Roman"/>
          <w:b w:val="false"/>
          <w:i w:val="false"/>
          <w:color w:val="000000"/>
          <w:sz w:val="22"/>
        </w:rPr>
        <w:t xml:space="preserve">A GW system must give Tier 2 PN under </w:t>
      </w:r>
      <w:hyperlink r:id="rId389">
        <w:r>
          <w:rPr>
            <w:rStyle w:val="Hyperlink"/>
            <w:rFonts w:ascii="Times New Roman" w:hAnsi="Times New Roman"/>
            <w:b w:val="false"/>
            <w:i w:val="false"/>
            <w:color w:val="000000"/>
            <w:sz w:val="22"/>
          </w:rPr>
          <w:t>567—subrule 40.5(3)</w:t>
        </w:r>
      </w:hyperlink>
      <w:r>
        <w:rPr>
          <w:rFonts w:ascii="Times New Roman" w:hAnsi="Times New Roman"/>
          <w:b w:val="false"/>
          <w:i w:val="false"/>
          <w:color w:val="000000"/>
          <w:sz w:val="22"/>
        </w:rPr>
        <w:t xml:space="preserve"> for the TT violations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Significant deficiency. </w:t>
      </w:r>
      <w:r>
        <w:rPr>
          <w:rFonts w:ascii="Times New Roman" w:hAnsi="Times New Roman"/>
          <w:b w:val="false"/>
          <w:i w:val="false"/>
          <w:color w:val="000000"/>
          <w:sz w:val="22"/>
        </w:rPr>
        <w:t>A GW system with a significant deficiency is in violation of the TT requirement if, within 120 days (or earlier if directed by the department) of receiving written department notice of the significant deficiency,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complete corrective action in accordance with any applicable department plan review processes or other department direction, including department-specified interim measures;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in compliance with a department-approved corrective action plan and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Fecal indicator-positive source sample. </w:t>
      </w:r>
      <w:r>
        <w:rPr>
          <w:rFonts w:ascii="Times New Roman" w:hAnsi="Times New Roman"/>
          <w:b w:val="false"/>
          <w:i w:val="false"/>
          <w:color w:val="000000"/>
          <w:sz w:val="22"/>
        </w:rPr>
        <w:t xml:space="preserve">Unless the department invalidates a fecal indicator-positive GW source sample under </w:t>
      </w:r>
      <w:hyperlink r:id="rId390">
        <w:r>
          <w:rPr>
            <w:rStyle w:val="Hyperlink"/>
            <w:rFonts w:ascii="Times New Roman" w:hAnsi="Times New Roman"/>
            <w:b w:val="false"/>
            <w:i w:val="false"/>
            <w:color w:val="000000"/>
            <w:sz w:val="22"/>
          </w:rPr>
          <w:t>41.7(3)</w:t>
        </w:r>
      </w:hyperlink>
      <w:r>
        <w:rPr>
          <w:rFonts w:ascii="Times New Roman" w:hAnsi="Times New Roman"/>
          <w:b w:val="false"/>
          <w:i/>
          <w:color w:val="000000"/>
          <w:sz w:val="22"/>
        </w:rPr>
        <w:t>“d”</w:t>
      </w:r>
      <w:r>
        <w:rPr>
          <w:rFonts w:ascii="Times New Roman" w:hAnsi="Times New Roman"/>
          <w:b w:val="false"/>
          <w:i w:val="false"/>
          <w:color w:val="000000"/>
          <w:sz w:val="22"/>
        </w:rPr>
        <w:t xml:space="preserve">(1), a GW system is in violation of the TT requirement if, within 120 days (or earlier if directed by the department) of meeting the conditions of </w:t>
      </w:r>
      <w:hyperlink r:id="rId391">
        <w:r>
          <w:rPr>
            <w:rStyle w:val="Hyperlink"/>
            <w:rFonts w:ascii="Times New Roman" w:hAnsi="Times New Roman"/>
            <w:b w:val="false"/>
            <w:i w:val="false"/>
            <w:color w:val="000000"/>
            <w:sz w:val="22"/>
          </w:rPr>
          <w:t>41.7(4)</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(2),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complete corrective action in accordance with any applicable department plan review processes or other department direction, including department-specified interim measures;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in compliance with a department-approved corrective action plan and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4-log treatment. </w:t>
      </w:r>
      <w:r>
        <w:rPr>
          <w:rFonts w:ascii="Times New Roman" w:hAnsi="Times New Roman"/>
          <w:b w:val="false"/>
          <w:i w:val="false"/>
          <w:color w:val="000000"/>
          <w:sz w:val="22"/>
        </w:rPr>
        <w:t xml:space="preserve">A GW system subject to </w:t>
      </w:r>
      <w:hyperlink r:id="rId392">
        <w:r>
          <w:rPr>
            <w:rStyle w:val="Hyperlink"/>
            <w:rFonts w:ascii="Times New Roman" w:hAnsi="Times New Roman"/>
            <w:b w:val="false"/>
            <w:i w:val="false"/>
            <w:color w:val="000000"/>
            <w:sz w:val="22"/>
          </w:rPr>
          <w:t>41.7(4)</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that fails to maintain at least 4-log virus treatment for a GW source is in violation of the TT requirement if the failure is not corrected within four hours of the determination that the system is not maintaining at least 4-log virus treatment before or at the first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41.7(6)</w:t>
      </w:r>
      <w:r>
        <w:rPr>
          <w:rFonts w:ascii="Times New Roman" w:hAnsi="Times New Roman"/>
          <w:b w:val="false"/>
          <w:i w:val="false"/>
          <w:color w:val="000000"/>
          <w:sz w:val="22"/>
        </w:rPr>
        <w:t> </w:t>
      </w:r>
      <w:r>
        <w:rPr>
          <w:rFonts w:ascii="Times New Roman" w:hAnsi="Times New Roman"/>
          <w:b w:val="false"/>
          <w:i/>
          <w:color w:val="000000"/>
          <w:sz w:val="22"/>
        </w:rPr>
        <w:t xml:space="preserve">GW system reporting and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 xml:space="preserve">In addition to meeting the requirements of </w:t>
      </w:r>
      <w:hyperlink r:id="rId393">
        <w:r>
          <w:rPr>
            <w:rStyle w:val="Hyperlink"/>
            <w:rFonts w:ascii="Times New Roman" w:hAnsi="Times New Roman"/>
            <w:b w:val="false"/>
            <w:i w:val="false"/>
            <w:color w:val="000000"/>
            <w:sz w:val="22"/>
          </w:rPr>
          <w:t>567—subrule 40.8(1)</w:t>
        </w:r>
      </w:hyperlink>
      <w:r>
        <w:rPr>
          <w:rFonts w:ascii="Times New Roman" w:hAnsi="Times New Roman"/>
          <w:b w:val="false"/>
          <w:i w:val="false"/>
          <w:color w:val="000000"/>
          <w:sz w:val="22"/>
        </w:rPr>
        <w:t>, GW systems must provide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GW system conducting compliance monitoring under </w:t>
      </w:r>
      <w:hyperlink r:id="rId394">
        <w:r>
          <w:rPr>
            <w:rStyle w:val="Hyperlink"/>
            <w:rFonts w:ascii="Times New Roman" w:hAnsi="Times New Roman"/>
            <w:b w:val="false"/>
            <w:i w:val="false"/>
            <w:color w:val="000000"/>
            <w:sz w:val="22"/>
          </w:rPr>
          <w:t>41.7(4)</w:t>
        </w:r>
        <w:r>
          <w:rPr>
            <w:rFonts w:ascii="Times New Roman" w:hAnsi="Times New Roman"/>
            <w:b w:val="false"/>
            <w:i/>
            <w:color w:val="000000"/>
            <w:sz w:val="22"/>
          </w:rPr>
          <w:t>“b”</w:t>
        </w:r>
      </w:hyperlink>
      <w:r>
        <w:rPr>
          <w:rFonts w:ascii="Times New Roman" w:hAnsi="Times New Roman"/>
          <w:b w:val="false"/>
          <w:i w:val="false"/>
          <w:color w:val="000000"/>
          <w:sz w:val="22"/>
        </w:rPr>
        <w:t xml:space="preserve"> must provide notification any time it fails to meet any of the requirements for 4-log virus treatment including, but not limited to, minimum residual disinfectant concentration, membrane operating criteria or membrane integrity, and alternative treatment operating criteria, if operation in accordance with the criteria or requirements is not restored within four hours. Notification must be provided as soon as possible but in no case later than the end of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action completion, within 30 days of completing any corrective action under </w:t>
      </w:r>
      <w:hyperlink r:id="rId395">
        <w:r>
          <w:rPr>
            <w:rStyle w:val="Hyperlink"/>
            <w:rFonts w:ascii="Times New Roman" w:hAnsi="Times New Roman"/>
            <w:b w:val="false"/>
            <w:i w:val="false"/>
            <w:color w:val="000000"/>
            <w:sz w:val="22"/>
          </w:rPr>
          <w:t>41.7(4)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GW system subject to </w:t>
      </w:r>
      <w:hyperlink r:id="rId396">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conduct source water monitoring under </w:t>
      </w:r>
      <w:hyperlink r:id="rId397">
        <w:r>
          <w:rPr>
            <w:rStyle w:val="Hyperlink"/>
            <w:rFonts w:ascii="Times New Roman" w:hAnsi="Times New Roman"/>
            <w:b w:val="false"/>
            <w:i w:val="false"/>
            <w:color w:val="000000"/>
            <w:sz w:val="22"/>
          </w:rPr>
          <w:t>41.7(3)</w:t>
        </w:r>
        <w:r>
          <w:rPr>
            <w:rFonts w:ascii="Times New Roman" w:hAnsi="Times New Roman"/>
            <w:b w:val="false"/>
            <w:i/>
            <w:color w:val="000000"/>
            <w:sz w:val="22"/>
          </w:rPr>
          <w:t>“a”</w:t>
        </w:r>
        <w:r>
          <w:rPr>
            <w:rFonts w:ascii="Times New Roman" w:hAnsi="Times New Roman"/>
            <w:b w:val="false"/>
            <w:i w:val="false"/>
            <w:color w:val="000000"/>
            <w:sz w:val="22"/>
          </w:rPr>
          <w:t>(5)“2,”</w:t>
        </w:r>
      </w:hyperlink>
      <w:r>
        <w:rPr>
          <w:rFonts w:ascii="Times New Roman" w:hAnsi="Times New Roman"/>
          <w:b w:val="false"/>
          <w:i w:val="false"/>
          <w:color w:val="000000"/>
          <w:sz w:val="22"/>
        </w:rPr>
        <w:t xml:space="preserve"> the system must provide documentation within 30 days of the total coliform-positive sample that it met the department’s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In addition to the requirements in </w:t>
      </w:r>
      <w:hyperlink r:id="rId398">
        <w:r>
          <w:rPr>
            <w:rStyle w:val="Hyperlink"/>
            <w:rFonts w:ascii="Times New Roman" w:hAnsi="Times New Roman"/>
            <w:b w:val="false"/>
            <w:i w:val="false"/>
            <w:color w:val="000000"/>
            <w:sz w:val="22"/>
          </w:rPr>
          <w:t>567—40.9</w:t>
        </w:r>
      </w:hyperlink>
      <w:r>
        <w:rPr>
          <w:rFonts w:ascii="Times New Roman" w:hAnsi="Times New Roman"/>
          <w:b w:val="false"/>
          <w:i w:val="false"/>
          <w:color w:val="000000"/>
          <w:sz w:val="22"/>
        </w:rPr>
        <w:t>(455B), GW systems must maintain the following information for the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Documentation of corrective actions must be kept for not less than ten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PN required under </w:t>
      </w:r>
      <w:hyperlink r:id="rId399">
        <w:r>
          <w:rPr>
            <w:rStyle w:val="Hyperlink"/>
            <w:rFonts w:ascii="Times New Roman" w:hAnsi="Times New Roman"/>
            <w:b w:val="false"/>
            <w:i w:val="false"/>
            <w:color w:val="000000"/>
            <w:sz w:val="22"/>
          </w:rPr>
          <w:t>41.7(4)</w:t>
        </w:r>
      </w:hyperlink>
      <w:r>
        <w:rPr>
          <w:rFonts w:ascii="Times New Roman" w:hAnsi="Times New Roman"/>
          <w:b w:val="false"/>
          <w:i/>
          <w:color w:val="000000"/>
          <w:sz w:val="22"/>
        </w:rPr>
        <w:t>“a”</w:t>
      </w:r>
      <w:r>
        <w:rPr>
          <w:rFonts w:ascii="Times New Roman" w:hAnsi="Times New Roman"/>
          <w:b w:val="false"/>
          <w:i w:val="false"/>
          <w:color w:val="000000"/>
          <w:sz w:val="22"/>
        </w:rPr>
        <w:t>(7) must be kept for not less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decisions under </w:t>
      </w:r>
      <w:hyperlink r:id="rId400">
        <w:r>
          <w:rPr>
            <w:rStyle w:val="Hyperlink"/>
            <w:rFonts w:ascii="Times New Roman" w:hAnsi="Times New Roman"/>
            <w:b w:val="false"/>
            <w:i w:val="false"/>
            <w:color w:val="000000"/>
            <w:sz w:val="22"/>
          </w:rPr>
          <w:t>41.7(3)</w:t>
        </w:r>
      </w:hyperlink>
      <w:r>
        <w:rPr>
          <w:rFonts w:ascii="Times New Roman" w:hAnsi="Times New Roman"/>
          <w:b w:val="false"/>
          <w:i/>
          <w:color w:val="000000"/>
          <w:sz w:val="22"/>
        </w:rPr>
        <w:t>“a”</w:t>
      </w:r>
      <w:r>
        <w:rPr>
          <w:rFonts w:ascii="Times New Roman" w:hAnsi="Times New Roman"/>
          <w:b w:val="false"/>
          <w:i w:val="false"/>
          <w:color w:val="000000"/>
          <w:sz w:val="22"/>
        </w:rPr>
        <w:t xml:space="preserve">(5)“2” and records of fecal indicator-positive GW source sample invalidation under </w:t>
      </w:r>
      <w:hyperlink r:id="rId401">
        <w:r>
          <w:rPr>
            <w:rStyle w:val="Hyperlink"/>
            <w:rFonts w:ascii="Times New Roman" w:hAnsi="Times New Roman"/>
            <w:b w:val="false"/>
            <w:i w:val="false"/>
            <w:color w:val="000000"/>
            <w:sz w:val="22"/>
          </w:rPr>
          <w:t>41.7(3)</w:t>
        </w:r>
      </w:hyperlink>
      <w:r>
        <w:rPr>
          <w:rFonts w:ascii="Times New Roman" w:hAnsi="Times New Roman"/>
          <w:b w:val="false"/>
          <w:i/>
          <w:color w:val="000000"/>
          <w:sz w:val="22"/>
        </w:rPr>
        <w:t>“d”</w:t>
      </w:r>
      <w:r>
        <w:rPr>
          <w:rFonts w:ascii="Times New Roman" w:hAnsi="Times New Roman"/>
          <w:b w:val="false"/>
          <w:i w:val="false"/>
          <w:color w:val="000000"/>
          <w:sz w:val="22"/>
        </w:rPr>
        <w:t>(1) must be kept for not less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consecutive systems, documentation of notification to the wholesale system(s) of total coliform-positive samples that are not invalidated under </w:t>
      </w:r>
      <w:hyperlink r:id="rId402">
        <w:r>
          <w:rPr>
            <w:rStyle w:val="Hyperlink"/>
            <w:rFonts w:ascii="Times New Roman" w:hAnsi="Times New Roman"/>
            <w:b w:val="false"/>
            <w:i w:val="false"/>
            <w:color w:val="000000"/>
            <w:sz w:val="22"/>
          </w:rPr>
          <w:t>41.2(1)</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be kept for not less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including wholesale systems, required to perform compliance monitoring under </w:t>
      </w:r>
      <w:hyperlink r:id="rId403">
        <w:r>
          <w:rPr>
            <w:rStyle w:val="Hyperlink"/>
            <w:rFonts w:ascii="Times New Roman" w:hAnsi="Times New Roman"/>
            <w:b w:val="false"/>
            <w:i w:val="false"/>
            <w:color w:val="000000"/>
            <w:sz w:val="22"/>
          </w:rPr>
          <w:t>41.7(4)</w:t>
        </w:r>
      </w:hyperlink>
      <w:r>
        <w:rPr>
          <w:rFonts w:ascii="Times New Roman" w:hAnsi="Times New Roman"/>
          <w:b w:val="false"/>
          <w:i/>
          <w:color w:val="000000"/>
          <w:sz w:val="22"/>
        </w:rPr>
        <w:t>“b”</w:t>
      </w:r>
      <w:r>
        <w:rPr>
          <w:rFonts w:ascii="Times New Roman" w:hAnsi="Times New Roman"/>
          <w:b w:val="false"/>
          <w:i w:val="false"/>
          <w:color w:val="000000"/>
          <w:sz w:val="22"/>
        </w:rPr>
        <w:t>(1), must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department-specified minimum disinfectant residual must be kept for not less than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Both the lowest daily residual disinfectant concentration and the date and duration of any failure to maintain the department-prescribed minimum residual disinfectant concentration for more than four hours must be kept for not less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Department-specified compliance requirements for membrane filtration, department-specified parameters for department-approved alternative treatment, and the date and duration of any failure to meet the membrane operating, membrane integrity, or alternative treatment operating requirements for more than four hours must be kept for not less than five years.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567—41.8</w:t>
      </w:r>
      <w:r>
        <w:rPr>
          <w:rFonts w:ascii="Times New Roman" w:hAnsi="Times New Roman"/>
          <w:b/>
          <w:i w:val="false"/>
          <w:color w:val="000000"/>
          <w:sz w:val="22"/>
        </w:rPr>
        <w:t xml:space="preserve">(455B) </w:t>
      </w:r>
      <w:r>
        <w:rPr>
          <w:rFonts w:ascii="Times New Roman" w:hAnsi="Times New Roman"/>
          <w:b/>
          <w:i w:val="false"/>
          <w:color w:val="000000"/>
          <w:sz w:val="22"/>
        </w:rPr>
        <w:t xml:space="preserve">Radionuclides.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color w:val="000000"/>
          <w:sz w:val="22"/>
        </w:rPr>
        <w:t xml:space="preserve">Radionuclides.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applies to all CWSs and specifies radionuclide MCLs, analytical methodology requirements, and monitoring requirements. Radionuclide reporting requirements are listed in </w:t>
      </w:r>
      <w:hyperlink r:id="rId404">
        <w:r>
          <w:rPr>
            <w:rStyle w:val="Hyperlink"/>
            <w:rFonts w:ascii="Times New Roman" w:hAnsi="Times New Roman"/>
            <w:b w:val="false"/>
            <w:i w:val="false"/>
            <w:color w:val="000000"/>
            <w:sz w:val="22"/>
          </w:rPr>
          <w:t>567—subrule 40.8(1)</w:t>
        </w:r>
      </w:hyperlink>
      <w:r>
        <w:rPr>
          <w:rFonts w:ascii="Times New Roman" w:hAnsi="Times New Roman"/>
          <w:b w:val="false"/>
          <w:i w:val="false"/>
          <w:color w:val="000000"/>
          <w:sz w:val="22"/>
        </w:rPr>
        <w:t xml:space="preserve">, PN requirements are in </w:t>
      </w:r>
      <w:hyperlink r:id="rId405">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 xml:space="preserve">(455B), and BAT is in </w:t>
      </w:r>
      <w:hyperlink r:id="rId406">
        <w:r>
          <w:rPr>
            <w:rStyle w:val="Hyperlink"/>
            <w:rFonts w:ascii="Times New Roman" w:hAnsi="Times New Roman"/>
            <w:b w:val="false"/>
            <w:i w:val="false"/>
            <w:color w:val="000000"/>
            <w:sz w:val="22"/>
          </w:rPr>
          <w:t>567—subparagraph 43.3(10)</w:t>
        </w:r>
      </w:hyperlink>
      <w:r>
        <w:rPr>
          <w:rFonts w:ascii="Times New Roman" w:hAnsi="Times New Roman"/>
          <w:b w:val="false"/>
          <w:i/>
          <w:color w:val="000000"/>
          <w:sz w:val="22"/>
        </w:rPr>
        <w:t>“b”</w:t>
      </w:r>
      <w:r>
        <w:rPr>
          <w:rFonts w:ascii="Times New Roman" w:hAnsi="Times New Roman"/>
          <w:b w:val="false"/>
          <w:i w:val="false"/>
          <w:color w:val="000000"/>
          <w:sz w:val="22"/>
        </w:rPr>
        <w:t>(3). All CWSs must comply with the requirements and MCLs for gross alpha particle activity, radium-226, radium-228, uranium, beta particle activity, and photon emitter radioactivity. Only those CWSs designated by the department to be vulnerable to man-made radioactivity contamination are required to monitor for beta particle activity and photon emitter radioactivity. To determine whether a system is vulnerable to man-made nuclear radioactivity, the department will evaluate proximity to a nuclear facility, source water, historical analytical data, ongoing surveillance data from the nuclear facility, and any other factor considered to be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dates. CWS must comply with the MCLs in </w:t>
      </w:r>
      <w:hyperlink r:id="rId407">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 xml:space="preserve">(1). Compliance shall be determined in accordance with </w:t>
      </w:r>
      <w:hyperlink r:id="rId408">
        <w:r>
          <w:rPr>
            <w:rStyle w:val="Hyperlink"/>
            <w:rFonts w:ascii="Times New Roman" w:hAnsi="Times New Roman"/>
            <w:b w:val="false"/>
            <w:i w:val="false"/>
            <w:color w:val="000000"/>
            <w:sz w:val="22"/>
          </w:rPr>
          <w:t>41.8(1)</w:t>
        </w:r>
      </w:hyperlink>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Compliance with the radionuclides reporting requirements is required. All CWSs must conduct initial monitoring to determine compliance with </w:t>
      </w:r>
      <w:hyperlink r:id="rId409">
        <w:r>
          <w:rPr>
            <w:rStyle w:val="Hyperlink"/>
            <w:rFonts w:ascii="Times New Roman" w:hAnsi="Times New Roman"/>
            <w:b w:val="false"/>
            <w:i w:val="false"/>
            <w:color w:val="000000"/>
            <w:sz w:val="22"/>
          </w:rPr>
          <w:t>41.8(1)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by December 31, 2007.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MCLs for radionuclides.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Gross alpha particle activity, radium-226, radium-228, and uranium MCLs are specified in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064"/>
        <w:gridCol w:w="3456"/>
      </w:tblGrid>
      <w:tr>
        <w:trPr>
          <w:trHeight w:val="240" w:hRule="atLeast"/>
        </w:trPr>
        <w:tc>
          <w:tcPr>
            <w:tcW w:w="8064"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Contaminant</w:t>
            </w:r>
          </w:p>
        </w:tc>
        <w:tc>
          <w:tcPr>
            <w:tcW w:w="3456" w:type="dxa"/>
            <w:tcBorders>
              <w:bottom w:val="doub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MCL</w:t>
            </w:r>
          </w:p>
        </w:tc>
      </w:tr>
      <w:tr>
        <w:trPr>
          <w:trHeight w:val="240" w:hRule="atLeast"/>
        </w:trPr>
        <w:tc>
          <w:tcPr>
            <w:tcW w:w="80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Gross alpha particle activity, including Radium-226 but excluding radon and uranium</w:t>
            </w:r>
          </w:p>
        </w:tc>
        <w:tc>
          <w:tcPr>
            <w:tcW w:w="345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 pCi/L</w:t>
            </w:r>
          </w:p>
        </w:tc>
      </w:tr>
      <w:tr>
        <w:trPr>
          <w:trHeight w:val="255" w:hRule="atLeast"/>
        </w:trPr>
        <w:tc>
          <w:tcPr>
            <w:tcW w:w="80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Combined Radium-226 and Radium-228</w:t>
            </w:r>
          </w:p>
        </w:tc>
        <w:tc>
          <w:tcPr>
            <w:tcW w:w="345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 pCi/L</w:t>
            </w:r>
            <w:r>
              <w:rPr>
                <w:rFonts w:ascii="Times New Roman" w:hAnsi="Times New Roman"/>
                <w:b w:val="false"/>
                <w:i w:val="false"/>
                <w:color w:val="000000"/>
                <w:sz w:val="18"/>
                <w:vertAlign w:val="superscript"/>
              </w:rPr>
              <w:t>1</w:t>
            </w:r>
          </w:p>
        </w:tc>
      </w:tr>
      <w:tr>
        <w:trPr>
          <w:trHeight w:val="225" w:hRule="atLeast"/>
        </w:trPr>
        <w:tc>
          <w:tcPr>
            <w:tcW w:w="8064"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Uranium</w:t>
            </w:r>
          </w:p>
        </w:tc>
        <w:tc>
          <w:tcPr>
            <w:tcW w:w="345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30 μg/L</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Determine the combined radium-226 and radium-228 by the adding the results of analysis for radium-226 and radium-228.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Beta particle activity and photon radioactivity MCLs.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average annual concentration of beta particle and photon radioactivity from man-made radionuclides in drinking water must not produce an annual dose equivalent to the total body or any internal organ greater than 4 mrem/year.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the radionuclides listed below, the concentration of man-made radionuclides causing 4 mrem total body or organ dose equivalents must be calculated on the basis of 2 liter per day drinking water intake, using the 168-hour data lists in “Maximum Permissible Body Burdens and Maximum Permissible Concentrations of Radionuclides in Air and in Water for Occupational Exposure,” National Bureau of Standards Handbook 69 as amended August 1963, U.S. Department of Commerce. If two or more radionuclides are present, the sum of their annual dose equivalent to the total body or to any organ shall not exceed 4 mrem/year.</w:t>
      </w:r>
    </w:p>
    <w:p>
      <w:pPr>
        <w:spacing w:before="60" w:after="0"/>
        <w:ind w:left="120"/>
        <w:jc w:val="center"/>
      </w:pPr>
      <w:r>
        <w:rPr>
          <w:rFonts w:ascii="Times New Roman" w:hAnsi="Times New Roman"/>
          <w:b/>
          <w:i w:val="false"/>
          <w:color w:val="000000"/>
          <w:sz w:val="22"/>
        </w:rPr>
        <w:t>Average Annual Concentrations Assumed to Produce a</w:t>
      </w:r>
      <w:r>
        <w:br/>
      </w:r>
      <w:r>
        <w:rPr>
          <w:rFonts w:ascii="Times New Roman" w:hAnsi="Times New Roman"/>
          <w:b/>
          <w:i w:val="false"/>
          <w:color w:val="000000"/>
          <w:sz w:val="22"/>
        </w:rPr>
        <w:t>Total Body or Organ Dose of 4 mrem/year</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240" w:hRule="atLeast"/>
        </w:trPr>
        <w:tc>
          <w:tcPr>
            <w:tcW w:w="373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Radionuclide</w:t>
            </w:r>
          </w:p>
        </w:tc>
        <w:tc>
          <w:tcPr>
            <w:tcW w:w="373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Critical Organ</w:t>
            </w:r>
          </w:p>
        </w:tc>
        <w:tc>
          <w:tcPr>
            <w:tcW w:w="3730"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Concentration</w:t>
            </w:r>
          </w:p>
        </w:tc>
      </w:tr>
      <w:tr>
        <w:trPr>
          <w:trHeight w:val="240"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Strontium-90</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Bone marrow</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pCi/L</w:t>
            </w:r>
          </w:p>
        </w:tc>
      </w:tr>
      <w:tr>
        <w:trPr>
          <w:trHeight w:val="225" w:hRule="atLeast"/>
        </w:trPr>
        <w:tc>
          <w:tcPr>
            <w:tcW w:w="373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Tritium</w:t>
            </w:r>
          </w:p>
        </w:tc>
        <w:tc>
          <w:tcPr>
            <w:tcW w:w="3730"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Total body</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20,000 pCi/L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Detection limits and compliance determinations. </w:t>
      </w:r>
      <w:r>
        <w:rPr>
          <w:rFonts w:ascii="Times New Roman" w:hAnsi="Times New Roman"/>
          <w:b w:val="false"/>
          <w:i w:val="false"/>
          <w:color w:val="000000"/>
          <w:sz w:val="22"/>
        </w:rPr>
        <w:t xml:space="preserve">Compliance with the radionuclide MCLs will be determined based on the analytical results obtained at each sampling point. If one sampling point is in violation of an MCL, the system is in violation of the MCL. If a system is in violation of an MCL, the supplier of the water is required to give notice to the department in accordance with </w:t>
      </w:r>
      <w:hyperlink r:id="rId410">
        <w:r>
          <w:rPr>
            <w:rStyle w:val="Hyperlink"/>
            <w:rFonts w:ascii="Times New Roman" w:hAnsi="Times New Roman"/>
            <w:b w:val="false"/>
            <w:i w:val="false"/>
            <w:color w:val="000000"/>
            <w:sz w:val="22"/>
          </w:rPr>
          <w:t>567—subrule 40.8(1)</w:t>
        </w:r>
      </w:hyperlink>
      <w:r>
        <w:rPr>
          <w:rFonts w:ascii="Times New Roman" w:hAnsi="Times New Roman"/>
          <w:b w:val="false"/>
          <w:i w:val="false"/>
          <w:color w:val="000000"/>
          <w:sz w:val="22"/>
        </w:rPr>
        <w:t xml:space="preserve"> and to provide PN as required by rule </w:t>
      </w:r>
      <w:hyperlink r:id="rId411">
        <w:r>
          <w:rPr>
            <w:rStyle w:val="Hyperlink"/>
            <w:rFonts w:ascii="Times New Roman" w:hAnsi="Times New Roman"/>
            <w:b w:val="false"/>
            <w:i w:val="false"/>
            <w:color w:val="000000"/>
            <w:sz w:val="22"/>
          </w:rPr>
          <w:t>567—40.5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Detection limits. When monitoring gross alpha particle activity, radium-226, radium-228, uranium, and beta particle and photon radioactivity concentration in drinking water, the required sensitivity of the radioanalysis is defined in terms of a detection limit. The detection limit shall be that concentration which can be counted with a precision of plus or minus 100 percent at the confidence level (1.960 sigma, where sigma is the standard deviation of the net counting rate of the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determine compliance with the specified radionuclide MCLs, the detection limit shall not exceed the following concentrations:</w:t>
      </w:r>
    </w:p>
    <w:p>
      <w:pPr>
        <w:spacing w:before="60" w:after="0"/>
        <w:ind w:left="120"/>
        <w:jc w:val="center"/>
      </w:pPr>
      <w:r>
        <w:rPr>
          <w:rFonts w:ascii="Times New Roman" w:hAnsi="Times New Roman"/>
          <w:b/>
          <w:i w:val="false"/>
          <w:color w:val="000000"/>
          <w:sz w:val="22"/>
        </w:rPr>
        <w:t>Detection Limits for Gross Alpha Particle Activity,</w:t>
      </w:r>
      <w:r>
        <w:br/>
      </w:r>
      <w:r>
        <w:rPr>
          <w:rFonts w:ascii="Times New Roman" w:hAnsi="Times New Roman"/>
          <w:b/>
          <w:i w:val="false"/>
          <w:color w:val="000000"/>
          <w:sz w:val="22"/>
        </w:rPr>
        <w:t>Radium-226, Radium-228, and Uranium</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075"/>
        <w:gridCol w:w="5115"/>
      </w:tblGrid>
      <w:tr>
        <w:trPr>
          <w:trHeight w:val="240" w:hRule="atLeast"/>
        </w:trPr>
        <w:tc>
          <w:tcPr>
            <w:tcW w:w="607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Contaminant</w:t>
            </w:r>
          </w:p>
        </w:tc>
        <w:tc>
          <w:tcPr>
            <w:tcW w:w="511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Detection Limit</w:t>
            </w:r>
          </w:p>
        </w:tc>
      </w:tr>
      <w:tr>
        <w:trPr>
          <w:trHeight w:val="240" w:hRule="atLeast"/>
        </w:trPr>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Gross alpha particle activity</w:t>
            </w:r>
          </w:p>
        </w:tc>
        <w:tc>
          <w:tcPr>
            <w:tcW w:w="51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pCi/L</w:t>
            </w:r>
          </w:p>
        </w:tc>
      </w:tr>
      <w:tr>
        <w:trPr>
          <w:trHeight w:val="225" w:hRule="atLeast"/>
        </w:trPr>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Radium-226</w:t>
            </w:r>
          </w:p>
        </w:tc>
        <w:tc>
          <w:tcPr>
            <w:tcW w:w="51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pCi/L</w:t>
            </w:r>
          </w:p>
        </w:tc>
      </w:tr>
      <w:tr>
        <w:trPr>
          <w:trHeight w:val="225" w:hRule="atLeast"/>
        </w:trPr>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Radium-228</w:t>
            </w:r>
          </w:p>
        </w:tc>
        <w:tc>
          <w:tcPr>
            <w:tcW w:w="51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pCi/L</w:t>
            </w:r>
          </w:p>
        </w:tc>
      </w:tr>
      <w:tr>
        <w:trPr>
          <w:trHeight w:val="225" w:hRule="atLeast"/>
        </w:trPr>
        <w:tc>
          <w:tcPr>
            <w:tcW w:w="6075"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Uranium</w:t>
            </w:r>
          </w:p>
        </w:tc>
        <w:tc>
          <w:tcPr>
            <w:tcW w:w="51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μg/L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determine compliance with the specified radionuclide MCLs, the detection limits shall not exceed the following concentrations:</w:t>
      </w:r>
    </w:p>
    <w:p>
      <w:pPr>
        <w:spacing w:before="60" w:after="0"/>
        <w:ind w:left="120"/>
        <w:jc w:val="center"/>
      </w:pPr>
      <w:r>
        <w:rPr>
          <w:rFonts w:ascii="Times New Roman" w:hAnsi="Times New Roman"/>
          <w:b/>
          <w:i w:val="false"/>
          <w:color w:val="000000"/>
          <w:sz w:val="22"/>
        </w:rPr>
        <w:t>Detection Limits for Man-Made</w:t>
      </w:r>
      <w:r>
        <w:br/>
      </w:r>
      <w:r>
        <w:rPr>
          <w:rFonts w:ascii="Times New Roman" w:hAnsi="Times New Roman"/>
          <w:b/>
          <w:i w:val="false"/>
          <w:color w:val="000000"/>
          <w:sz w:val="22"/>
        </w:rPr>
        <w:t>Beta Particle and Photon Emitters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442"/>
        <w:gridCol w:w="5748"/>
      </w:tblGrid>
      <w:tr>
        <w:trPr>
          <w:trHeight w:val="240" w:hRule="atLeast"/>
        </w:trPr>
        <w:tc>
          <w:tcPr>
            <w:tcW w:w="544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Contaminant</w:t>
            </w:r>
          </w:p>
        </w:tc>
        <w:tc>
          <w:tcPr>
            <w:tcW w:w="5748"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Detection Limit</w:t>
            </w:r>
          </w:p>
        </w:tc>
      </w:tr>
      <w:tr>
        <w:trPr>
          <w:trHeight w:val="240"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Gross beta</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pCi/L</w:t>
            </w:r>
          </w:p>
        </w:tc>
      </w:tr>
      <w:tr>
        <w:trPr>
          <w:trHeight w:val="225"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Cesium-134</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pCi/L</w:t>
            </w:r>
          </w:p>
        </w:tc>
      </w:tr>
      <w:tr>
        <w:trPr>
          <w:trHeight w:val="225"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Iodine-131</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pCi/L</w:t>
            </w:r>
          </w:p>
        </w:tc>
      </w:tr>
      <w:tr>
        <w:trPr>
          <w:trHeight w:val="225"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Strontium-89</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pCi/L</w:t>
            </w:r>
          </w:p>
        </w:tc>
      </w:tr>
      <w:tr>
        <w:trPr>
          <w:trHeight w:val="225"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Strontium-90</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 pCi/L</w:t>
            </w:r>
          </w:p>
        </w:tc>
      </w:tr>
      <w:tr>
        <w:trPr>
          <w:trHeight w:val="225" w:hRule="atLeast"/>
        </w:trPr>
        <w:tc>
          <w:tcPr>
            <w:tcW w:w="5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Tritium</w:t>
            </w:r>
          </w:p>
        </w:tc>
        <w:tc>
          <w:tcPr>
            <w:tcW w:w="574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 pCi/L</w:t>
            </w:r>
          </w:p>
        </w:tc>
      </w:tr>
      <w:tr>
        <w:trPr>
          <w:trHeight w:val="225" w:hRule="atLeast"/>
        </w:trPr>
        <w:tc>
          <w:tcPr>
            <w:tcW w:w="5442"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Other radionuclides</w:t>
            </w:r>
          </w:p>
        </w:tc>
        <w:tc>
          <w:tcPr>
            <w:tcW w:w="574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1/10 of the applicable limit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Compliance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systems monitoring more than once per year, MCL compliance is determined by a running annual average (RAA) at each sampling point. If the average of any sampling point is greater than the MCL, the system is immediately in violation of the MCL. If any sample result causes the RAA to exceed the MCL at any sample point, the system is immediately in violation of the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monitoring annually or less frequently whose sample result exceeds the MCL must revert to quarterly sampling for that contaminant during the next quarter. Systems are required to conduct quarterly monitoring only at the SEP at which the sample was collected and for the specific contaminant that triggered the increased monitoring frequency. Systems triggered into increased monitoring will not be considered in violation of the MCL until they have completed one year of quarterly sampling. If any sample result causes the RAA to exceed the MCL at any sample point, the system is immediately in violation of the MCL.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must include all samples taken and analyzed under the provisions of this rule in determining compliance, even if that number is greater than the minimum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system does not collect all required samples when compliance is based on an RAA of quarterly samples, compliance will be based on the running average of the samples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sample result is less than the detection limit, use a value of zero to calculate the annual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department may invalidate results of obvious sampling or analytical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judge compliance with the radionuclide MCLs, averages of data shall be used and shall be rounded to the same number of significant figures as the MCL for the contaminant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compliance or initiate enforcement action based upon analytical results or other information compiled by department staff or the department’s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assign additional requirements deemed necessary to protect public health, including PN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Radionuclide analytical methodology. </w:t>
      </w:r>
      <w:r>
        <w:rPr>
          <w:rFonts w:ascii="Times New Roman" w:hAnsi="Times New Roman"/>
          <w:b w:val="false"/>
          <w:i w:val="false"/>
          <w:color w:val="000000"/>
          <w:sz w:val="22"/>
        </w:rPr>
        <w:t xml:space="preserve">Analysis for radionuclides shall be conducted to determine compliance with the radionuclide MCLs in accordance with the methods in the following table, or equivalent methods determined in accordance with rule </w:t>
      </w:r>
      <w:hyperlink r:id="rId412">
        <w:r>
          <w:rPr>
            <w:rStyle w:val="Hyperlink"/>
            <w:rFonts w:ascii="Times New Roman" w:hAnsi="Times New Roman"/>
            <w:b w:val="false"/>
            <w:i w:val="false"/>
            <w:color w:val="000000"/>
            <w:sz w:val="22"/>
          </w:rPr>
          <w:t>567—41.10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Radionuclide Analytical Methodology Table.</w:t>
      </w:r>
    </w:p>
    <w:p>
      <w:pPr>
        <w:spacing w:before="60" w:after="0"/>
        <w:ind w:left="120"/>
        <w:jc w:val="center"/>
      </w:pPr>
      <w:r>
        <w:rPr>
          <w:rFonts w:ascii="Times New Roman" w:hAnsi="Times New Roman"/>
          <w:b/>
          <w:i w:val="false"/>
          <w:color w:val="000000"/>
          <w:sz w:val="22"/>
        </w:rPr>
        <w:t>Radionuclide Analytical Methodology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35"/>
        <w:gridCol w:w="1781"/>
        <w:gridCol w:w="744"/>
        <w:gridCol w:w="629"/>
        <w:gridCol w:w="629"/>
        <w:gridCol w:w="629"/>
        <w:gridCol w:w="1549"/>
        <w:gridCol w:w="1204"/>
        <w:gridCol w:w="1434"/>
        <w:gridCol w:w="743"/>
        <w:gridCol w:w="743"/>
      </w:tblGrid>
      <w:tr>
        <w:trPr>
          <w:trHeight w:val="225" w:hRule="atLeast"/>
        </w:trPr>
        <w:tc>
          <w:tcPr>
            <w:tcW w:w="143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8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9"/>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Reference (method or page number)</w:t>
            </w:r>
          </w:p>
        </w:tc>
      </w:tr>
      <w:tr>
        <w:trPr>
          <w:trHeight w:val="465" w:hRule="atLeast"/>
        </w:trPr>
        <w:tc>
          <w:tcPr>
            <w:tcW w:w="143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Contaminant</w:t>
            </w:r>
          </w:p>
        </w:tc>
        <w:tc>
          <w:tcPr>
            <w:tcW w:w="1781"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Methodology</w:t>
            </w:r>
          </w:p>
        </w:tc>
        <w:tc>
          <w:tcPr>
            <w:tcW w:w="74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EPA</w:t>
            </w:r>
            <w:r>
              <w:rPr>
                <w:rFonts w:ascii="Times New Roman" w:hAnsi="Times New Roman"/>
                <w:b/>
                <w:i w:val="false"/>
                <w:color w:val="000000"/>
                <w:sz w:val="18"/>
                <w:vertAlign w:val="superscript"/>
              </w:rPr>
              <w:t>1</w:t>
            </w:r>
          </w:p>
        </w:tc>
        <w:tc>
          <w:tcPr>
            <w:tcW w:w="62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EPA</w:t>
            </w:r>
            <w:r>
              <w:rPr>
                <w:rFonts w:ascii="Times New Roman" w:hAnsi="Times New Roman"/>
                <w:b/>
                <w:i w:val="false"/>
                <w:color w:val="000000"/>
                <w:sz w:val="18"/>
                <w:vertAlign w:val="superscript"/>
              </w:rPr>
              <w:t>2</w:t>
            </w:r>
          </w:p>
        </w:tc>
        <w:tc>
          <w:tcPr>
            <w:tcW w:w="62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EPA</w:t>
            </w:r>
            <w:r>
              <w:rPr>
                <w:rFonts w:ascii="Times New Roman" w:hAnsi="Times New Roman"/>
                <w:b/>
                <w:i w:val="false"/>
                <w:color w:val="000000"/>
                <w:sz w:val="18"/>
                <w:vertAlign w:val="superscript"/>
              </w:rPr>
              <w:t>3</w:t>
            </w:r>
          </w:p>
        </w:tc>
        <w:tc>
          <w:tcPr>
            <w:tcW w:w="62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EPA</w:t>
            </w:r>
            <w:r>
              <w:rPr>
                <w:rFonts w:ascii="Times New Roman" w:hAnsi="Times New Roman"/>
                <w:b/>
                <w:i w:val="false"/>
                <w:color w:val="000000"/>
                <w:sz w:val="18"/>
                <w:vertAlign w:val="superscript"/>
              </w:rPr>
              <w:t>4</w:t>
            </w:r>
          </w:p>
        </w:tc>
        <w:tc>
          <w:tcPr>
            <w:tcW w:w="154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SM</w:t>
            </w:r>
            <w:r>
              <w:rPr>
                <w:rFonts w:ascii="Times New Roman" w:hAnsi="Times New Roman"/>
                <w:b/>
                <w:i w:val="false"/>
                <w:color w:val="000000"/>
                <w:sz w:val="18"/>
                <w:vertAlign w:val="superscript"/>
              </w:rPr>
              <w:t>5</w:t>
            </w:r>
          </w:p>
        </w:tc>
        <w:tc>
          <w:tcPr>
            <w:tcW w:w="120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ASTM</w:t>
            </w:r>
            <w:r>
              <w:rPr>
                <w:rFonts w:ascii="Times New Roman" w:hAnsi="Times New Roman"/>
                <w:b/>
                <w:i w:val="false"/>
                <w:color w:val="000000"/>
                <w:sz w:val="18"/>
                <w:vertAlign w:val="superscript"/>
              </w:rPr>
              <w:t>6</w:t>
            </w:r>
          </w:p>
        </w:tc>
        <w:tc>
          <w:tcPr>
            <w:tcW w:w="143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USGS</w:t>
            </w:r>
            <w:r>
              <w:rPr>
                <w:rFonts w:ascii="Times New Roman" w:hAnsi="Times New Roman"/>
                <w:b/>
                <w:i w:val="false"/>
                <w:color w:val="000000"/>
                <w:sz w:val="18"/>
                <w:vertAlign w:val="superscript"/>
              </w:rPr>
              <w:t>7</w:t>
            </w:r>
          </w:p>
        </w:tc>
        <w:tc>
          <w:tcPr>
            <w:tcW w:w="7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DOE</w:t>
            </w:r>
            <w:r>
              <w:rPr>
                <w:rFonts w:ascii="Times New Roman" w:hAnsi="Times New Roman"/>
                <w:b/>
                <w:i w:val="false"/>
                <w:color w:val="000000"/>
                <w:sz w:val="18"/>
                <w:vertAlign w:val="superscript"/>
              </w:rPr>
              <w:t>8</w:t>
            </w:r>
          </w:p>
        </w:tc>
        <w:tc>
          <w:tcPr>
            <w:tcW w:w="74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Other</w:t>
            </w:r>
          </w:p>
        </w:tc>
      </w:tr>
      <w:tr>
        <w:trPr>
          <w:trHeight w:val="240" w:hRule="atLeast"/>
        </w:trPr>
        <w:tc>
          <w:tcPr>
            <w:tcW w:w="0" w:type="auto"/>
            <w:gridSpan w:val="11"/>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Naturally occurring:</w:t>
            </w:r>
          </w:p>
        </w:tc>
      </w:tr>
      <w:tr>
        <w:trPr>
          <w:trHeight w:val="435" w:hRule="atLeast"/>
        </w:trPr>
        <w:tc>
          <w:tcPr>
            <w:tcW w:w="1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Gross alpha</w:t>
            </w: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 &amp; beta</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Evaporation</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900.0</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1</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00-01</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1</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302, 7110B, 7110 B-00</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R-1120-76</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Gross alpha</w:t>
            </w:r>
            <w:r>
              <w:rPr>
                <w:rFonts w:ascii="Times New Roman" w:hAnsi="Times New Roman"/>
                <w:b w:val="false"/>
                <w:i w:val="false"/>
                <w:color w:val="000000"/>
                <w:sz w:val="18"/>
                <w:vertAlign w:val="superscript"/>
              </w:rPr>
              <w:t>11</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Co-precipitation</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00-02</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7110C, 7110 C-00</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435"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 Radium-226</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Radon emanation</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903.1</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16</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Ra-04</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19</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305, 7500-Ra C, 7500Ra C-01</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3454-97, 05</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R-1141-76</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Ra-04</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NY</w:t>
            </w:r>
            <w:r>
              <w:rPr>
                <w:rFonts w:ascii="Times New Roman" w:hAnsi="Times New Roman"/>
                <w:b w:val="false"/>
                <w:i w:val="false"/>
                <w:color w:val="000000"/>
                <w:sz w:val="18"/>
                <w:vertAlign w:val="superscript"/>
              </w:rPr>
              <w:t>9</w:t>
            </w:r>
          </w:p>
        </w:tc>
      </w:tr>
      <w:tr>
        <w:trPr>
          <w:trHeight w:val="585" w:hRule="atLeast"/>
        </w:trPr>
        <w:tc>
          <w:tcPr>
            <w:tcW w:w="1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Radiochemical</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903.0</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13</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Ra-03</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304, 7500-Ra B, 7500-Ra B-01</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2460-97, 07</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R-1140-76</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w:t>
            </w:r>
            <w:r>
              <w:rPr>
                <w:rFonts w:ascii="Times New Roman" w:hAnsi="Times New Roman"/>
                <w:b w:val="false"/>
                <w:i w:val="false"/>
                <w:color w:val="000000"/>
                <w:sz w:val="18"/>
                <w:vertAlign w:val="superscript"/>
              </w:rPr>
              <w:t>14</w:t>
            </w:r>
          </w:p>
        </w:tc>
      </w:tr>
      <w:tr>
        <w:trPr>
          <w:trHeight w:val="690" w:hRule="atLeast"/>
        </w:trPr>
        <w:tc>
          <w:tcPr>
            <w:tcW w:w="14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Radium-228</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Radiochemical</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904.0</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24</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Ra-05</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19</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7500-Ra D, 7500-Ra D-01</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R-1142-76</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NY</w:t>
            </w:r>
            <w:r>
              <w:rPr>
                <w:rFonts w:ascii="Times New Roman" w:hAnsi="Times New Roman"/>
                <w:b w:val="false"/>
                <w:i w:val="false"/>
                <w:color w:val="000000"/>
                <w:sz w:val="18"/>
                <w:vertAlign w:val="superscript"/>
              </w:rPr>
              <w:t>9</w:t>
            </w:r>
            <w:r>
              <w:br/>
            </w:r>
            <w:r>
              <w:rPr>
                <w:rFonts w:ascii="Times New Roman" w:hAnsi="Times New Roman"/>
                <w:b w:val="false"/>
                <w:i w:val="false"/>
                <w:color w:val="000000"/>
                <w:sz w:val="16"/>
              </w:rPr>
              <w:t>NJ</w:t>
            </w:r>
            <w:r>
              <w:rPr>
                <w:rFonts w:ascii="Times New Roman" w:hAnsi="Times New Roman"/>
                <w:b w:val="false"/>
                <w:i w:val="false"/>
                <w:color w:val="000000"/>
                <w:sz w:val="18"/>
                <w:vertAlign w:val="superscript"/>
              </w:rPr>
              <w:t>10</w:t>
            </w:r>
            <w:r>
              <w:br/>
            </w:r>
            <w:r>
              <w:rPr>
                <w:rFonts w:ascii="Times New Roman" w:hAnsi="Times New Roman"/>
                <w:b w:val="false"/>
                <w:i w:val="false"/>
                <w:color w:val="000000"/>
                <w:sz w:val="16"/>
              </w:rPr>
              <w:t>GA</w:t>
            </w:r>
            <w:r>
              <w:rPr>
                <w:rFonts w:ascii="Times New Roman" w:hAnsi="Times New Roman"/>
                <w:b w:val="false"/>
                <w:i w:val="false"/>
                <w:color w:val="000000"/>
                <w:sz w:val="18"/>
                <w:vertAlign w:val="superscript"/>
              </w:rPr>
              <w:t>14</w:t>
            </w:r>
          </w:p>
        </w:tc>
      </w:tr>
      <w:tr>
        <w:trPr>
          <w:trHeight w:val="405" w:hRule="atLeast"/>
        </w:trPr>
        <w:tc>
          <w:tcPr>
            <w:tcW w:w="143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Radiochemical</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908.0</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7500-U B, 7500-U B-00</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43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Fluorometric</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908.1</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7500-U C (17th ed.)</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2907-97</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R-1180-76</w:t>
            </w:r>
            <w:r>
              <w:br/>
            </w:r>
            <w:r>
              <w:rPr>
                <w:rFonts w:ascii="Times New Roman" w:hAnsi="Times New Roman"/>
                <w:b w:val="false"/>
                <w:i w:val="false"/>
                <w:color w:val="000000"/>
                <w:sz w:val="16"/>
              </w:rPr>
              <w:t>R-1181-76</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U-04</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40" w:hRule="atLeast"/>
        </w:trPr>
        <w:tc>
          <w:tcPr>
            <w:tcW w:w="1435"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Uranium</w:t>
            </w:r>
            <w:r>
              <w:rPr>
                <w:rFonts w:ascii="Times New Roman" w:hAnsi="Times New Roman"/>
                <w:b w:val="false"/>
                <w:i w:val="false"/>
                <w:color w:val="000000"/>
                <w:sz w:val="18"/>
                <w:vertAlign w:val="superscript"/>
              </w:rPr>
              <w:t>12</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ICP-MS</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200.8</w:t>
            </w:r>
            <w:r>
              <w:rPr>
                <w:rFonts w:ascii="Times New Roman" w:hAnsi="Times New Roman"/>
                <w:b w:val="false"/>
                <w:i w:val="false"/>
                <w:color w:val="000000"/>
                <w:sz w:val="18"/>
                <w:vertAlign w:val="superscript"/>
              </w:rPr>
              <w:t>13</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3125</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5673-03, 05, 10</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43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Alpha spectrometry</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00-07</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33</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7500-U C, 7500-U C-00</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3972-97, 02, 09</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R-1182-76</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U-02</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43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Laser phosphorimetry</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5174-97, 02, 07</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85" w:hRule="atLeast"/>
        </w:trPr>
        <w:tc>
          <w:tcPr>
            <w:tcW w:w="1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Alpha liquid scintillation spectrometry</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6239-09</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gridSpan w:val="11"/>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Man-made:</w:t>
            </w:r>
          </w:p>
        </w:tc>
      </w:tr>
      <w:tr>
        <w:trPr>
          <w:trHeight w:val="405" w:hRule="atLeast"/>
        </w:trPr>
        <w:tc>
          <w:tcPr>
            <w:tcW w:w="1435"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 Radioactive </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Radiochemical</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901.0</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4</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232"/>
              <w:jc w:val="left"/>
            </w:pPr>
            <w:r>
              <w:rPr>
                <w:rFonts w:ascii="Times New Roman" w:hAnsi="Times New Roman"/>
                <w:b w:val="false"/>
                <w:i w:val="false"/>
                <w:color w:val="000000"/>
                <w:sz w:val="16"/>
              </w:rPr>
              <w:t>7500-Cs B, 7500-Cs B-00</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2459-72</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R-1111-76</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Cesium</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Gamma ray spectrometry</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901.1</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92</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7120, 7120-97</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3649-91, 98a, 06</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R-1110-76</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4.5.2.3</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125" w:hRule="atLeast"/>
        </w:trPr>
        <w:tc>
          <w:tcPr>
            <w:tcW w:w="1435"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 Radioactive Iodine</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Radiochemical</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902.0</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6</w:t>
            </w:r>
            <w:r>
              <w:br/>
            </w:r>
            <w:r>
              <w:rPr>
                <w:rFonts w:ascii="Times New Roman" w:hAnsi="Times New Roman"/>
                <w:b w:val="false"/>
                <w:i w:val="false"/>
                <w:color w:val="000000"/>
                <w:sz w:val="16"/>
              </w:rPr>
              <w:t>p. 9</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7500-I B, 7500-I B-00</w:t>
            </w:r>
            <w:r>
              <w:br/>
            </w:r>
            <w:r>
              <w:rPr>
                <w:rFonts w:ascii="Times New Roman" w:hAnsi="Times New Roman"/>
                <w:b w:val="false"/>
                <w:i w:val="false"/>
                <w:color w:val="000000"/>
                <w:sz w:val="16"/>
              </w:rPr>
              <w:t>7500-I C, 7500-I C-00</w:t>
            </w:r>
            <w:r>
              <w:br/>
            </w:r>
            <w:r>
              <w:rPr>
                <w:rFonts w:ascii="Times New Roman" w:hAnsi="Times New Roman"/>
                <w:b w:val="false"/>
                <w:i w:val="false"/>
                <w:color w:val="000000"/>
                <w:sz w:val="16"/>
              </w:rPr>
              <w:t>7500-I D, 7500-I D-00</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3649-91, 98a, 06</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Gamma ray spectrometry</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901.1</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92</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7120, 7120-97</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4785-93, 00a, 08</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4.5.2.3</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85" w:hRule="atLeast"/>
        </w:trPr>
        <w:tc>
          <w:tcPr>
            <w:tcW w:w="1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Radioactive Strontium 89, 90</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Radiochemical</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905.0</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29</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Sr-04</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65</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303, 7500-Sr B, 7500-Sr B-01</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R-1160-76</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Sr-01</w:t>
            </w:r>
            <w:r>
              <w:br/>
            </w:r>
            <w:r>
              <w:rPr>
                <w:rFonts w:ascii="Times New Roman" w:hAnsi="Times New Roman"/>
                <w:b w:val="false"/>
                <w:i w:val="false"/>
                <w:color w:val="000000"/>
                <w:sz w:val="16"/>
              </w:rPr>
              <w:t>Sr-02</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65" w:hRule="atLeast"/>
        </w:trPr>
        <w:tc>
          <w:tcPr>
            <w:tcW w:w="143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Tritium</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Liquid scintillation</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906.0</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34</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H-02</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87</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306, 7500-</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H B, 7500-</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H B-00</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4107-91, 98 (Reapproved 2002), 08</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R-1171-76</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45" w:hRule="atLeast"/>
        </w:trPr>
        <w:tc>
          <w:tcPr>
            <w:tcW w:w="1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Gamma emitters</w:t>
            </w:r>
          </w:p>
        </w:tc>
        <w:tc>
          <w:tcPr>
            <w:tcW w:w="17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Gamma ray spectrometry</w:t>
            </w:r>
          </w:p>
        </w:tc>
        <w:tc>
          <w:tcPr>
            <w:tcW w:w="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901.1</w:t>
            </w:r>
            <w:r>
              <w:br/>
            </w:r>
            <w:r>
              <w:rPr>
                <w:rFonts w:ascii="Times New Roman" w:hAnsi="Times New Roman"/>
                <w:b w:val="false"/>
                <w:i w:val="false"/>
                <w:color w:val="000000"/>
                <w:sz w:val="16"/>
              </w:rPr>
              <w:t>902.0</w:t>
            </w:r>
            <w:r>
              <w:br/>
            </w:r>
            <w:r>
              <w:rPr>
                <w:rFonts w:ascii="Times New Roman" w:hAnsi="Times New Roman"/>
                <w:b w:val="false"/>
                <w:i w:val="false"/>
                <w:color w:val="000000"/>
                <w:sz w:val="16"/>
              </w:rPr>
              <w:t>901.0</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 92</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7120</w:t>
            </w:r>
            <w:r>
              <w:br/>
            </w:r>
            <w:r>
              <w:rPr>
                <w:rFonts w:ascii="Times New Roman" w:hAnsi="Times New Roman"/>
                <w:b w:val="false"/>
                <w:i w:val="false"/>
                <w:color w:val="000000"/>
                <w:sz w:val="16"/>
              </w:rPr>
              <w:t>7500-Cs B, 7500-Cs B-00,</w:t>
            </w:r>
            <w:r>
              <w:br/>
            </w:r>
            <w:r>
              <w:rPr>
                <w:rFonts w:ascii="Times New Roman" w:hAnsi="Times New Roman"/>
                <w:b w:val="false"/>
                <w:i w:val="false"/>
                <w:color w:val="000000"/>
                <w:sz w:val="16"/>
              </w:rPr>
              <w:t>7500-I B, 7500-I B-00</w:t>
            </w:r>
          </w:p>
        </w:tc>
        <w:tc>
          <w:tcPr>
            <w:tcW w:w="1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3649-91, 98a, 06</w:t>
            </w:r>
            <w:r>
              <w:br/>
            </w:r>
            <w:r>
              <w:rPr>
                <w:rFonts w:ascii="Times New Roman" w:hAnsi="Times New Roman"/>
                <w:b w:val="false"/>
                <w:i w:val="false"/>
                <w:color w:val="000000"/>
                <w:sz w:val="16"/>
              </w:rPr>
              <w:t>D 4785-93, 00a, 08</w:t>
            </w:r>
          </w:p>
        </w:tc>
        <w:tc>
          <w:tcPr>
            <w:tcW w:w="1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R-1110-76</w:t>
            </w:r>
          </w:p>
        </w:tc>
        <w:tc>
          <w:tcPr>
            <w:tcW w:w="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Ga-01-R</w:t>
            </w:r>
          </w:p>
        </w:tc>
        <w:tc>
          <w:tcPr>
            <w:tcW w:w="7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6"/>
        </w:rPr>
        <w:t xml:space="preserve">The procedures shall be done in accordance with the documents listed below. The incorporation by reference of documents 1 through 10 was approved by the Director of the Federal Register in accordance with </w:t>
      </w:r>
      <w:r>
        <w:rPr>
          <w:rFonts w:ascii="Times New Roman" w:hAnsi="Times New Roman"/>
          <w:b w:val="false"/>
          <w:i w:val="false"/>
          <w:color w:val="000000"/>
          <w:sz w:val="16"/>
        </w:rPr>
        <w:t>5 U.S.C. 552(a)</w:t>
      </w:r>
      <w:r>
        <w:rPr>
          <w:rFonts w:ascii="Times New Roman" w:hAnsi="Times New Roman"/>
          <w:b w:val="false"/>
          <w:i w:val="false"/>
          <w:color w:val="000000"/>
          <w:sz w:val="16"/>
        </w:rPr>
        <w:t xml:space="preserve"> and </w:t>
      </w:r>
      <w:r>
        <w:rPr>
          <w:rFonts w:ascii="Times New Roman" w:hAnsi="Times New Roman"/>
          <w:b w:val="false"/>
          <w:i w:val="false"/>
          <w:color w:val="000000"/>
          <w:sz w:val="16"/>
        </w:rPr>
        <w:t>1 CFR Part 51</w:t>
      </w:r>
      <w:r>
        <w:rPr>
          <w:rFonts w:ascii="Times New Roman" w:hAnsi="Times New Roman"/>
          <w:b w:val="false"/>
          <w:i w:val="false"/>
          <w:color w:val="000000"/>
          <w:sz w:val="16"/>
        </w:rPr>
        <w:t>. Copies may be obtained from the sources listed below. Information regarding the documents can be obtained from the Safe Drinking Water Hotline at 800.426.4791. Documents may be inspected at EPA’s Drinking Water Docket or at the Office of Federal Register.</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“Prescribed Procedures for Measurement of Radioactivity in Drinking Water,” EPA 600/4-80-032, August 1980. NTIS, PB 80-224744. </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“Interim Radiochemical Methodology for Drinking Water,” EPA 600/4-75-008(revised), March 1976. NTIS, ibid. PB 253258. </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“Radiochemistry Procedures Manual,” EPA 520/5-84-006, December 1987. NTIS, ibid. PB 84-215581. </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xml:space="preserve">“Radiochemical Analytical Procedures for Analysis of Environmental Samples,” March 1979. NTIS, ibid. EMSL LV 053917. </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 xml:space="preserve">SM, 13th, 17th, 18th, 19th, 20th, 21st, and 22nd editions, 1971, 1989, 1992, 1995, 1998, 2005, and 2012. Methods 302, 303, 304, 305, and 306 are in the 13th edition. Methods 7110B, 7500-Ra B, 7500-Ra C, 7500-Ra D, 7500-U B, 7500-Cs B, 7500-I B, 7500-I C, 7500-I D, 7500-Sr B, 7500-3H B are in the 17th, 18th, 19th, 20th, 21st, and 22nd editions. Method 7110C and Method 7500-U C Alpha spectrometry are in the 18th, 19th, 20th, 21st, and 22nd editions. Method 7500-U C Fluorimetric Uranium is in the 17th and 21st editions. Method 7120 is in the 19th, 20th, 21st, and 22nd editions. Method 3125 is in the 20th edition. Methods 7110 B-00, 7110 C-00, 7500-Ra B-01, 7500-Ra C-01, 7500-Ra D-01, 7500-U B-00, 7500-U C-00, 7500-I B-00, 7500-I C-00, 7500-I D-00, 7120-97, 7500-Sr B-01, and 7500-3H B-00. The year that each method was approved is designated by the last two digits in the method number. The methods listed are the only online versions that may be used. </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16"/>
        </w:rPr>
        <w:t xml:space="preserve">ASTM, Volumes 11.01 and 11.02, 2002. Any year containing the cited version of the method may be used. </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16"/>
        </w:rPr>
        <w:t xml:space="preserve">“Methods for Determination of Radioactive Substances in Water and Fluvial Sediments,” Chapter A5 in Book 5 of Techniques of Water-Resources Investigations of the USGS, 1977. USGS Information Services, Box 25286, Federal Center, Denver, CO 80225-0425. </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16"/>
        </w:rPr>
        <w:t xml:space="preserve">“EML Procedures Manual,” 28th (1997) or 27th (1990) edition, Volumes 1 and 2; either edition may be used. In the 27th edition, Method Ra-04 is listed as Ra-05, and Method Ga-01-R is listed as Sect. 4.5.2.3. Environmental Measurements Laboratory, U.S. Department of Energy, 376 Hudson Street, New York, NY 10014-3621. </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16"/>
        </w:rPr>
        <w:t xml:space="preserve">“Determination of Ra-226 and Ra-228 (Ra-02),” January 1980, revised June 1982. Radiological Sciences Institute Center for Laboratories and Research, New York State Department of Health, Empire State Plaza, Albany, NY 12201. </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16"/>
        </w:rPr>
        <w:t xml:space="preserve">“Determination of Radium-228 in Drinking Water,” August 1980. State of New Jersey, Department of Environmental Protection, Division of Environmental Quality, Bureau of Radiation and Inorganic Analytical Services, 9 Ewing Street, Trenton, NJ 08625. </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16"/>
        </w:rPr>
        <w:t xml:space="preserve">Natural uranium and thorium-230 are approved as gross alpha calibration standards for gross alpha with co-precipitation and evaporation methods; americium-241 is approved with co-precipitation methods. </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16"/>
        </w:rPr>
        <w:t xml:space="preserve">If uranium (U) is determined by mass, a 0.67 pCi/μg of uranium conversion factor must be used. This conversion factor is based on the 1:1 activity ratio of U-234 to U-238 that is characteristic of naturally occurring uranium. </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16"/>
        </w:rPr>
        <w:t xml:space="preserve">“Determination of Trace Elements in Waters and Wastes by Inductively Coupled Plasma-Mass Spectrometry,” Revision 5.4, published in “Methods for the Determination of Metals in Environmental Samples – Supplement 1,” EPA 600-R-94-111, May 1994. NTIS, PB 95-125472. </w:t>
      </w:r>
    </w:p>
    <w:p>
      <w:pPr>
        <w:spacing w:before="0" w:after="0"/>
        <w:ind w:left="120"/>
        <w:jc w:val="both"/>
      </w:pPr>
      <w:r>
        <w:rPr>
          <w:rFonts w:ascii="Times New Roman" w:hAnsi="Times New Roman"/>
          <w:b w:val="false"/>
          <w:i w:val="false"/>
          <w:color w:val="000000"/>
          <w:sz w:val="18"/>
          <w:vertAlign w:val="superscript"/>
        </w:rPr>
        <w:t>14</w:t>
      </w:r>
      <w:r>
        <w:rPr>
          <w:rFonts w:ascii="Times New Roman" w:hAnsi="Times New Roman"/>
          <w:b w:val="false"/>
          <w:i w:val="false"/>
          <w:color w:val="000000"/>
          <w:sz w:val="16"/>
        </w:rPr>
        <w:t xml:space="preserve">“The Determination of Radium-226 and Radium-228 in Drinking Water by Gamma-Ray Spectrometry Using HPGW or Ge(Li) Detectors,” Revision 1.2, December 2004. Environmental Resources Center, Georgia Institute of Technology, 620 Cherry Street, Atlanta, GA 30332-0335.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 references for other radionuclides. When the identification and measurement of radionuclides other than those listed in </w:t>
      </w:r>
      <w:hyperlink r:id="rId413">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required, the following references shall be used, except in cases where alternative methods have been approved in accordance with </w:t>
      </w:r>
      <w:hyperlink r:id="rId414">
        <w:r>
          <w:rPr>
            <w:rStyle w:val="Hyperlink"/>
            <w:rFonts w:ascii="Times New Roman" w:hAnsi="Times New Roman"/>
            <w:b w:val="false"/>
            <w:i w:val="false"/>
            <w:color w:val="000000"/>
            <w:sz w:val="22"/>
          </w:rPr>
          <w:t>567—41.12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Radiochemical Analysis of Nuclear Reactor Aqueous Solutions,” H. L. Krieger and S. Gold, EPA-R4-73-014, EPA, Cincinnati, Ohio 45268 (May 1973).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“HASL Procedure Manual,” edited by John H. Harley. HASL 300, ERDA Health and Safety Laboratory, New York, NY (1973).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 Monitoring requirements for gross alpha, radium-226, radium-228, and uranium.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frequency and confirmation samples. The department may require more frequent monitoring than specified in this paragraph and may require confirmation samples at its discretion. The results of the initial and confirmation samples will be averaged for use in compliance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period. Each PWS shall monitor during the time period specified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Applicability and sampling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Existing systems and sources. All existing CWSs must sample at every SEP representative of all sources being used under normal operating conditions. Systems must take each sample at the same SEP sampling point, unless conditions make another alternate sampling point more representative of each source, or the department has designated a distribution system location, in accordance with this paragraph. The department must approve any alternate sampling point for radionuclides.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systems and sources. All new CWSs or CWSs that use a new source of water must begin initial monitoring for the new system or source within the first calendar quarter after initiating use of the system or source. More frequent monitoring must be conducted by a CWS when required by the department, in the event of possible contamination, or when changes in the distribution system or treatment processes occur which may increase the concentration of radioactivity in finished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monitoring. Systems must conduct initial monitoring for gross alpha particle activity, radium-226, radium-228, and uranium as follows. If the average of the initial monitoring results for an SEP is above the MCL, a system must collect and analyze quarterly samples at that SEP until it has results from four consecutive quarters that are at or below the MCL unless it enters into another schedule as part of a formal compliance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without historical monitoring data. Systems without historical monitoring data must collect four consecutive quarterly samples at all SEP sampling points before December 31, 2007. The department may waive the final two quarters of initial monitoring from an SEP if the results of the samples from the previous two quarters are below the detection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Systems with historical monitoring data and one SEP. Systems with only one SEP may use historical monitoring data collected between January 1, 2000, and December 31, 2003, from either the representative point in the distribution system or the SEP to satisfy the initial monitoring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with historical SEP monitoring data and multiple SEPs. Systems with multiple SEPs that also have appropriate historical monitoring data for each SEP may use the monitoring data collected between January 1, 2000, and December 31, 2003, to satisfy the initial monitoring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Systems with historical distribution system monitoring data and multiple SEPs. Systems with appropriate historical data for a representative point in the distribution system and multiple SEPs may use the monitoring data collected between January 1, 2000, and December 31, 2003, provided that the department determines that the historical data satisfactorily demonstrates that each SEP is expected to be in compliance based upon the historical data and reasonable assumptions about the variability of contaminant levels between SEPs. The department must make a written finding indicating how the data conforms to these requirements in order for the data to satisfy the initial monitoring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Reduced monitoring. The department may allow a CWS to reduce the future monitoring frequency from once every three years to once every six or nine years at each SEP, based on the following criteria. The samples collected during the reduced monitoring period must be used to determine the monitoring frequency for subsequent monitoring periods. If a system has a monitoring result that exceeds an MCL while on reduced monitoring, the system must collect and analyze quarterly samples at that SEP until it has results from four consecutive quarters that are below the MCL unless it enters into another schedule as part of a formal compliance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Nine-year frequency. If the average of the initial monitoring results for each contaminant is below the radionuclide detection limits specified in this subrule, a system must collect and analyze for that contaminant using at least one sample at that SEP every nine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Six-year frequency. If the average of the initial monitoring results for gross alpha particle activity, uranium, and combined radium-226 and radium-228 is at or above the detection limit and at or below half the MCL for a contaminant, a system must collect and analyze for that contaminant using at least one sample at that SEP every six years. The analytical results for radium-226 and radium-228 must be added together to yield the combined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Three-year frequency. If the average of the initial monitoring results for gross alpha particle activity, uranium, and combined radium-226 and radium-228 is above half of the MCL and at or below the MCL for a contaminant, a system must collect and analyze for that contaminant using at least one sample at that SEP every three years. The analytical results for radium-226 and radium-228 must be added together to yield the combined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Composite samples. To fulfill quarterly monitoring requirements for gross alpha particle activity, radium-226, radium-228, or uranium, a system may composite up to four consecutive quarterly samples from a single entry point if analysis is done within one year of the first sample. The analytical results from the composited samples will be considered by the department as the average analytical result to determine MCL compliance and to determine the future monitoring frequency. If the analytical result from the composited sample is greater than half of the MCL, the department may require additional quarterly samples from the system before the system will be allowed to sample under a reduced monitoring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Data substitution using gross alpha particle activity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gross alpha particle activity measurement may be substituted for the required uranium measurement provided that the measured gross alpha particle activity does not exceed 15 pCi/L.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gross alpha particle activity measurement shall have a confidence interval of 95 percent (1.65 sigma, where sigma is the standard deviation of the net counting rate of the sample) for uranium. When a system uses a gross alpha particle activity measurement in lieu of a uranium measurement, the gross alpha particle activity analytical result will be used to determine the future monitoring frequency for uranium. If the gross alpha particle activity result is less than the detection limit, half the detection limit will be used to determine compliance and the future monitoring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for beta particle and photon emitters. </w:t>
      </w:r>
      <w:r>
        <w:rPr>
          <w:rFonts w:ascii="Times New Roman" w:hAnsi="Times New Roman"/>
          <w:b w:val="false"/>
          <w:i w:val="false"/>
          <w:color w:val="000000"/>
          <w:sz w:val="22"/>
        </w:rPr>
        <w:t>To determine compliance with the radionuclide MCLs for beta particle and photon radioactivity, a system must monitor at a frequency specified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frequency and confirmation samples. The department may require more frequent monitoring than specified in this paragraph and may require confirmation samples at its discretion. The results of the initial and confirmation samples will be averaged for use in compliance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period. Each PWS shall monitor during the time period designated by the department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designated by the department as vulnerable to man-made radioactivity.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monitoring. Systems that have been determined by the department to be vulnerable to man-made radioactivity must collect quarterly samples for beta emitters and annual samples for tritium and strontium-90 at each SEP, beginning within one quarter after being notified by the department of this requirement. Systems already required to conduct beta particle and photon radioactivity monitoring must continue to sample until the department removes the monitoring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Reduced monitoring. The department may reduce the monitoring frequency at that sampling point to once every three years, if the gross beta particle activity minus the naturally occurring potassium-40 beta particle activity at an SEP has an RAA (computed quarterly) of less than or equal to 50 pCi/L (screening level). Systems must collect all of the samples required in “1” of this subparagraph during the reduced monitoring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Data substitution. For a system in the vicinity of a nuclear facility, the department may allow the system to utilize environmental surveillance data collected by the nuclear facility in lieu of monitoring at its SEP(s), where the department determines such data is applicable. In the event that there is a release from a nuclear facility, systems using surveillance data must begin monitoring at its SEP(s) in accordance with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Systems determined to utilize waters contaminated by effluents from nuclear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monitoring. Systems designated by the department as utilizing water contaminated by effluents from nuclear facilities must sample for beta particle and photon radioactivity. Systems must collect quarterly samples for beta emitters and iodine-131 and annual samples for tritium and strontium-90 at each SEP, beginning within one quarter after department notification. Systems already designated by the department as systems using waters contaminated by effluents from nuclear facilities must continue to sample until the department removes the sampling requirement.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Gross beta particle activity. Quarterly monitoring for gross beta particle activity shall be based on the analysis of monthly samples or the analysis of a composite of three monthly samples. The former is recommended.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Iodine-131. A composite of five consecutive daily samples shall be analyzed once each quarter for iodine-131. The department may require more frequent monitoring when iodine-131 is identified in the finished water.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Strontium-90 and tritium. Annual monitoring for strontium-90 and tritium shall be conducted either by analyzing a composite of four consecutive quarterly samples or by analyzing four quarterly samples. The latter is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Reduced monitoring. If the gross beta particle activity minus the naturally occurring potassium-40 beta particle activity at a sampling point has an RAA (computed quarterly) less than or equal to 15 pCi/L (screening level), the department may reduce the monitoring frequency at that sampling point to every three years. Systems must collect all samples required in this subparagraph during the reduced monitoring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Data substitution. For systems in the vicinity of a nuclear facility, the department may allow a CWS to utilize environmental surveillance data collected by the nuclear facility in lieu of monitoring at the system’s entry point(s), where the department determines such data is applicable. In the event that there is a release from a nuclear facility, systems that are using surveillance data must begin monitoring at the CWS SEP in accordance with </w:t>
      </w:r>
      <w:hyperlink r:id="rId415">
        <w:r>
          <w:rPr>
            <w:rStyle w:val="Hyperlink"/>
            <w:rFonts w:ascii="Times New Roman" w:hAnsi="Times New Roman"/>
            <w:b w:val="false"/>
            <w:i w:val="false"/>
            <w:color w:val="000000"/>
            <w:sz w:val="22"/>
          </w:rPr>
          <w:t>41.8(1)</w:t>
        </w:r>
      </w:hyperlink>
      <w:r>
        <w:rPr>
          <w:rFonts w:ascii="Times New Roman" w:hAnsi="Times New Roman"/>
          <w:b w:val="false"/>
          <w:i/>
          <w:color w:val="000000"/>
          <w:sz w:val="22"/>
        </w:rPr>
        <w:t>“f”</w:t>
      </w:r>
      <w:r>
        <w:rPr>
          <w:rFonts w:ascii="Times New Roman" w:hAnsi="Times New Roman"/>
          <w:b w:val="false"/>
          <w:i w:val="false"/>
          <w:color w:val="000000"/>
          <w:sz w:val="22"/>
        </w:rPr>
        <w:t>(2)“1.”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frequency waiver. A CWS designated by the department to monitor for beta particle and photon radioactivity cannot apply to the department for a waiver from the monitoring frequencies in </w:t>
      </w:r>
      <w:hyperlink r:id="rId416">
        <w:r>
          <w:rPr>
            <w:rStyle w:val="Hyperlink"/>
            <w:rFonts w:ascii="Times New Roman" w:hAnsi="Times New Roman"/>
            <w:b w:val="false"/>
            <w:i w:val="false"/>
            <w:color w:val="000000"/>
            <w:sz w:val="22"/>
          </w:rPr>
          <w:t>41.8(1)</w:t>
        </w:r>
      </w:hyperlink>
      <w:r>
        <w:rPr>
          <w:rFonts w:ascii="Times New Roman" w:hAnsi="Times New Roman"/>
          <w:b w:val="false"/>
          <w:i/>
          <w:color w:val="000000"/>
          <w:sz w:val="22"/>
        </w:rPr>
        <w:t>“f”</w:t>
      </w:r>
      <w:r>
        <w:rPr>
          <w:rFonts w:ascii="Times New Roman" w:hAnsi="Times New Roman"/>
          <w:b w:val="false"/>
          <w:i w:val="false"/>
          <w:color w:val="000000"/>
          <w:sz w:val="22"/>
        </w:rPr>
        <w:t>(2) or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CWSs may analyze for naturally occurring potassium-40 beta particle activity from the same or an equivalent sample used for the gross beta particle activity analysis. Systems are allowed to subtract the potassium-40 beta particle activity value from the total gross beta particle activity value to determine if the screening level is exceeded. The potassium-40 beta particle activity must be calculated by multiplying elemental potassium concentrations (in mg/L) by a factor of 0.82.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gross beta particle activity minus the naturally occurring potassium-40 beta particle activity exceeds the appropriate screening level, a sample analysis must be performed to identify the major radioactive constituents present in the sample, and the appropriate doses must be calculated and summed to determine compliance with </w:t>
      </w:r>
      <w:hyperlink r:id="rId417">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 xml:space="preserve">(2)“1,” using the formula in </w:t>
      </w:r>
      <w:hyperlink r:id="rId418">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(2)“2.” Doses must also be calculated and summed for measured levels of tritium and strontium to determine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after an MCL violation. Systems must monitor monthly at the sampling point(s) that exceed the MCL in </w:t>
      </w:r>
      <w:hyperlink r:id="rId419">
        <w:r>
          <w:rPr>
            <w:rStyle w:val="Hyperlink"/>
            <w:rFonts w:ascii="Times New Roman" w:hAnsi="Times New Roman"/>
            <w:b w:val="false"/>
            <w:i w:val="false"/>
            <w:color w:val="000000"/>
            <w:sz w:val="22"/>
          </w:rPr>
          <w:t>41.8(1)</w:t>
        </w:r>
      </w:hyperlink>
      <w:r>
        <w:rPr>
          <w:rFonts w:ascii="Times New Roman" w:hAnsi="Times New Roman"/>
          <w:b w:val="false"/>
          <w:i/>
          <w:color w:val="000000"/>
          <w:sz w:val="22"/>
        </w:rPr>
        <w:t>“b”</w:t>
      </w:r>
      <w:r>
        <w:rPr>
          <w:rFonts w:ascii="Times New Roman" w:hAnsi="Times New Roman"/>
          <w:b w:val="false"/>
          <w:i w:val="false"/>
          <w:color w:val="000000"/>
          <w:sz w:val="22"/>
        </w:rPr>
        <w:t xml:space="preserve">(2) beginning the month after the exceedance occurs. Systems must continue monthly monitoring until a system has established, by a rolling average of three monthly samples, that the MCL is being met. Systems that establish that the MCL is being met must return to quarterly monitoring until they meet the requirements of </w:t>
      </w:r>
      <w:hyperlink r:id="rId420">
        <w:r>
          <w:rPr>
            <w:rStyle w:val="Hyperlink"/>
            <w:rFonts w:ascii="Times New Roman" w:hAnsi="Times New Roman"/>
            <w:b w:val="false"/>
            <w:i w:val="false"/>
            <w:color w:val="000000"/>
            <w:sz w:val="22"/>
          </w:rPr>
          <w:t>41.8(1)</w:t>
        </w:r>
      </w:hyperlink>
      <w:r>
        <w:rPr>
          <w:rFonts w:ascii="Times New Roman" w:hAnsi="Times New Roman"/>
          <w:b w:val="false"/>
          <w:i/>
          <w:color w:val="000000"/>
          <w:sz w:val="22"/>
        </w:rPr>
        <w:t>“f”</w:t>
      </w:r>
      <w:r>
        <w:rPr>
          <w:rFonts w:ascii="Times New Roman" w:hAnsi="Times New Roman"/>
          <w:b w:val="false"/>
          <w:i w:val="false"/>
          <w:color w:val="000000"/>
          <w:sz w:val="22"/>
        </w:rPr>
        <w:t xml:space="preserve">(2) or </w:t>
      </w:r>
      <w:hyperlink r:id="rId421">
        <w:r>
          <w:rPr>
            <w:rStyle w:val="Hyperlink"/>
            <w:rFonts w:ascii="Times New Roman" w:hAnsi="Times New Roman"/>
            <w:b w:val="false"/>
            <w:i w:val="false"/>
            <w:color w:val="000000"/>
            <w:sz w:val="22"/>
          </w:rPr>
          <w:t>41.8(1)</w:t>
        </w:r>
      </w:hyperlink>
      <w:r>
        <w:rPr>
          <w:rFonts w:ascii="Times New Roman" w:hAnsi="Times New Roman"/>
          <w:b w:val="false"/>
          <w:i/>
          <w:color w:val="000000"/>
          <w:sz w:val="22"/>
        </w:rPr>
        <w:t>“f”</w:t>
      </w:r>
      <w:r>
        <w:rPr>
          <w:rFonts w:ascii="Times New Roman" w:hAnsi="Times New Roman"/>
          <w:b w:val="false"/>
          <w:i w:val="false"/>
          <w:color w:val="000000"/>
          <w:sz w:val="22"/>
        </w:rPr>
        <w:t>(3)“2.”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567—41.9</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Special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color w:val="000000"/>
          <w:sz w:val="22"/>
        </w:rPr>
        <w:t xml:space="preserve">Sodium special monitoring. </w:t>
      </w:r>
      <w:r>
        <w:rPr>
          <w:rFonts w:ascii="Times New Roman" w:hAnsi="Times New Roman"/>
          <w:b w:val="false"/>
          <w:i w:val="false"/>
          <w:color w:val="000000"/>
          <w:sz w:val="22"/>
        </w:rPr>
        <w:t>Suppliers of water for CWSs shall collect and have analyzed one sample per source or plant to determine the sodium concentration in the distribution system. Systems utilizing multiple wells that draw raw water from a single aquifer may, with departmental approval, be considered as one source for determining the minimum number of samples to be collected. Sampling frequency and approved analytical methods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SW systems. </w:t>
      </w:r>
      <w:r>
        <w:rPr>
          <w:rFonts w:ascii="Times New Roman" w:hAnsi="Times New Roman"/>
          <w:b w:val="false"/>
          <w:i w:val="false"/>
          <w:color w:val="000000"/>
          <w:sz w:val="22"/>
        </w:rPr>
        <w:t>Systems utilizing a SW source, in whole or in part, shall monitor for sodium at least once annually at the SEP.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GW systems. </w:t>
      </w:r>
      <w:r>
        <w:rPr>
          <w:rFonts w:ascii="Times New Roman" w:hAnsi="Times New Roman"/>
          <w:b w:val="false"/>
          <w:i w:val="false"/>
          <w:color w:val="000000"/>
          <w:sz w:val="22"/>
        </w:rPr>
        <w:t>Systems utilizing GW sources shall monitor at least once every three years at the SEP.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Increased monitoring. </w:t>
      </w:r>
      <w:r>
        <w:rPr>
          <w:rFonts w:ascii="Times New Roman" w:hAnsi="Times New Roman"/>
          <w:b w:val="false"/>
          <w:i w:val="false"/>
          <w:color w:val="000000"/>
          <w:sz w:val="22"/>
        </w:rPr>
        <w:t>Suppliers may be required to monitor more frequently where sodium levels are variable or if certain types of treatment are used, such as cation exchange softening.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w:t>
      </w:r>
      <w:r>
        <w:rPr>
          <w:rFonts w:ascii="Times New Roman" w:hAnsi="Times New Roman"/>
          <w:b w:val="false"/>
          <w:i w:val="false"/>
          <w:color w:val="000000"/>
          <w:sz w:val="22"/>
        </w:rPr>
        <w:t xml:space="preserve">Sodium analyses shall be performed in accordance with </w:t>
      </w:r>
      <w:hyperlink r:id="rId422">
        <w:r>
          <w:rPr>
            <w:rStyle w:val="Hyperlink"/>
            <w:rFonts w:ascii="Times New Roman" w:hAnsi="Times New Roman"/>
            <w:b w:val="false"/>
            <w:i w:val="false"/>
            <w:color w:val="000000"/>
            <w:sz w:val="22"/>
          </w:rPr>
          <w:t>41.3(1)</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The sodium level shall be reported to the public by at least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CWS shall notify the appropriate local public health officials of the sodium levels by written notice by direct mail within three months of receipt of the analytical results. A copy of each notice required by this subrule shall be sent to the department within ten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reporting requirement in this paragraph, the CWS shall include the sodium level in its annual consumer confidence report, pursuant to </w:t>
      </w:r>
      <w:hyperlink r:id="rId423">
        <w:r>
          <w:rPr>
            <w:rStyle w:val="Hyperlink"/>
            <w:rFonts w:ascii="Times New Roman" w:hAnsi="Times New Roman"/>
            <w:b w:val="false"/>
            <w:i w:val="false"/>
            <w:color w:val="000000"/>
            <w:sz w:val="22"/>
          </w:rPr>
          <w:t>567—subparagraph 40.7(4)</w:t>
        </w:r>
      </w:hyperlink>
      <w:r>
        <w:rPr>
          <w:rFonts w:ascii="Times New Roman" w:hAnsi="Times New Roman"/>
          <w:b w:val="false"/>
          <w:i/>
          <w:color w:val="000000"/>
          <w:sz w:val="22"/>
        </w:rPr>
        <w:t>“a”</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CWSs using cation exchange treatment. </w:t>
      </w:r>
      <w:r>
        <w:rPr>
          <w:rFonts w:ascii="Times New Roman" w:hAnsi="Times New Roman"/>
          <w:b w:val="false"/>
          <w:i w:val="false"/>
          <w:color w:val="000000"/>
          <w:sz w:val="22"/>
        </w:rPr>
        <w:t>CWS utilizing cation exchange treatment shall collect one sodium sample of the finished water per year after all treatment. Analysis and reporting must be done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color w:val="000000"/>
          <w:sz w:val="22"/>
        </w:rPr>
        <w:t xml:space="preserve">Ammonia special monitoring. </w:t>
      </w:r>
      <w:r>
        <w:rPr>
          <w:rFonts w:ascii="Times New Roman" w:hAnsi="Times New Roman"/>
          <w:b w:val="false"/>
          <w:i w:val="false"/>
          <w:color w:val="000000"/>
          <w:sz w:val="22"/>
        </w:rPr>
        <w:t>Ammonia in GW is a precursor to the development of nitrite and nitrate in a drinking water system, which are both contaminants with acute health effects. This subrule lists the ammonia analytical methodology, sample preservation requirements, and holding times to be used for drinking water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methodology. </w:t>
      </w:r>
      <w:r>
        <w:rPr>
          <w:rFonts w:ascii="Times New Roman" w:hAnsi="Times New Roman"/>
          <w:b w:val="false"/>
          <w:i w:val="false"/>
          <w:color w:val="000000"/>
          <w:sz w:val="22"/>
        </w:rPr>
        <w:t>Analyses for ammonia shall be performed in accordance with the following methodology, with a detection limit of 0.1 mg/L ammonia as N:</w:t>
      </w:r>
    </w:p>
    <w:p>
      <w:pPr>
        <w:spacing w:before="60" w:after="0"/>
        <w:ind w:left="120"/>
        <w:jc w:val="center"/>
      </w:pPr>
      <w:r>
        <w:rPr>
          <w:rFonts w:ascii="Times New Roman" w:hAnsi="Times New Roman"/>
          <w:b/>
          <w:i w:val="false"/>
          <w:color w:val="000000"/>
          <w:sz w:val="22"/>
        </w:rPr>
        <w:t>Analytical Methodology for Ammonia</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65"/>
        <w:gridCol w:w="1383"/>
        <w:gridCol w:w="2535"/>
        <w:gridCol w:w="2073"/>
        <w:gridCol w:w="1382"/>
        <w:gridCol w:w="1382"/>
      </w:tblGrid>
      <w:tr>
        <w:trPr>
          <w:trHeight w:val="285" w:hRule="atLeast"/>
        </w:trPr>
        <w:tc>
          <w:tcPr>
            <w:tcW w:w="276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Methodology</w:t>
            </w:r>
          </w:p>
        </w:tc>
        <w:tc>
          <w:tcPr>
            <w:tcW w:w="138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EPA</w:t>
            </w:r>
            <w:r>
              <w:rPr>
                <w:rFonts w:ascii="Times New Roman" w:hAnsi="Times New Roman"/>
                <w:b/>
                <w:i w:val="false"/>
                <w:color w:val="000000"/>
                <w:sz w:val="18"/>
                <w:vertAlign w:val="superscript"/>
              </w:rPr>
              <w:t>1</w:t>
            </w:r>
          </w:p>
        </w:tc>
        <w:tc>
          <w:tcPr>
            <w:tcW w:w="2535"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SM (20th edition)</w:t>
            </w:r>
          </w:p>
        </w:tc>
        <w:tc>
          <w:tcPr>
            <w:tcW w:w="207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ASTM</w:t>
            </w:r>
          </w:p>
        </w:tc>
        <w:tc>
          <w:tcPr>
            <w:tcW w:w="138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USGS</w:t>
            </w:r>
            <w:r>
              <w:rPr>
                <w:rFonts w:ascii="Times New Roman" w:hAnsi="Times New Roman"/>
                <w:b/>
                <w:i w:val="false"/>
                <w:color w:val="000000"/>
                <w:sz w:val="18"/>
                <w:vertAlign w:val="superscript"/>
              </w:rPr>
              <w:t>2</w:t>
            </w:r>
          </w:p>
        </w:tc>
        <w:tc>
          <w:tcPr>
            <w:tcW w:w="1382"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Other</w:t>
            </w:r>
          </w:p>
        </w:tc>
      </w:tr>
      <w:tr>
        <w:trPr>
          <w:trHeight w:val="450" w:hRule="atLeast"/>
        </w:trPr>
        <w:tc>
          <w:tcPr>
            <w:tcW w:w="2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Manual distillation at pH 9.5</w:t>
            </w: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 followed by:</w:t>
            </w:r>
          </w:p>
        </w:tc>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350.2</w:t>
            </w:r>
          </w:p>
        </w:tc>
        <w:tc>
          <w:tcPr>
            <w:tcW w:w="25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4500-NH3 B</w:t>
            </w:r>
          </w:p>
        </w:tc>
        <w:tc>
          <w:tcPr>
            <w:tcW w:w="2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973.49</w:t>
            </w:r>
            <w:r>
              <w:rPr>
                <w:rFonts w:ascii="Times New Roman" w:hAnsi="Times New Roman"/>
                <w:b w:val="false"/>
                <w:i w:val="false"/>
                <w:color w:val="000000"/>
                <w:sz w:val="18"/>
                <w:vertAlign w:val="superscript"/>
              </w:rPr>
              <w:t>3</w:t>
            </w:r>
          </w:p>
        </w:tc>
      </w:tr>
      <w:tr>
        <w:trPr>
          <w:trHeight w:val="225" w:hRule="atLeast"/>
        </w:trPr>
        <w:tc>
          <w:tcPr>
            <w:tcW w:w="2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Titration</w:t>
            </w:r>
          </w:p>
        </w:tc>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350.2</w:t>
            </w:r>
          </w:p>
        </w:tc>
        <w:tc>
          <w:tcPr>
            <w:tcW w:w="25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2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Manual electrode</w:t>
            </w:r>
          </w:p>
        </w:tc>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350.3</w:t>
            </w:r>
          </w:p>
        </w:tc>
        <w:tc>
          <w:tcPr>
            <w:tcW w:w="25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4500-NH3 D or E</w:t>
            </w:r>
          </w:p>
        </w:tc>
        <w:tc>
          <w:tcPr>
            <w:tcW w:w="2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D1426-93(B)</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Automated phenate</w:t>
            </w:r>
          </w:p>
        </w:tc>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350.1</w:t>
            </w:r>
          </w:p>
        </w:tc>
        <w:tc>
          <w:tcPr>
            <w:tcW w:w="25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4500-NH3 G</w:t>
            </w:r>
          </w:p>
        </w:tc>
        <w:tc>
          <w:tcPr>
            <w:tcW w:w="2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I-4523-85</w:t>
            </w:r>
          </w:p>
        </w:tc>
        <w:tc>
          <w:tcPr>
            <w:tcW w:w="13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76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Automated electrode</w:t>
            </w:r>
          </w:p>
        </w:tc>
        <w:tc>
          <w:tcPr>
            <w:tcW w:w="13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3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7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See note 5</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“Methods for Chemical Analysis of Water and Wastes,” EPA-600/4-79-020, Revised March 1983 and 1979 where applicable.</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Fishman, M.J., et al., “Methods for Analysis of Inorganic Substances in Water and Fluvial Sediments,’’ U.S. Department of the Interior, Techniques of Water—Resource Investigations of the USGS, Denver, CO, Revised 1989, unless otherwise stated.</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“Official Methods of Analysis of the Association of Official Analytical Chemists,” 15th edition, 1990.</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Manual distillation is not required if the samples are very low in turbidity; however, manual distillation should be used whenever matrix interferences could be present in the sample, and will be required to resolve any controversies.</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16"/>
        </w:rPr>
        <w:t>Ammonia, Automated Electrode Method, Industrial Method Number 379-75 WE, February 19, 1976, Bran &amp; Luebbe (Technicon) Auto Analyzer II, Bran &amp; Luebbe Analyzing Technologies, Inc., Elmsford, NY 10523.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Sample preservation and holding time. </w:t>
      </w:r>
      <w:r>
        <w:rPr>
          <w:rFonts w:ascii="Times New Roman" w:hAnsi="Times New Roman"/>
          <w:b w:val="false"/>
          <w:i w:val="false"/>
          <w:color w:val="000000"/>
          <w:sz w:val="22"/>
        </w:rPr>
        <w:t>Systems must collect a 500 mL grab sample into a plastic or glass bottle. The sample must be acidified at the time of collection to a pH of less than 2 by the addition of sulfuric acid (H</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SO</w:t>
      </w:r>
      <w:r>
        <w:rPr>
          <w:rFonts w:ascii="Times New Roman" w:hAnsi="Times New Roman"/>
          <w:b w:val="false"/>
          <w:i w:val="false"/>
          <w:color w:val="000000"/>
          <w:sz w:val="18"/>
          <w:vertAlign w:val="subscript"/>
        </w:rPr>
        <w:t>4</w:t>
      </w:r>
      <w:r>
        <w:rPr>
          <w:rFonts w:ascii="Times New Roman" w:hAnsi="Times New Roman"/>
          <w:b w:val="false"/>
          <w:i w:val="false"/>
          <w:color w:val="000000"/>
          <w:sz w:val="22"/>
        </w:rPr>
        <w:t>) and refrigerated at 4 degrees Celsius. The sample must be analyzed within 28 days. If the sample is analyzed within 24 hours of collection, the sample acidification is not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567—41.10</w:t>
      </w:r>
      <w:r>
        <w:rPr>
          <w:rFonts w:ascii="Times New Roman" w:hAnsi="Times New Roman"/>
          <w:b/>
          <w:i w:val="false"/>
          <w:color w:val="000000"/>
          <w:sz w:val="22"/>
        </w:rPr>
        <w:t xml:space="preserve">(455B) </w:t>
      </w:r>
      <w:r>
        <w:rPr>
          <w:rFonts w:ascii="Times New Roman" w:hAnsi="Times New Roman"/>
          <w:b/>
          <w:i w:val="false"/>
          <w:color w:val="000000"/>
          <w:sz w:val="22"/>
        </w:rPr>
        <w:t xml:space="preserve">Department analytical results used to determine compliance. </w:t>
      </w:r>
      <w:r>
        <w:rPr>
          <w:rFonts w:ascii="Times New Roman" w:hAnsi="Times New Roman"/>
          <w:b w:val="false"/>
          <w:i w:val="false"/>
          <w:color w:val="000000"/>
          <w:sz w:val="22"/>
        </w:rPr>
        <w:t xml:space="preserve">Analytical results or other information compiled by departmental staff may be used to determine compliance with the MCLs, TTs, or ALs in this chapter or </w:t>
      </w:r>
      <w:hyperlink r:id="rId424">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or for initiating remedial action with respect to these violations.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567—41.11</w:t>
      </w:r>
      <w:r>
        <w:rPr>
          <w:rFonts w:ascii="Times New Roman" w:hAnsi="Times New Roman"/>
          <w:b/>
          <w:i w:val="false"/>
          <w:color w:val="000000"/>
          <w:sz w:val="22"/>
        </w:rPr>
        <w:t xml:space="preserve">(455B) </w:t>
      </w:r>
      <w:r>
        <w:rPr>
          <w:rFonts w:ascii="Times New Roman" w:hAnsi="Times New Roman"/>
          <w:b/>
          <w:i w:val="false"/>
          <w:color w:val="000000"/>
          <w:sz w:val="22"/>
        </w:rPr>
        <w:t xml:space="preserve">Other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color w:val="000000"/>
          <w:sz w:val="22"/>
        </w:rPr>
        <w:t xml:space="preserve">Monitoring of interconnected PWS. </w:t>
      </w:r>
      <w:r>
        <w:rPr>
          <w:rFonts w:ascii="Times New Roman" w:hAnsi="Times New Roman"/>
          <w:b w:val="false"/>
          <w:i w:val="false"/>
          <w:color w:val="000000"/>
          <w:sz w:val="22"/>
        </w:rPr>
        <w:t>When a PWS system supplies water to one or more other PWSs, the department may modify the monitoring requirements imposed by this chapter to the extent that the interconnection of the systems justifies treating them as a single system for monitoring purposes. Any modified monitoring shall be conducted pursuant to a schedule specified by the department and concurred with by the EPA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41.11(2)</w:t>
      </w:r>
      <w:r>
        <w:rPr>
          <w:rFonts w:ascii="Times New Roman" w:hAnsi="Times New Roman"/>
          <w:b w:val="false"/>
          <w:i w:val="false"/>
          <w:color w:val="000000"/>
          <w:sz w:val="22"/>
        </w:rPr>
        <w:t> </w:t>
      </w:r>
      <w:r>
        <w:rPr>
          <w:rFonts w:ascii="Times New Roman" w:hAnsi="Times New Roman"/>
          <w:b w:val="false"/>
          <w:i/>
          <w:color w:val="000000"/>
          <w:sz w:val="22"/>
        </w:rPr>
        <w:t xml:space="preserve">Monitoring of other contaminants. </w:t>
      </w:r>
      <w:r>
        <w:rPr>
          <w:rFonts w:ascii="Times New Roman" w:hAnsi="Times New Roman"/>
          <w:b w:val="false"/>
          <w:i w:val="false"/>
          <w:color w:val="000000"/>
          <w:sz w:val="22"/>
        </w:rPr>
        <w:t>If the department determines that other contaminants are present in a PWS, and the contaminants are known to pose, or scientific evidence strongly suggests that they pose, a threat to human health, a water supply may be required to monitor for such contaminants. The water supply will monitor at a frequency and in a manner which will adequately identify the magnitude and extent of the contamination. The monitoring frequency and sampling location will be determined by the department. All analytical results will be obtained using EPA-approved methods and submitted to the department for review and evaluation. Any monitoring required under this paragraph will be incorporated into an operation permit or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sections </w:t>
      </w:r>
      <w:hyperlink r:id="rId425">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through </w:t>
      </w:r>
      <w:hyperlink r:id="rId426">
        <w:r>
          <w:rPr>
            <w:rStyle w:val="Hyperlink"/>
            <w:rFonts w:ascii="Times New Roman" w:hAnsi="Times New Roman"/>
            <w:b w:val="false"/>
            <w:i w:val="false"/>
            <w:color w:val="000000"/>
            <w:sz w:val="22"/>
          </w:rPr>
          <w:t>455B.188</w:t>
        </w:r>
      </w:hyperlink>
      <w:r>
        <w:rPr>
          <w:rFonts w:ascii="Times New Roman" w:hAnsi="Times New Roman"/>
          <w:b w:val="false"/>
          <w:i w:val="false"/>
          <w:color w:val="000000"/>
          <w:sz w:val="22"/>
        </w:rPr>
        <w:t xml:space="preserve"> and </w:t>
      </w:r>
      <w:hyperlink r:id="rId427">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 xml:space="preserve"> through </w:t>
      </w:r>
      <w:hyperlink r:id="rId428">
        <w:r>
          <w:rPr>
            <w:rStyle w:val="Hyperlink"/>
            <w:rFonts w:ascii="Times New Roman" w:hAnsi="Times New Roman"/>
            <w:b w:val="false"/>
            <w:i w:val="false"/>
            <w:color w:val="000000"/>
            <w:sz w:val="22"/>
          </w:rPr>
          <w:t>455B.192</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prior to 7/1/52; amended 7/31/74]</w:t>
      </w:r>
    </w:p>
    <w:p>
      <w:pPr>
        <w:spacing w:before="0" w:after="0"/>
        <w:ind w:left="120"/>
        <w:jc w:val="center"/>
      </w:pPr>
      <w:r>
        <w:rPr>
          <w:rFonts w:ascii="Times New Roman" w:hAnsi="Times New Roman"/>
          <w:b w:val="false"/>
          <w:i w:val="false"/>
          <w:color w:val="000000"/>
          <w:sz w:val="21"/>
        </w:rPr>
        <w:t>[Filed 3/5/76, Notice 12/1/75—published 3/22/76, effective 4/26/76]</w:t>
      </w:r>
    </w:p>
    <w:p>
      <w:pPr>
        <w:spacing w:before="0" w:after="0"/>
        <w:ind w:left="120"/>
        <w:jc w:val="center"/>
      </w:pPr>
      <w:r>
        <w:rPr>
          <w:rFonts w:ascii="Times New Roman" w:hAnsi="Times New Roman"/>
          <w:b w:val="false"/>
          <w:i w:val="false"/>
          <w:color w:val="000000"/>
          <w:sz w:val="21"/>
        </w:rPr>
        <w:t>[Filed 2/25/77, Notice 11/17/76—published 3/23/77, effective 6/24/77]</w:t>
      </w:r>
    </w:p>
    <w:p>
      <w:pPr>
        <w:spacing w:before="0" w:after="0"/>
        <w:ind w:left="120"/>
        <w:jc w:val="center"/>
      </w:pPr>
      <w:r>
        <w:rPr>
          <w:rFonts w:ascii="Times New Roman" w:hAnsi="Times New Roman"/>
          <w:b w:val="false"/>
          <w:i w:val="false"/>
          <w:color w:val="000000"/>
          <w:sz w:val="21"/>
        </w:rPr>
        <w:t>[Filed without Notice 4/28/77—published 5/18/77, effective 6/24/77]</w:t>
      </w:r>
    </w:p>
    <w:p>
      <w:pPr>
        <w:spacing w:before="0" w:after="0"/>
        <w:ind w:left="120"/>
        <w:jc w:val="center"/>
      </w:pPr>
      <w:r>
        <w:rPr>
          <w:rFonts w:ascii="Times New Roman" w:hAnsi="Times New Roman"/>
          <w:b w:val="false"/>
          <w:i w:val="false"/>
          <w:color w:val="000000"/>
          <w:sz w:val="21"/>
        </w:rPr>
        <w:t>[Filed 7/1/77, Notice 3/23/77—published 7/27/77, effective 8/31/77]</w:t>
      </w:r>
    </w:p>
    <w:p>
      <w:pPr>
        <w:spacing w:before="0" w:after="0"/>
        <w:ind w:left="120"/>
        <w:jc w:val="center"/>
      </w:pPr>
      <w:r>
        <w:rPr>
          <w:rFonts w:ascii="Times New Roman" w:hAnsi="Times New Roman"/>
          <w:b w:val="false"/>
          <w:i w:val="false"/>
          <w:color w:val="000000"/>
          <w:sz w:val="21"/>
        </w:rPr>
        <w:t>[Filed after Notice 5/25/78, Notice 12/28/77, 5/3/78—published 6/14/78, effective 5/25/78]</w:t>
      </w:r>
    </w:p>
    <w:p>
      <w:pPr>
        <w:spacing w:before="0" w:after="0"/>
        <w:ind w:left="120"/>
        <w:jc w:val="center"/>
      </w:pPr>
      <w:r>
        <w:rPr>
          <w:rFonts w:ascii="Times New Roman" w:hAnsi="Times New Roman"/>
          <w:b w:val="false"/>
          <w:i w:val="false"/>
          <w:color w:val="000000"/>
          <w:sz w:val="21"/>
        </w:rPr>
        <w:t>[Filed 10/13/78, Notice 5/3/78—published 11/1/78, effective 12/6/78]</w:t>
      </w:r>
    </w:p>
    <w:p>
      <w:pPr>
        <w:spacing w:before="0" w:after="0"/>
        <w:ind w:left="120"/>
        <w:jc w:val="center"/>
      </w:pPr>
      <w:r>
        <w:rPr>
          <w:rFonts w:ascii="Times New Roman" w:hAnsi="Times New Roman"/>
          <w:b w:val="false"/>
          <w:i w:val="false"/>
          <w:color w:val="000000"/>
          <w:sz w:val="21"/>
        </w:rPr>
        <w:t>[Filed 2/2/79, Notice 7/26/78—published 2/21/79, effective 3/28/79]</w:t>
      </w:r>
    </w:p>
    <w:p>
      <w:pPr>
        <w:spacing w:before="0" w:after="0"/>
        <w:ind w:left="120"/>
        <w:jc w:val="center"/>
      </w:pPr>
      <w:r>
        <w:rPr>
          <w:rFonts w:ascii="Times New Roman" w:hAnsi="Times New Roman"/>
          <w:b w:val="false"/>
          <w:i w:val="false"/>
          <w:color w:val="000000"/>
          <w:sz w:val="21"/>
        </w:rPr>
        <w:t>[Filed 3/30/79, Notice 2/7/79—published 4/18/79, effective 5/23/79]</w:t>
      </w:r>
    </w:p>
    <w:p>
      <w:pPr>
        <w:spacing w:before="0" w:after="0"/>
        <w:ind w:left="120"/>
        <w:jc w:val="center"/>
      </w:pPr>
      <w:r>
        <w:rPr>
          <w:rFonts w:ascii="Times New Roman" w:hAnsi="Times New Roman"/>
          <w:b w:val="false"/>
          <w:i w:val="false"/>
          <w:color w:val="000000"/>
          <w:sz w:val="21"/>
        </w:rPr>
        <w:t>[Filed 5/11/79, Notice 2/7/79—published 5/30/79, effective 7/5/79]</w:t>
      </w:r>
    </w:p>
    <w:p>
      <w:pPr>
        <w:spacing w:before="0" w:after="0"/>
        <w:ind w:left="120"/>
        <w:jc w:val="center"/>
      </w:pPr>
      <w:r>
        <w:rPr>
          <w:rFonts w:ascii="Times New Roman" w:hAnsi="Times New Roman"/>
          <w:b w:val="false"/>
          <w:i w:val="false"/>
          <w:color w:val="000000"/>
          <w:sz w:val="21"/>
        </w:rPr>
        <w:t>[Filed 1/4/80, Notice 9/5/79—published 1/23/80, effective 2/27/80]</w:t>
      </w:r>
    </w:p>
    <w:p>
      <w:pPr>
        <w:spacing w:before="0" w:after="0"/>
        <w:ind w:left="120"/>
        <w:jc w:val="center"/>
      </w:pPr>
      <w:r>
        <w:rPr>
          <w:rFonts w:ascii="Times New Roman" w:hAnsi="Times New Roman"/>
          <w:b w:val="false"/>
          <w:i w:val="false"/>
          <w:color w:val="000000"/>
          <w:sz w:val="21"/>
        </w:rPr>
        <w:t>[Filed 6/6/80, Notice 3/19/80—published 6/25/80, effective 7/30/80]</w:t>
      </w:r>
    </w:p>
    <w:p>
      <w:pPr>
        <w:spacing w:before="0" w:after="0"/>
        <w:ind w:left="120"/>
        <w:jc w:val="center"/>
      </w:pPr>
      <w:r>
        <w:rPr>
          <w:rFonts w:ascii="Times New Roman" w:hAnsi="Times New Roman"/>
          <w:b w:val="false"/>
          <w:i w:val="false"/>
          <w:color w:val="000000"/>
          <w:sz w:val="21"/>
        </w:rPr>
        <w:t>[Filed 4/23/81, Notice 2/18/81—published 5/13/81, effective 6/17/81]</w:t>
      </w:r>
    </w:p>
    <w:p>
      <w:pPr>
        <w:spacing w:before="0" w:after="0"/>
        <w:ind w:left="120"/>
        <w:jc w:val="center"/>
      </w:pPr>
      <w:r>
        <w:rPr>
          <w:rFonts w:ascii="Times New Roman" w:hAnsi="Times New Roman"/>
          <w:b w:val="false"/>
          <w:i w:val="false"/>
          <w:color w:val="000000"/>
          <w:sz w:val="21"/>
        </w:rPr>
        <w:t>[Filed 6/18/82, Notice 4/14/82—published 7/7/82, effective 8/11/82]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3/22/85, Notice 9/12/84—published 4/10/85, effective 5/15/85]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emergency 10/2/87—published 10/21/87, effective 10/14/87]</w:t>
      </w:r>
    </w:p>
    <w:p>
      <w:pPr>
        <w:spacing w:before="0" w:after="0"/>
        <w:ind w:left="120"/>
        <w:jc w:val="center"/>
      </w:pPr>
      <w:r>
        <w:rPr>
          <w:rFonts w:ascii="Times New Roman" w:hAnsi="Times New Roman"/>
          <w:b w:val="false"/>
          <w:i w:val="false"/>
          <w:color w:val="000000"/>
          <w:sz w:val="21"/>
        </w:rPr>
        <w:t>[Filed 7/22/88, Notice 5/18/88—published 8/10/88, effective 9/14/88]</w:t>
      </w:r>
    </w:p>
    <w:p>
      <w:pPr>
        <w:spacing w:before="0" w:after="0"/>
        <w:ind w:left="120"/>
        <w:jc w:val="center"/>
      </w:pPr>
      <w:r>
        <w:rPr>
          <w:rFonts w:ascii="Times New Roman" w:hAnsi="Times New Roman"/>
          <w:b w:val="false"/>
          <w:i w:val="false"/>
          <w:color w:val="000000"/>
          <w:sz w:val="21"/>
        </w:rPr>
        <w:t>[Filed 1/19/90, Notice 9/20/89—published 2/7/90, effective 3/14/90]</w:t>
      </w:r>
    </w:p>
    <w:p>
      <w:pPr>
        <w:spacing w:before="0" w:after="0"/>
        <w:ind w:left="120"/>
        <w:jc w:val="center"/>
      </w:pPr>
      <w:r>
        <w:rPr>
          <w:rFonts w:ascii="Times New Roman" w:hAnsi="Times New Roman"/>
          <w:b w:val="false"/>
          <w:i w:val="false"/>
          <w:color w:val="000000"/>
          <w:sz w:val="21"/>
        </w:rPr>
        <w:t>[Filed 11/26/90, Notice 6/13/90—published 12/12/90, effective 1/16/91]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9/25/92, Notice 6/10/92—published 10/14/92, effective 11/18/92]</w:t>
      </w:r>
    </w:p>
    <w:p>
      <w:pPr>
        <w:spacing w:before="0" w:after="0"/>
        <w:ind w:left="120"/>
        <w:jc w:val="center"/>
      </w:pPr>
      <w:r>
        <w:rPr>
          <w:rFonts w:ascii="Times New Roman" w:hAnsi="Times New Roman"/>
          <w:b w:val="false"/>
          <w:i w:val="false"/>
          <w:color w:val="000000"/>
          <w:sz w:val="21"/>
        </w:rPr>
        <w:t>[Filed 7/30/93, Notice 5/12/93—published 8/18/93, effective 9/22/93]</w:t>
      </w:r>
    </w:p>
    <w:p>
      <w:pPr>
        <w:spacing w:before="0" w:after="0"/>
        <w:ind w:left="120"/>
        <w:jc w:val="center"/>
      </w:pPr>
      <w:r>
        <w:rPr>
          <w:rFonts w:ascii="Times New Roman" w:hAnsi="Times New Roman"/>
          <w:b w:val="false"/>
          <w:i w:val="false"/>
          <w:color w:val="000000"/>
          <w:sz w:val="21"/>
        </w:rPr>
        <w:t>[Filed 9/24/93, Notice 5/12/93—published 10/13/93, effective 11/17/93]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3/22/96, Notice 11/8/95—published 4/10/96, effective 5/15/96]</w:t>
      </w:r>
    </w:p>
    <w:p>
      <w:pPr>
        <w:spacing w:before="0" w:after="0"/>
        <w:ind w:left="120"/>
        <w:jc w:val="center"/>
      </w:pPr>
      <w:r>
        <w:rPr>
          <w:rFonts w:ascii="Times New Roman" w:hAnsi="Times New Roman"/>
          <w:b w:val="false"/>
          <w:i w:val="false"/>
          <w:color w:val="000000"/>
          <w:sz w:val="21"/>
        </w:rPr>
        <w:t>[Filed 7/23/99, Notice 4/7/99—published 8/11/99, effective 9/15/99]</w:t>
      </w:r>
    </w:p>
    <w:p>
      <w:pPr>
        <w:spacing w:before="0" w:after="0"/>
        <w:ind w:left="120"/>
        <w:jc w:val="center"/>
      </w:pPr>
      <w:r>
        <w:rPr>
          <w:rFonts w:ascii="Times New Roman" w:hAnsi="Times New Roman"/>
          <w:b w:val="false"/>
          <w:i w:val="false"/>
          <w:color w:val="000000"/>
          <w:sz w:val="21"/>
        </w:rPr>
        <w:t>[Filed 9/29/00, Notice 6/14/00—published 10/18/00, effective 11/22/00]</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ARC 9915B</w:t>
      </w:r>
      <w:r>
        <w:rPr>
          <w:rFonts w:ascii="Times New Roman" w:hAnsi="Times New Roman"/>
          <w:b w:val="false"/>
          <w:i w:val="false"/>
          <w:color w:val="000000"/>
          <w:sz w:val="21"/>
        </w:rPr>
        <w:t xml:space="preserve"> (Notice ARC 9737B, IAB 9/7/11)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9396C</w:t>
      </w:r>
      <w:r>
        <w:rPr>
          <w:rFonts w:ascii="Times New Roman" w:hAnsi="Times New Roman"/>
          <w:b w:val="false"/>
          <w:i w:val="false"/>
          <w:color w:val="000000"/>
          <w:sz w:val="21"/>
        </w:rPr>
        <w:t xml:space="preserve"> (Notice ARC 8631C, IAB 1/8/25)</w:t>
      </w:r>
      <w:r>
        <w:rPr>
          <w:rFonts w:ascii="Times New Roman" w:hAnsi="Times New Roman"/>
          <w:b w:val="false"/>
          <w:i w:val="false"/>
          <w:color w:val="000000"/>
          <w:sz w:val="21"/>
        </w:rPr>
        <w:t>, IAB 7/9/25, effective 8/13/25]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[ARC4359A] 41.3(1)</w:t>
      </w:r>
      <w:r>
        <w:rPr>
          <w:rFonts w:ascii="Times New Roman" w:hAnsi="Times New Roman"/>
          <w:b w:val="false"/>
          <w:i/>
          <w:color w:val="000000"/>
          <w:sz w:val="22"/>
        </w:rPr>
        <w:t>“b”</w:t>
      </w:r>
      <w:r>
        <w:rPr>
          <w:rFonts w:ascii="Times New Roman" w:hAnsi="Times New Roman"/>
          <w:b w:val="false"/>
          <w:i w:val="false"/>
          <w:color w:val="000000"/>
          <w:sz w:val="22"/>
        </w:rPr>
        <w:t>(2)“3”; 41.3(1)</w:t>
      </w:r>
      <w:r>
        <w:rPr>
          <w:rFonts w:ascii="Times New Roman" w:hAnsi="Times New Roman"/>
          <w:b w:val="false"/>
          <w:i/>
          <w:color w:val="000000"/>
          <w:sz w:val="22"/>
        </w:rPr>
        <w:t>“c”</w:t>
      </w:r>
      <w:r>
        <w:rPr>
          <w:rFonts w:ascii="Times New Roman" w:hAnsi="Times New Roman"/>
          <w:b w:val="false"/>
          <w:i w:val="false"/>
          <w:color w:val="000000"/>
          <w:sz w:val="22"/>
        </w:rPr>
        <w:t>(2)“4,” new sentence at end; 41.3(1)</w:t>
      </w:r>
      <w:r>
        <w:rPr>
          <w:rFonts w:ascii="Times New Roman" w:hAnsi="Times New Roman"/>
          <w:b w:val="false"/>
          <w:i/>
          <w:color w:val="000000"/>
          <w:sz w:val="22"/>
        </w:rPr>
        <w:t>“c”</w:t>
      </w:r>
      <w:r>
        <w:rPr>
          <w:rFonts w:ascii="Times New Roman" w:hAnsi="Times New Roman"/>
          <w:b w:val="false"/>
          <w:i w:val="false"/>
          <w:color w:val="000000"/>
          <w:sz w:val="22"/>
        </w:rPr>
        <w:t>(3)“6,” “10”; 41.3(1)</w:t>
      </w:r>
      <w:r>
        <w:rPr>
          <w:rFonts w:ascii="Times New Roman" w:hAnsi="Times New Roman"/>
          <w:b w:val="false"/>
          <w:i/>
          <w:color w:val="000000"/>
          <w:sz w:val="22"/>
        </w:rPr>
        <w:t>“c”</w:t>
      </w:r>
      <w:r>
        <w:rPr>
          <w:rFonts w:ascii="Times New Roman" w:hAnsi="Times New Roman"/>
          <w:b w:val="false"/>
          <w:i w:val="false"/>
          <w:color w:val="000000"/>
          <w:sz w:val="22"/>
        </w:rPr>
        <w:t>(8), first sentence; 41.4(1)</w:t>
      </w:r>
      <w:r>
        <w:rPr>
          <w:rFonts w:ascii="Times New Roman" w:hAnsi="Times New Roman"/>
          <w:b w:val="false"/>
          <w:i/>
          <w:color w:val="000000"/>
          <w:sz w:val="22"/>
        </w:rPr>
        <w:t>“d”</w:t>
      </w:r>
      <w:r>
        <w:rPr>
          <w:rFonts w:ascii="Times New Roman" w:hAnsi="Times New Roman"/>
          <w:b w:val="false"/>
          <w:i w:val="false"/>
          <w:color w:val="000000"/>
          <w:sz w:val="22"/>
        </w:rPr>
        <w:t>(5)“4”; 41.5(1)</w:t>
      </w:r>
      <w:r>
        <w:rPr>
          <w:rFonts w:ascii="Times New Roman" w:hAnsi="Times New Roman"/>
          <w:b w:val="false"/>
          <w:i/>
          <w:color w:val="000000"/>
          <w:sz w:val="22"/>
        </w:rPr>
        <w:t>“a”</w:t>
      </w:r>
      <w:r>
        <w:rPr>
          <w:rFonts w:ascii="Times New Roman" w:hAnsi="Times New Roman"/>
          <w:b w:val="false"/>
          <w:i w:val="false"/>
          <w:color w:val="000000"/>
          <w:sz w:val="22"/>
        </w:rPr>
        <w:t>; 41.10(7)</w:t>
      </w:r>
      <w:r>
        <w:rPr>
          <w:rFonts w:ascii="Times New Roman" w:hAnsi="Times New Roman"/>
          <w:b w:val="false"/>
          <w:i/>
          <w:color w:val="000000"/>
          <w:sz w:val="22"/>
        </w:rPr>
        <w:t>“a”</w:t>
      </w:r>
      <w:r>
        <w:rPr>
          <w:rFonts w:ascii="Times New Roman" w:hAnsi="Times New Roman"/>
          <w:b w:val="false"/>
          <w:i w:val="false"/>
          <w:color w:val="000000"/>
          <w:sz w:val="22"/>
        </w:rPr>
        <w:t>(3); 41.11(2)</w:t>
      </w:r>
      <w:r>
        <w:rPr>
          <w:rFonts w:ascii="Times New Roman" w:hAnsi="Times New Roman"/>
          <w:b w:val="false"/>
          <w:i/>
          <w:color w:val="000000"/>
          <w:sz w:val="22"/>
        </w:rPr>
        <w:t>“a”</w:t>
      </w:r>
      <w:r>
        <w:rPr>
          <w:rFonts w:ascii="Times New Roman" w:hAnsi="Times New Roman"/>
          <w:b w:val="false"/>
          <w:i w:val="false"/>
          <w:color w:val="000000"/>
          <w:sz w:val="22"/>
        </w:rPr>
        <w:t>; 41.11(2)</w:t>
      </w:r>
      <w:r>
        <w:rPr>
          <w:rFonts w:ascii="Times New Roman" w:hAnsi="Times New Roman"/>
          <w:b w:val="false"/>
          <w:i/>
          <w:color w:val="000000"/>
          <w:sz w:val="22"/>
        </w:rPr>
        <w:t>“c”</w:t>
      </w:r>
      <w:r>
        <w:rPr>
          <w:rFonts w:ascii="Times New Roman" w:hAnsi="Times New Roman"/>
          <w:b w:val="false"/>
          <w:i w:val="false"/>
          <w:color w:val="000000"/>
          <w:sz w:val="22"/>
        </w:rPr>
        <w:t>(4); 41.11(2)</w:t>
      </w:r>
      <w:r>
        <w:rPr>
          <w:rFonts w:ascii="Times New Roman" w:hAnsi="Times New Roman"/>
          <w:b w:val="false"/>
          <w:i/>
          <w:color w:val="000000"/>
          <w:sz w:val="22"/>
        </w:rPr>
        <w:t>“c”</w:t>
      </w:r>
      <w:r>
        <w:rPr>
          <w:rFonts w:ascii="Times New Roman" w:hAnsi="Times New Roman"/>
          <w:b w:val="false"/>
          <w:i w:val="false"/>
          <w:color w:val="000000"/>
          <w:sz w:val="22"/>
        </w:rPr>
        <w:t>(5), first sentence, delayed 70 days by the Administrative Rules Review Committee at its meeting held November 9, 1993; delay lifted by the Committee December 14, 1993.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40.pdf" Type="http://schemas.openxmlformats.org/officeDocument/2006/relationships/hyperlink" Id="rId5"/>
    <Relationship TargetMode="External" Target="https://www.legis.iowa.gov/docs/iac/chapter/567.44.pdf" Type="http://schemas.openxmlformats.org/officeDocument/2006/relationships/hyperlink" Id="rId6"/>
    <Relationship TargetMode="External" Target="https://www.legis.iowa.gov/docs/iac/chapter/567.83.pdf" Type="http://schemas.openxmlformats.org/officeDocument/2006/relationships/hyperlink" Id="rId7"/>
    <Relationship TargetMode="External" Target="https://www.legis.iowa.gov/docs/iac/rule/567.40.5.pdf" Type="http://schemas.openxmlformats.org/officeDocument/2006/relationships/hyperlink" Id="rId8"/>
    <Relationship TargetMode="External" Target="https://www.legis.iowa.gov/docs/iac/rule/567.41.2.pdf" Type="http://schemas.openxmlformats.org/officeDocument/2006/relationships/hyperlink" Id="rId9"/>
    <Relationship TargetMode="External" Target="https://www.legis.iowa.gov/docs/iac/rule/567.41.2.pdf" Type="http://schemas.openxmlformats.org/officeDocument/2006/relationships/hyperlink" Id="rId10"/>
    <Relationship TargetMode="External" Target="http://www.nemi.gov" Type="http://schemas.openxmlformats.org/officeDocument/2006/relationships/hyperlink" Id="rId11"/>
    <Relationship TargetMode="External" Target="http://www.hach.com" Type="http://schemas.openxmlformats.org/officeDocument/2006/relationships/hyperlink" Id="rId12"/>
    <Relationship TargetMode="External" Target="https://www.legis.iowa.gov/docs/iac/chapter/567.83.pdf" Type="http://schemas.openxmlformats.org/officeDocument/2006/relationships/hyperlink" Id="rId13"/>
    <Relationship TargetMode="External" Target="https://www.legis.iowa.gov/docs/iac/rule/567.41.7.pdf" Type="http://schemas.openxmlformats.org/officeDocument/2006/relationships/hyperlink" Id="rId14"/>
    <Relationship TargetMode="External" Target="https://www.legis.iowa.gov/docs/iac/rule/567.41.2.pdf" Type="http://schemas.openxmlformats.org/officeDocument/2006/relationships/hyperlink" Id="rId15"/>
    <Relationship TargetMode="External" Target="https://www.legis.iowa.gov/docs/iac/rule/567.41.2.pdf" Type="http://schemas.openxmlformats.org/officeDocument/2006/relationships/hyperlink" Id="rId16"/>
    <Relationship TargetMode="External" Target="https://www.legis.iowa.gov/docs/iac/rule/567.41.7.pdf" Type="http://schemas.openxmlformats.org/officeDocument/2006/relationships/hyperlink" Id="rId17"/>
    <Relationship TargetMode="External" Target="https://www.legis.iowa.gov/docs/iac/rule/567.41.7.pdf" Type="http://schemas.openxmlformats.org/officeDocument/2006/relationships/hyperlink" Id="rId18"/>
    <Relationship TargetMode="External" Target="https://www.legis.iowa.gov/docs/iac/rule/567.41.2.pdf" Type="http://schemas.openxmlformats.org/officeDocument/2006/relationships/hyperlink" Id="rId19"/>
    <Relationship TargetMode="External" Target="https://www.legis.iowa.gov/docs/iac/rule/567.40.8.pdf" Type="http://schemas.openxmlformats.org/officeDocument/2006/relationships/hyperlink" Id="rId20"/>
    <Relationship TargetMode="External" Target="https://www.legis.iowa.gov/docs/iac/rule/567.41.2.pdf" Type="http://schemas.openxmlformats.org/officeDocument/2006/relationships/hyperlink" Id="rId21"/>
    <Relationship TargetMode="External" Target="https://www.legis.iowa.gov/docs/iac/rule/567.40.8.pdf" Type="http://schemas.openxmlformats.org/officeDocument/2006/relationships/hyperlink" Id="rId22"/>
    <Relationship TargetMode="External" Target="https://www.legis.iowa.gov/docs/iac/rule/567.43.5.pdf" Type="http://schemas.openxmlformats.org/officeDocument/2006/relationships/hyperlink" Id="rId23"/>
    <Relationship TargetMode="External" Target="https://www.legis.iowa.gov/docs/iac/rule/567.43.5.pdf" Type="http://schemas.openxmlformats.org/officeDocument/2006/relationships/hyperlink" Id="rId24"/>
    <Relationship TargetMode="External" Target="https://www.legis.iowa.gov/docs/iac/rule/567.41.2.pdf" Type="http://schemas.openxmlformats.org/officeDocument/2006/relationships/hyperlink" Id="rId25"/>
    <Relationship TargetMode="External" Target="https://www.legis.iowa.gov/docs/iac/rule/567.43.5.pdf" Type="http://schemas.openxmlformats.org/officeDocument/2006/relationships/hyperlink" Id="rId26"/>
    <Relationship TargetMode="External" Target="https://www.legis.iowa.gov/docs/iac/rule/567.40.8.pdf" Type="http://schemas.openxmlformats.org/officeDocument/2006/relationships/hyperlink" Id="rId27"/>
    <Relationship TargetMode="External" Target="https://www.legis.iowa.gov/docs/iac/rule/567.41.2.pdf" Type="http://schemas.openxmlformats.org/officeDocument/2006/relationships/hyperlink" Id="rId28"/>
    <Relationship TargetMode="External" Target="https://www.legis.iowa.gov/docs/iac/rule/567.41.2.pdf" Type="http://schemas.openxmlformats.org/officeDocument/2006/relationships/hyperlink" Id="rId29"/>
    <Relationship TargetMode="External" Target="https://www.legis.iowa.gov/docs/iac/rule/567.41.2.pdf" Type="http://schemas.openxmlformats.org/officeDocument/2006/relationships/hyperlink" Id="rId30"/>
    <Relationship TargetMode="External" Target="https://www.legis.iowa.gov/docs/iac/rule/567.41.2.pdf" Type="http://schemas.openxmlformats.org/officeDocument/2006/relationships/hyperlink" Id="rId31"/>
    <Relationship TargetMode="External" Target="https://www.legis.iowa.gov/docs/iac/rule/567.41.2.pdf" Type="http://schemas.openxmlformats.org/officeDocument/2006/relationships/hyperlink" Id="rId32"/>
    <Relationship TargetMode="External" Target="https://www.legis.iowa.gov/docs/iac/rule/567.41.2.pdf" Type="http://schemas.openxmlformats.org/officeDocument/2006/relationships/hyperlink" Id="rId33"/>
    <Relationship TargetMode="External" Target="https://www.legis.iowa.gov/docs/iac/rule/567.41.2.pdf" Type="http://schemas.openxmlformats.org/officeDocument/2006/relationships/hyperlink" Id="rId34"/>
    <Relationship TargetMode="External" Target="https://www.legis.iowa.gov/docs/iac/rule/567.41.2.pdf" Type="http://schemas.openxmlformats.org/officeDocument/2006/relationships/hyperlink" Id="rId35"/>
    <Relationship TargetMode="External" Target="https://www.legis.iowa.gov/docs/iac/rule/567.41.2.pdf" Type="http://schemas.openxmlformats.org/officeDocument/2006/relationships/hyperlink" Id="rId36"/>
    <Relationship TargetMode="External" Target="https://www.legis.iowa.gov/docs/iac/rule/567.41.2.pdf" Type="http://schemas.openxmlformats.org/officeDocument/2006/relationships/hyperlink" Id="rId37"/>
    <Relationship TargetMode="External" Target="https://www.legis.iowa.gov/docs/iac/rule/567.41.2.pdf" Type="http://schemas.openxmlformats.org/officeDocument/2006/relationships/hyperlink" Id="rId38"/>
    <Relationship TargetMode="External" Target="https://www.legis.iowa.gov/docs/iac/rule/567.41.2.pdf" Type="http://schemas.openxmlformats.org/officeDocument/2006/relationships/hyperlink" Id="rId39"/>
    <Relationship TargetMode="External" Target="https://www.legis.iowa.gov/docs/iac/rule/567.41.2.pdf" Type="http://schemas.openxmlformats.org/officeDocument/2006/relationships/hyperlink" Id="rId40"/>
    <Relationship TargetMode="External" Target="https://www.legis.iowa.gov/docs/iac/rule/567.43.3.pdf" Type="http://schemas.openxmlformats.org/officeDocument/2006/relationships/hyperlink" Id="rId41"/>
    <Relationship TargetMode="External" Target="https://www.legis.iowa.gov/docs/iac/rule/567.41.2.pdf" Type="http://schemas.openxmlformats.org/officeDocument/2006/relationships/hyperlink" Id="rId42"/>
    <Relationship TargetMode="External" Target="https://www.legis.iowa.gov/docs/iac/rule/567.41.2.pdf" Type="http://schemas.openxmlformats.org/officeDocument/2006/relationships/hyperlink" Id="rId43"/>
    <Relationship TargetMode="External" Target="https://www.legis.iowa.gov/docs/iac/rule/567.41.2.pdf" Type="http://schemas.openxmlformats.org/officeDocument/2006/relationships/hyperlink" Id="rId44"/>
    <Relationship TargetMode="External" Target="https://www.legis.iowa.gov/docs/iac/rule/567.41.2.pdf" Type="http://schemas.openxmlformats.org/officeDocument/2006/relationships/hyperlink" Id="rId45"/>
    <Relationship TargetMode="External" Target="https://www.legis.iowa.gov/docs/iac/rule/567.41.2.pdf" Type="http://schemas.openxmlformats.org/officeDocument/2006/relationships/hyperlink" Id="rId46"/>
    <Relationship TargetMode="External" Target="https://www.legis.iowa.gov/docs/iac/rule/567.41.2.pdf" Type="http://schemas.openxmlformats.org/officeDocument/2006/relationships/hyperlink" Id="rId47"/>
    <Relationship TargetMode="External" Target="https://www.legis.iowa.gov/docs/iac/rule/567.41.2.pdf" Type="http://schemas.openxmlformats.org/officeDocument/2006/relationships/hyperlink" Id="rId48"/>
    <Relationship TargetMode="External" Target="https://www.legis.iowa.gov/docs/iac/rule/567.41.2.pdf" Type="http://schemas.openxmlformats.org/officeDocument/2006/relationships/hyperlink" Id="rId49"/>
    <Relationship TargetMode="External" Target="https://www.legis.iowa.gov/docs/iac/rule/567.41.2.pdf" Type="http://schemas.openxmlformats.org/officeDocument/2006/relationships/hyperlink" Id="rId50"/>
    <Relationship TargetMode="External" Target="https://www.legis.iowa.gov/docs/iac/rule/567.41.2.pdf" Type="http://schemas.openxmlformats.org/officeDocument/2006/relationships/hyperlink" Id="rId51"/>
    <Relationship TargetMode="External" Target="https://www.legis.iowa.gov/docs/iac/rule/567.41.2.pdf" Type="http://schemas.openxmlformats.org/officeDocument/2006/relationships/hyperlink" Id="rId52"/>
    <Relationship TargetMode="External" Target="https://www.legis.iowa.gov/docs/iac/rule/567.41.2.pdf" Type="http://schemas.openxmlformats.org/officeDocument/2006/relationships/hyperlink" Id="rId53"/>
    <Relationship TargetMode="External" Target="https://www.legis.iowa.gov/docs/iac/rule/567.41.2.pdf" Type="http://schemas.openxmlformats.org/officeDocument/2006/relationships/hyperlink" Id="rId54"/>
    <Relationship TargetMode="External" Target="https://www.legis.iowa.gov/docs/iac/rule/567.41.2.pdf" Type="http://schemas.openxmlformats.org/officeDocument/2006/relationships/hyperlink" Id="rId55"/>
    <Relationship TargetMode="External" Target="https://www.legis.iowa.gov/docs/iac/rule/567.41.2.pdf" Type="http://schemas.openxmlformats.org/officeDocument/2006/relationships/hyperlink" Id="rId56"/>
    <Relationship TargetMode="External" Target="https://www.legis.iowa.gov/docs/iac/rule/567.41.2.pdf" Type="http://schemas.openxmlformats.org/officeDocument/2006/relationships/hyperlink" Id="rId57"/>
    <Relationship TargetMode="External" Target="https://www.legis.iowa.gov/docs/iac/rule/567.41.2.pdf" Type="http://schemas.openxmlformats.org/officeDocument/2006/relationships/hyperlink" Id="rId58"/>
    <Relationship TargetMode="External" Target="https://www.legis.iowa.gov/docs/iac/rule/567.41.2.pdf" Type="http://schemas.openxmlformats.org/officeDocument/2006/relationships/hyperlink" Id="rId59"/>
    <Relationship TargetMode="External" Target="https://www.legis.iowa.gov/docs/iac/rule/567.41.2.pdf" Type="http://schemas.openxmlformats.org/officeDocument/2006/relationships/hyperlink" Id="rId60"/>
    <Relationship TargetMode="External" Target="https://www.legis.iowa.gov/docs/iac/rule/567.41.2.pdf" Type="http://schemas.openxmlformats.org/officeDocument/2006/relationships/hyperlink" Id="rId61"/>
    <Relationship TargetMode="External" Target="https://www.legis.iowa.gov/docs/iac/rule/567.41.2.pdf" Type="http://schemas.openxmlformats.org/officeDocument/2006/relationships/hyperlink" Id="rId62"/>
    <Relationship TargetMode="External" Target="https://www.legis.iowa.gov/docs/iac/rule/567.41.2.pdf" Type="http://schemas.openxmlformats.org/officeDocument/2006/relationships/hyperlink" Id="rId63"/>
    <Relationship TargetMode="External" Target="https://www.legis.iowa.gov/docs/iac/rule/567.41.2.pdf" Type="http://schemas.openxmlformats.org/officeDocument/2006/relationships/hyperlink" Id="rId64"/>
    <Relationship TargetMode="External" Target="https://www.legis.iowa.gov/docs/iac/rule/567.40.5.pdf" Type="http://schemas.openxmlformats.org/officeDocument/2006/relationships/hyperlink" Id="rId65"/>
    <Relationship TargetMode="External" Target="https://www.legis.iowa.gov/docs/iac/rule/567.41.2.pdf" Type="http://schemas.openxmlformats.org/officeDocument/2006/relationships/hyperlink" Id="rId66"/>
    <Relationship TargetMode="External" Target="https://www.legis.iowa.gov/docs/iac/rule/567.41.2.pdf" Type="http://schemas.openxmlformats.org/officeDocument/2006/relationships/hyperlink" Id="rId67"/>
    <Relationship TargetMode="External" Target="https://www.legis.iowa.gov/docs/iac/rule/567.40.5.pdf" Type="http://schemas.openxmlformats.org/officeDocument/2006/relationships/hyperlink" Id="rId68"/>
    <Relationship TargetMode="External" Target="https://www.legis.iowa.gov/docs/iac/rule/567.40.9.pdf" Type="http://schemas.openxmlformats.org/officeDocument/2006/relationships/hyperlink" Id="rId69"/>
    <Relationship TargetMode="External" Target="https://www.legis.iowa.gov/docs/iac/rule/567.40.5.pdf" Type="http://schemas.openxmlformats.org/officeDocument/2006/relationships/hyperlink" Id="rId70"/>
    <Relationship TargetMode="External" Target="https://www.legis.iowa.gov/docs/iac/rule/567.41.2.pdf" Type="http://schemas.openxmlformats.org/officeDocument/2006/relationships/hyperlink" Id="rId71"/>
    <Relationship TargetMode="External" Target="https://www.legis.iowa.gov/docs/iac/rule/567.41.2.pdf" Type="http://schemas.openxmlformats.org/officeDocument/2006/relationships/hyperlink" Id="rId72"/>
    <Relationship TargetMode="External" Target="https://www.legis.iowa.gov/docs/iac/rule/567.41.2.pdf" Type="http://schemas.openxmlformats.org/officeDocument/2006/relationships/hyperlink" Id="rId73"/>
    <Relationship TargetMode="External" Target="https://www.legis.iowa.gov/docs/iac/rule/567.41.2.pdf" Type="http://schemas.openxmlformats.org/officeDocument/2006/relationships/hyperlink" Id="rId74"/>
    <Relationship TargetMode="External" Target="https://www.legis.iowa.gov/docs/iac/rule/567.41.2.pdf" Type="http://schemas.openxmlformats.org/officeDocument/2006/relationships/hyperlink" Id="rId75"/>
    <Relationship TargetMode="External" Target="https://www.legis.iowa.gov/docs/iac/rule/567.41.2.pdf" Type="http://schemas.openxmlformats.org/officeDocument/2006/relationships/hyperlink" Id="rId76"/>
    <Relationship TargetMode="External" Target="https://www.legis.iowa.gov/docs/iac/rule/567.43.5.pdf" Type="http://schemas.openxmlformats.org/officeDocument/2006/relationships/hyperlink" Id="rId77"/>
    <Relationship TargetMode="External" Target="https://www.legis.iowa.gov/docs/iac/rule/567.43.9.pdf" Type="http://schemas.openxmlformats.org/officeDocument/2006/relationships/hyperlink" Id="rId78"/>
    <Relationship TargetMode="External" Target="https://www.legis.iowa.gov/docs/iac/rule/567.43.10.pdf" Type="http://schemas.openxmlformats.org/officeDocument/2006/relationships/hyperlink" Id="rId79"/>
    <Relationship TargetMode="External" Target="https://www.legis.iowa.gov/docs/iac/rule/567.41.7.pdf" Type="http://schemas.openxmlformats.org/officeDocument/2006/relationships/hyperlink" Id="rId80"/>
    <Relationship TargetMode="External" Target="https://www.legis.iowa.gov/docs/iac/rule/567.43.5.pdf" Type="http://schemas.openxmlformats.org/officeDocument/2006/relationships/hyperlink" Id="rId81"/>
    <Relationship TargetMode="External" Target="https://www.legis.iowa.gov/docs/iac/rule/567.43.5.pdf" Type="http://schemas.openxmlformats.org/officeDocument/2006/relationships/hyperlink" Id="rId82"/>
    <Relationship TargetMode="External" Target="https://www.legis.iowa.gov/docs/iac/rule/567.43.5.pdf" Type="http://schemas.openxmlformats.org/officeDocument/2006/relationships/hyperlink" Id="rId83"/>
    <Relationship TargetMode="External" Target="https://www.legis.iowa.gov/docs/iac/rule/567.43.5.pdf" Type="http://schemas.openxmlformats.org/officeDocument/2006/relationships/hyperlink" Id="rId84"/>
    <Relationship TargetMode="External" Target="https://www.legis.iowa.gov/docs/iac/rule/567.43.5.pdf" Type="http://schemas.openxmlformats.org/officeDocument/2006/relationships/hyperlink" Id="rId85"/>
    <Relationship TargetMode="External" Target="https://www.legis.iowa.gov/docs/iac/rule/567.40.8.pdf" Type="http://schemas.openxmlformats.org/officeDocument/2006/relationships/hyperlink" Id="rId86"/>
    <Relationship TargetMode="External" Target="https://www.legis.iowa.gov/docs/iac/rule/567.43.5.pdf" Type="http://schemas.openxmlformats.org/officeDocument/2006/relationships/hyperlink" Id="rId87"/>
    <Relationship TargetMode="External" Target="https://www.legis.iowa.gov/docs/iac/rule/567.40.5.pdf" Type="http://schemas.openxmlformats.org/officeDocument/2006/relationships/hyperlink" Id="rId88"/>
    <Relationship TargetMode="External" Target="https://www.legis.iowa.gov/docs/iac/chapter/567.40.pdf" Type="http://schemas.openxmlformats.org/officeDocument/2006/relationships/hyperlink" Id="rId89"/>
    <Relationship TargetMode="External" Target="https://www.legis.iowa.gov/docs/iac/chapter/567.41.pdf" Type="http://schemas.openxmlformats.org/officeDocument/2006/relationships/hyperlink" Id="rId90"/>
    <Relationship TargetMode="External" Target="https://www.legis.iowa.gov/docs/iac/rule/567.41.3.pdf" Type="http://schemas.openxmlformats.org/officeDocument/2006/relationships/hyperlink" Id="rId91"/>
    <Relationship TargetMode="External" Target="https://www.legis.iowa.gov/docs/iac/rule/567.40.8.pdf" Type="http://schemas.openxmlformats.org/officeDocument/2006/relationships/hyperlink" Id="rId92"/>
    <Relationship TargetMode="External" Target="https://www.legis.iowa.gov/docs/iac/rule/567.40.5.pdf" Type="http://schemas.openxmlformats.org/officeDocument/2006/relationships/hyperlink" Id="rId93"/>
    <Relationship TargetMode="External" Target="https://www.legis.iowa.gov/docs/iac/rule/567.41.3.pdf" Type="http://schemas.openxmlformats.org/officeDocument/2006/relationships/hyperlink" Id="rId94"/>
    <Relationship TargetMode="External" Target="https://www.legis.iowa.gov/docs/iac/rule/567.41.3.pdf" Type="http://schemas.openxmlformats.org/officeDocument/2006/relationships/hyperlink" Id="rId95"/>
    <Relationship TargetMode="External" Target="https://www.legis.iowa.gov/docs/iac/rule/567.41.3.pdf" Type="http://schemas.openxmlformats.org/officeDocument/2006/relationships/hyperlink" Id="rId96"/>
    <Relationship TargetMode="External" Target="https://www.legis.iowa.gov/docs/iac/rule/567.40.5.pdf" Type="http://schemas.openxmlformats.org/officeDocument/2006/relationships/hyperlink" Id="rId97"/>
    <Relationship TargetMode="External" Target="https://www.legis.iowa.gov/docs/iac/rule/567.41.3.pdf" Type="http://schemas.openxmlformats.org/officeDocument/2006/relationships/hyperlink" Id="rId98"/>
    <Relationship TargetMode="External" Target="https://www.legis.iowa.gov/docs/iac/rule/567.41.3.pdf" Type="http://schemas.openxmlformats.org/officeDocument/2006/relationships/hyperlink" Id="rId99"/>
    <Relationship TargetMode="External" Target="http://www.nemi.gov" Type="http://schemas.openxmlformats.org/officeDocument/2006/relationships/hyperlink" Id="rId100"/>
    <Relationship TargetMode="External" Target="http://www.nemi.gov" Type="http://schemas.openxmlformats.org/officeDocument/2006/relationships/hyperlink" Id="rId101"/>
    <Relationship TargetMode="External" Target="http://www.nemi.gov" Type="http://schemas.openxmlformats.org/officeDocument/2006/relationships/hyperlink" Id="rId102"/>
    <Relationship TargetMode="External" Target="http://www.hach.com" Type="http://schemas.openxmlformats.org/officeDocument/2006/relationships/hyperlink" Id="rId103"/>
    <Relationship TargetMode="External" Target="http://www.hach.com" Type="http://schemas.openxmlformats.org/officeDocument/2006/relationships/hyperlink" Id="rId104"/>
    <Relationship TargetMode="External" Target="https://www.legis.iowa.gov/docs/iac/rule/567.41.4.pdf" Type="http://schemas.openxmlformats.org/officeDocument/2006/relationships/hyperlink" Id="rId105"/>
    <Relationship TargetMode="External" Target="https://www.legis.iowa.gov/docs/iac/rule/567.41.4.pdf" Type="http://schemas.openxmlformats.org/officeDocument/2006/relationships/hyperlink" Id="rId106"/>
    <Relationship TargetMode="External" Target="https://www.legis.iowa.gov/docs/iac/rule/567.41.4.pdf" Type="http://schemas.openxmlformats.org/officeDocument/2006/relationships/hyperlink" Id="rId107"/>
    <Relationship TargetMode="External" Target="https://www.legis.iowa.gov/docs/iac/rule/567.41.4.pdf" Type="http://schemas.openxmlformats.org/officeDocument/2006/relationships/hyperlink" Id="rId108"/>
    <Relationship TargetMode="External" Target="https://www.legis.iowa.gov/docs/iac/rule/567.43.7.pdf" Type="http://schemas.openxmlformats.org/officeDocument/2006/relationships/hyperlink" Id="rId109"/>
    <Relationship TargetMode="External" Target="https://www.legis.iowa.gov/docs/iac/rule/567.41.4.pdf" Type="http://schemas.openxmlformats.org/officeDocument/2006/relationships/hyperlink" Id="rId110"/>
    <Relationship TargetMode="External" Target="https://www.legis.iowa.gov/docs/iac/rule/567.43.7.pdf" Type="http://schemas.openxmlformats.org/officeDocument/2006/relationships/hyperlink" Id="rId111"/>
    <Relationship TargetMode="External" Target="https://www.legis.iowa.gov/docs/iac/rule/567.40.6.pdf" Type="http://schemas.openxmlformats.org/officeDocument/2006/relationships/hyperlink" Id="rId112"/>
    <Relationship TargetMode="External" Target="https://www.legis.iowa.gov/docs/iac/rule/567.41.4.pdf" Type="http://schemas.openxmlformats.org/officeDocument/2006/relationships/hyperlink" Id="rId113"/>
    <Relationship TargetMode="External" Target="https://www.legis.iowa.gov/docs/iac/rule/567.41.4.pdf" Type="http://schemas.openxmlformats.org/officeDocument/2006/relationships/hyperlink" Id="rId114"/>
    <Relationship TargetMode="External" Target="https://www.legis.iowa.gov/docs/iac/rule/567.41.4.pdf" Type="http://schemas.openxmlformats.org/officeDocument/2006/relationships/hyperlink" Id="rId115"/>
    <Relationship TargetMode="External" Target="https://www.legis.iowa.gov/docs/iac/rule/567.41.4.pdf" Type="http://schemas.openxmlformats.org/officeDocument/2006/relationships/hyperlink" Id="rId116"/>
    <Relationship TargetMode="External" Target="https://www.legis.iowa.gov/docs/iac/rule/567.43.7.pdf" Type="http://schemas.openxmlformats.org/officeDocument/2006/relationships/hyperlink" Id="rId117"/>
    <Relationship TargetMode="External" Target="https://www.legis.iowa.gov/docs/iac/rule/567.43.7.pdf" Type="http://schemas.openxmlformats.org/officeDocument/2006/relationships/hyperlink" Id="rId118"/>
    <Relationship TargetMode="External" Target="https://www.legis.iowa.gov/docs/iac/rule/567.43.7.pdf" Type="http://schemas.openxmlformats.org/officeDocument/2006/relationships/hyperlink" Id="rId119"/>
    <Relationship TargetMode="External" Target="https://www.legis.iowa.gov/docs/iac/rule/567.43.7.pdf" Type="http://schemas.openxmlformats.org/officeDocument/2006/relationships/hyperlink" Id="rId120"/>
    <Relationship TargetMode="External" Target="https://www.legis.iowa.gov/docs/iac/rule/567.43.7.pdf" Type="http://schemas.openxmlformats.org/officeDocument/2006/relationships/hyperlink" Id="rId121"/>
    <Relationship TargetMode="External" Target="https://www.legis.iowa.gov/docs/iac/rule/567.43.7.pdf" Type="http://schemas.openxmlformats.org/officeDocument/2006/relationships/hyperlink" Id="rId122"/>
    <Relationship TargetMode="External" Target="https://www.legis.iowa.gov/docs/iac/rule/567.43.7.pdf" Type="http://schemas.openxmlformats.org/officeDocument/2006/relationships/hyperlink" Id="rId123"/>
    <Relationship TargetMode="External" Target="https://www.legis.iowa.gov/docs/iac/rule/567.43.7.pdf" Type="http://schemas.openxmlformats.org/officeDocument/2006/relationships/hyperlink" Id="rId124"/>
    <Relationship TargetMode="External" Target="https://www.legis.iowa.gov/docs/iac/rule/567.41.4.pdf" Type="http://schemas.openxmlformats.org/officeDocument/2006/relationships/hyperlink" Id="rId125"/>
    <Relationship TargetMode="External" Target="https://www.legis.iowa.gov/docs/iac/rule/567.41.4.pdf" Type="http://schemas.openxmlformats.org/officeDocument/2006/relationships/hyperlink" Id="rId126"/>
    <Relationship TargetMode="External" Target="https://www.legis.iowa.gov/docs/iac/rule/567.43.7.pdf" Type="http://schemas.openxmlformats.org/officeDocument/2006/relationships/hyperlink" Id="rId127"/>
    <Relationship TargetMode="External" Target="https://www.legis.iowa.gov/docs/iac/rule/567.41.4.pdf" Type="http://schemas.openxmlformats.org/officeDocument/2006/relationships/hyperlink" Id="rId128"/>
    <Relationship TargetMode="External" Target="https://www.legis.iowa.gov/docs/iac/rule/567.40.8.pdf" Type="http://schemas.openxmlformats.org/officeDocument/2006/relationships/hyperlink" Id="rId129"/>
    <Relationship TargetMode="External" Target="https://www.legis.iowa.gov/docs/iac/rule/567.43.7.pdf" Type="http://schemas.openxmlformats.org/officeDocument/2006/relationships/hyperlink" Id="rId130"/>
    <Relationship TargetMode="External" Target="https://www.legis.iowa.gov/docs/iac/rule/567.40.8.pdf" Type="http://schemas.openxmlformats.org/officeDocument/2006/relationships/hyperlink" Id="rId131"/>
    <Relationship TargetMode="External" Target="https://www.legis.iowa.gov/docs/iac/rule/567.41.4.pdf" Type="http://schemas.openxmlformats.org/officeDocument/2006/relationships/hyperlink" Id="rId132"/>
    <Relationship TargetMode="External" Target="https://www.legis.iowa.gov/docs/iac/rule/567.41.4.pdf" Type="http://schemas.openxmlformats.org/officeDocument/2006/relationships/hyperlink" Id="rId133"/>
    <Relationship TargetMode="External" Target="https://www.legis.iowa.gov/docs/iac/rule/567.41.4.pdf" Type="http://schemas.openxmlformats.org/officeDocument/2006/relationships/hyperlink" Id="rId134"/>
    <Relationship TargetMode="External" Target="https://www.legis.iowa.gov/docs/iac/rule/567.41.4.pdf" Type="http://schemas.openxmlformats.org/officeDocument/2006/relationships/hyperlink" Id="rId135"/>
    <Relationship TargetMode="External" Target="https://www.legis.iowa.gov/docs/iac/rule/567.41.4.pdf" Type="http://schemas.openxmlformats.org/officeDocument/2006/relationships/hyperlink" Id="rId136"/>
    <Relationship TargetMode="External" Target="https://www.legis.iowa.gov/docs/iac/rule/567.41.4.pdf" Type="http://schemas.openxmlformats.org/officeDocument/2006/relationships/hyperlink" Id="rId137"/>
    <Relationship TargetMode="External" Target="https://www.legis.iowa.gov/docs/iac/rule/567.41.4.pdf" Type="http://schemas.openxmlformats.org/officeDocument/2006/relationships/hyperlink" Id="rId138"/>
    <Relationship TargetMode="External" Target="https://www.legis.iowa.gov/docs/iac/rule/567.41.4.pdf" Type="http://schemas.openxmlformats.org/officeDocument/2006/relationships/hyperlink" Id="rId139"/>
    <Relationship TargetMode="External" Target="https://www.legis.iowa.gov/docs/iac/rule/567.41.4.pdf" Type="http://schemas.openxmlformats.org/officeDocument/2006/relationships/hyperlink" Id="rId140"/>
    <Relationship TargetMode="External" Target="https://www.legis.iowa.gov/docs/iac/rule/567.41.4.pdf" Type="http://schemas.openxmlformats.org/officeDocument/2006/relationships/hyperlink" Id="rId141"/>
    <Relationship TargetMode="External" Target="https://www.legis.iowa.gov/docs/iac/rule/567.43.7.pdf" Type="http://schemas.openxmlformats.org/officeDocument/2006/relationships/hyperlink" Id="rId142"/>
    <Relationship TargetMode="External" Target="https://www.legis.iowa.gov/docs/iac/rule/567.41.4.pdf" Type="http://schemas.openxmlformats.org/officeDocument/2006/relationships/hyperlink" Id="rId143"/>
    <Relationship TargetMode="External" Target="https://www.legis.iowa.gov/docs/iac/rule/567.41.4.pdf" Type="http://schemas.openxmlformats.org/officeDocument/2006/relationships/hyperlink" Id="rId144"/>
    <Relationship TargetMode="External" Target="https://www.legis.iowa.gov/docs/iac/rule/567.41.4.pdf" Type="http://schemas.openxmlformats.org/officeDocument/2006/relationships/hyperlink" Id="rId145"/>
    <Relationship TargetMode="External" Target="https://www.legis.iowa.gov/docs/iac/rule/567.41.4.pdf" Type="http://schemas.openxmlformats.org/officeDocument/2006/relationships/hyperlink" Id="rId146"/>
    <Relationship TargetMode="External" Target="https://www.legis.iowa.gov/docs/iac/rule/567.41.4.pdf" Type="http://schemas.openxmlformats.org/officeDocument/2006/relationships/hyperlink" Id="rId147"/>
    <Relationship TargetMode="External" Target="https://www.legis.iowa.gov/docs/iac/rule/567.41.4.pdf" Type="http://schemas.openxmlformats.org/officeDocument/2006/relationships/hyperlink" Id="rId148"/>
    <Relationship TargetMode="External" Target="https://www.legis.iowa.gov/docs/iac/rule/567.41.4.pdf" Type="http://schemas.openxmlformats.org/officeDocument/2006/relationships/hyperlink" Id="rId149"/>
    <Relationship TargetMode="External" Target="https://www.legis.iowa.gov/docs/iac/rule/567.41.4.pdf" Type="http://schemas.openxmlformats.org/officeDocument/2006/relationships/hyperlink" Id="rId150"/>
    <Relationship TargetMode="External" Target="https://www.legis.iowa.gov/docs/iac/rule/567.41.4.pdf" Type="http://schemas.openxmlformats.org/officeDocument/2006/relationships/hyperlink" Id="rId151"/>
    <Relationship TargetMode="External" Target="https://www.legis.iowa.gov/docs/iac/rule/567.41.4.pdf" Type="http://schemas.openxmlformats.org/officeDocument/2006/relationships/hyperlink" Id="rId152"/>
    <Relationship TargetMode="External" Target="https://www.legis.iowa.gov/docs/iac/rule/567.41.4.pdf" Type="http://schemas.openxmlformats.org/officeDocument/2006/relationships/hyperlink" Id="rId153"/>
    <Relationship TargetMode="External" Target="https://www.legis.iowa.gov/docs/iac/rule/567.40.8.pdf" Type="http://schemas.openxmlformats.org/officeDocument/2006/relationships/hyperlink" Id="rId154"/>
    <Relationship TargetMode="External" Target="https://www.legis.iowa.gov/docs/iac/rule/567.41.4.pdf" Type="http://schemas.openxmlformats.org/officeDocument/2006/relationships/hyperlink" Id="rId155"/>
    <Relationship TargetMode="External" Target="https://www.legis.iowa.gov/docs/iac/rule/567.41.4.pdf" Type="http://schemas.openxmlformats.org/officeDocument/2006/relationships/hyperlink" Id="rId156"/>
    <Relationship TargetMode="External" Target="https://www.legis.iowa.gov/docs/iac/rule/567.41.4.pdf" Type="http://schemas.openxmlformats.org/officeDocument/2006/relationships/hyperlink" Id="rId157"/>
    <Relationship TargetMode="External" Target="https://www.legis.iowa.gov/docs/iac/rule/567.41.4.pdf" Type="http://schemas.openxmlformats.org/officeDocument/2006/relationships/hyperlink" Id="rId158"/>
    <Relationship TargetMode="External" Target="https://www.legis.iowa.gov/docs/iac/rule/567.41.4.pdf" Type="http://schemas.openxmlformats.org/officeDocument/2006/relationships/hyperlink" Id="rId159"/>
    <Relationship TargetMode="External" Target="https://www.legis.iowa.gov/docs/iac/rule/567.41.4.pdf" Type="http://schemas.openxmlformats.org/officeDocument/2006/relationships/hyperlink" Id="rId160"/>
    <Relationship TargetMode="External" Target="https://www.legis.iowa.gov/docs/iac/rule/567.41.4.pdf" Type="http://schemas.openxmlformats.org/officeDocument/2006/relationships/hyperlink" Id="rId161"/>
    <Relationship TargetMode="External" Target="https://www.legis.iowa.gov/docs/iac/rule/567.41.4.pdf" Type="http://schemas.openxmlformats.org/officeDocument/2006/relationships/hyperlink" Id="rId162"/>
    <Relationship TargetMode="External" Target="https://www.legis.iowa.gov/docs/iac/rule/567.41.4.pdf" Type="http://schemas.openxmlformats.org/officeDocument/2006/relationships/hyperlink" Id="rId163"/>
    <Relationship TargetMode="External" Target="https://www.legis.iowa.gov/docs/iac/rule/567.41.4.pdf" Type="http://schemas.openxmlformats.org/officeDocument/2006/relationships/hyperlink" Id="rId164"/>
    <Relationship TargetMode="External" Target="https://www.legis.iowa.gov/docs/iac/rule/567.41.4.pdf" Type="http://schemas.openxmlformats.org/officeDocument/2006/relationships/hyperlink" Id="rId165"/>
    <Relationship TargetMode="External" Target="https://www.legis.iowa.gov/docs/iac/rule/567.41.4.pdf" Type="http://schemas.openxmlformats.org/officeDocument/2006/relationships/hyperlink" Id="rId166"/>
    <Relationship TargetMode="External" Target="https://www.legis.iowa.gov/docs/iac/rule/567.40.8.pdf" Type="http://schemas.openxmlformats.org/officeDocument/2006/relationships/hyperlink" Id="rId167"/>
    <Relationship TargetMode="External" Target="https://www.legis.iowa.gov/docs/iac/rule/567.41.4.pdf" Type="http://schemas.openxmlformats.org/officeDocument/2006/relationships/hyperlink" Id="rId168"/>
    <Relationship TargetMode="External" Target="https://www.legis.iowa.gov/docs/iac/rule/567.41.4.pdf" Type="http://schemas.openxmlformats.org/officeDocument/2006/relationships/hyperlink" Id="rId169"/>
    <Relationship TargetMode="External" Target="https://www.legis.iowa.gov/docs/iac/rule/567.43.7.pdf" Type="http://schemas.openxmlformats.org/officeDocument/2006/relationships/hyperlink" Id="rId170"/>
    <Relationship TargetMode="External" Target="https://www.legis.iowa.gov/docs/iac/rule/567.41.4.pdf" Type="http://schemas.openxmlformats.org/officeDocument/2006/relationships/hyperlink" Id="rId171"/>
    <Relationship TargetMode="External" Target="https://www.legis.iowa.gov/docs/iac/rule/567.41.4.pdf" Type="http://schemas.openxmlformats.org/officeDocument/2006/relationships/hyperlink" Id="rId172"/>
    <Relationship TargetMode="External" Target="https://www.legis.iowa.gov/docs/iac/rule/567.41.4.pdf" Type="http://schemas.openxmlformats.org/officeDocument/2006/relationships/hyperlink" Id="rId173"/>
    <Relationship TargetMode="External" Target="https://www.legis.iowa.gov/docs/iac/rule/567.40.8.pdf" Type="http://schemas.openxmlformats.org/officeDocument/2006/relationships/hyperlink" Id="rId174"/>
    <Relationship TargetMode="External" Target="https://www.legis.iowa.gov/docs/iac/rule/567.41.4.pdf" Type="http://schemas.openxmlformats.org/officeDocument/2006/relationships/hyperlink" Id="rId175"/>
    <Relationship TargetMode="External" Target="https://www.legis.iowa.gov/docs/iac/rule/567.41.4.pdf" Type="http://schemas.openxmlformats.org/officeDocument/2006/relationships/hyperlink" Id="rId176"/>
    <Relationship TargetMode="External" Target="https://www.legis.iowa.gov/docs/iac/rule/567.41.4.pdf" Type="http://schemas.openxmlformats.org/officeDocument/2006/relationships/hyperlink" Id="rId177"/>
    <Relationship TargetMode="External" Target="https://www.legis.iowa.gov/docs/iac/rule/567.41.4.pdf" Type="http://schemas.openxmlformats.org/officeDocument/2006/relationships/hyperlink" Id="rId178"/>
    <Relationship TargetMode="External" Target="https://www.legis.iowa.gov/docs/iac/rule/567.41.4.pdf" Type="http://schemas.openxmlformats.org/officeDocument/2006/relationships/hyperlink" Id="rId179"/>
    <Relationship TargetMode="External" Target="https://www.legis.iowa.gov/docs/iac/rule/567.41.4.pdf" Type="http://schemas.openxmlformats.org/officeDocument/2006/relationships/hyperlink" Id="rId180"/>
    <Relationship TargetMode="External" Target="https://www.legis.iowa.gov/docs/iac/rule/567.41.4.pdf" Type="http://schemas.openxmlformats.org/officeDocument/2006/relationships/hyperlink" Id="rId181"/>
    <Relationship TargetMode="External" Target="https://www.legis.iowa.gov/docs/iac/rule/567.43.7.pdf" Type="http://schemas.openxmlformats.org/officeDocument/2006/relationships/hyperlink" Id="rId182"/>
    <Relationship TargetMode="External" Target="https://www.legis.iowa.gov/docs/iac/rule/567.41.4.pdf" Type="http://schemas.openxmlformats.org/officeDocument/2006/relationships/hyperlink" Id="rId183"/>
    <Relationship TargetMode="External" Target="https://www.legis.iowa.gov/docs/iac/rule/567.41.4.pdf" Type="http://schemas.openxmlformats.org/officeDocument/2006/relationships/hyperlink" Id="rId184"/>
    <Relationship TargetMode="External" Target="https://www.legis.iowa.gov/docs/iac/rule/567.41.4.pdf" Type="http://schemas.openxmlformats.org/officeDocument/2006/relationships/hyperlink" Id="rId185"/>
    <Relationship TargetMode="External" Target="https://www.legis.iowa.gov/docs/iac/rule/567.43.7.pdf" Type="http://schemas.openxmlformats.org/officeDocument/2006/relationships/hyperlink" Id="rId186"/>
    <Relationship TargetMode="External" Target="https://www.legis.iowa.gov/docs/iac/rule/567.41.4.pdf" Type="http://schemas.openxmlformats.org/officeDocument/2006/relationships/hyperlink" Id="rId187"/>
    <Relationship TargetMode="External" Target="https://www.legis.iowa.gov/docs/iac/rule/567.43.7.pdf" Type="http://schemas.openxmlformats.org/officeDocument/2006/relationships/hyperlink" Id="rId188"/>
    <Relationship TargetMode="External" Target="https://www.legis.iowa.gov/docs/iac/rule/567.41.4.pdf" Type="http://schemas.openxmlformats.org/officeDocument/2006/relationships/hyperlink" Id="rId189"/>
    <Relationship TargetMode="External" Target="https://www.legis.iowa.gov/docs/iac/rule/567.41.4.pdf" Type="http://schemas.openxmlformats.org/officeDocument/2006/relationships/hyperlink" Id="rId190"/>
    <Relationship TargetMode="External" Target="https://www.legis.iowa.gov/docs/iac/rule/567.41.4.pdf" Type="http://schemas.openxmlformats.org/officeDocument/2006/relationships/hyperlink" Id="rId191"/>
    <Relationship TargetMode="External" Target="https://www.legis.iowa.gov/docs/iac/rule/567.43.7.pdf" Type="http://schemas.openxmlformats.org/officeDocument/2006/relationships/hyperlink" Id="rId192"/>
    <Relationship TargetMode="External" Target="https://www.legis.iowa.gov/docs/iac/rule/567.41.4.pdf" Type="http://schemas.openxmlformats.org/officeDocument/2006/relationships/hyperlink" Id="rId193"/>
    <Relationship TargetMode="External" Target="https://www.legis.iowa.gov/docs/iac/rule/567.43.7.pdf" Type="http://schemas.openxmlformats.org/officeDocument/2006/relationships/hyperlink" Id="rId194"/>
    <Relationship TargetMode="External" Target="https://www.legis.iowa.gov/docs/iac/rule/567.43.7.pdf" Type="http://schemas.openxmlformats.org/officeDocument/2006/relationships/hyperlink" Id="rId195"/>
    <Relationship TargetMode="External" Target="https://www.legis.iowa.gov/docs/iac/rule/567.41.4.pdf" Type="http://schemas.openxmlformats.org/officeDocument/2006/relationships/hyperlink" Id="rId196"/>
    <Relationship TargetMode="External" Target="https://www.legis.iowa.gov/docs/iac/rule/567.43.7.pdf" Type="http://schemas.openxmlformats.org/officeDocument/2006/relationships/hyperlink" Id="rId197"/>
    <Relationship TargetMode="External" Target="https://www.legis.iowa.gov/docs/iac/rule/567.41.4.pdf" Type="http://schemas.openxmlformats.org/officeDocument/2006/relationships/hyperlink" Id="rId198"/>
    <Relationship TargetMode="External" Target="https://www.legis.iowa.gov/docs/iac/rule/567.41.4.pdf" Type="http://schemas.openxmlformats.org/officeDocument/2006/relationships/hyperlink" Id="rId199"/>
    <Relationship TargetMode="External" Target="https://www.legis.iowa.gov/docs/iac/rule/567.43.7.pdf" Type="http://schemas.openxmlformats.org/officeDocument/2006/relationships/hyperlink" Id="rId200"/>
    <Relationship TargetMode="External" Target="https://www.legis.iowa.gov/docs/iac/rule/567.43.7.pdf" Type="http://schemas.openxmlformats.org/officeDocument/2006/relationships/hyperlink" Id="rId201"/>
    <Relationship TargetMode="External" Target="https://www.legis.iowa.gov/docs/iac/rule/567.43.7.pdf" Type="http://schemas.openxmlformats.org/officeDocument/2006/relationships/hyperlink" Id="rId202"/>
    <Relationship TargetMode="External" Target="https://www.legis.iowa.gov/docs/iac/rule/567.41.4.pdf" Type="http://schemas.openxmlformats.org/officeDocument/2006/relationships/hyperlink" Id="rId203"/>
    <Relationship TargetMode="External" Target="https://www.legis.iowa.gov/docs/iac/rule/567.41.4.pdf" Type="http://schemas.openxmlformats.org/officeDocument/2006/relationships/hyperlink" Id="rId204"/>
    <Relationship TargetMode="External" Target="https://www.legis.iowa.gov/docs/iac/rule/567.41.4.pdf" Type="http://schemas.openxmlformats.org/officeDocument/2006/relationships/hyperlink" Id="rId205"/>
    <Relationship TargetMode="External" Target="https://www.legis.iowa.gov/docs/iac/rule/567.43.7.pdf" Type="http://schemas.openxmlformats.org/officeDocument/2006/relationships/hyperlink" Id="rId206"/>
    <Relationship TargetMode="External" Target="https://www.legis.iowa.gov/docs/iac/rule/567.43.7.pdf" Type="http://schemas.openxmlformats.org/officeDocument/2006/relationships/hyperlink" Id="rId207"/>
    <Relationship TargetMode="External" Target="https://www.legis.iowa.gov/docs/iac/rule/567.41.4.pdf" Type="http://schemas.openxmlformats.org/officeDocument/2006/relationships/hyperlink" Id="rId208"/>
    <Relationship TargetMode="External" Target="https://www.legis.iowa.gov/docs/iac/rule/567.43.7.pdf" Type="http://schemas.openxmlformats.org/officeDocument/2006/relationships/hyperlink" Id="rId209"/>
    <Relationship TargetMode="External" Target="https://www.legis.iowa.gov/docs/iac/rule/567.43.7.pdf" Type="http://schemas.openxmlformats.org/officeDocument/2006/relationships/hyperlink" Id="rId210"/>
    <Relationship TargetMode="External" Target="https://www.legis.iowa.gov/docs/iac/rule/567.43.7.pdf" Type="http://schemas.openxmlformats.org/officeDocument/2006/relationships/hyperlink" Id="rId211"/>
    <Relationship TargetMode="External" Target="https://www.legis.iowa.gov/docs/iac/rule/567.43.7.pdf" Type="http://schemas.openxmlformats.org/officeDocument/2006/relationships/hyperlink" Id="rId212"/>
    <Relationship TargetMode="External" Target="https://www.legis.iowa.gov/docs/iac/rule/567.43.7.pdf" Type="http://schemas.openxmlformats.org/officeDocument/2006/relationships/hyperlink" Id="rId213"/>
    <Relationship TargetMode="External" Target="https://www.legis.iowa.gov/docs/iac/rule/567.41.4.pdf" Type="http://schemas.openxmlformats.org/officeDocument/2006/relationships/hyperlink" Id="rId214"/>
    <Relationship TargetMode="External" Target="https://www.legis.iowa.gov/docs/iac/rule/567.41.4.pdf" Type="http://schemas.openxmlformats.org/officeDocument/2006/relationships/hyperlink" Id="rId215"/>
    <Relationship TargetMode="External" Target="https://www.legis.iowa.gov/docs/iac/rule/567.41.4.pdf" Type="http://schemas.openxmlformats.org/officeDocument/2006/relationships/hyperlink" Id="rId216"/>
    <Relationship TargetMode="External" Target="https://www.legis.iowa.gov/docs/iac/rule/567.43.7.pdf" Type="http://schemas.openxmlformats.org/officeDocument/2006/relationships/hyperlink" Id="rId217"/>
    <Relationship TargetMode="External" Target="https://www.legis.iowa.gov/docs/iac/chapter/567.81.pdf" Type="http://schemas.openxmlformats.org/officeDocument/2006/relationships/hyperlink" Id="rId218"/>
    <Relationship TargetMode="External" Target="https://www.legis.iowa.gov/docs/iac/chapter/567.83.pdf" Type="http://schemas.openxmlformats.org/officeDocument/2006/relationships/hyperlink" Id="rId219"/>
    <Relationship TargetMode="External" Target="https://www.legis.iowa.gov/docs/iac/chapter/567.83.pdf" Type="http://schemas.openxmlformats.org/officeDocument/2006/relationships/hyperlink" Id="rId220"/>
    <Relationship TargetMode="External" Target="http://www.palintest.com" Type="http://schemas.openxmlformats.org/officeDocument/2006/relationships/hyperlink" Id="rId221"/>
    <Relationship TargetMode="External" Target="http://www.hach.com" Type="http://schemas.openxmlformats.org/officeDocument/2006/relationships/hyperlink" Id="rId222"/>
    <Relationship TargetMode="External" Target="http://www.nemi.gov" Type="http://schemas.openxmlformats.org/officeDocument/2006/relationships/hyperlink" Id="rId223"/>
    <Relationship TargetMode="External" Target="http://www.hach.com" Type="http://schemas.openxmlformats.org/officeDocument/2006/relationships/hyperlink" Id="rId224"/>
    <Relationship TargetMode="External" Target="http://www.hach.com" Type="http://schemas.openxmlformats.org/officeDocument/2006/relationships/hyperlink" Id="rId225"/>
    <Relationship TargetMode="External" Target="https://www.legis.iowa.gov/docs/iac/chapter/567.83.pdf" Type="http://schemas.openxmlformats.org/officeDocument/2006/relationships/hyperlink" Id="rId226"/>
    <Relationship TargetMode="External" Target="https://www.legis.iowa.gov/docs/iac/rule/567.83.6.pdf" Type="http://schemas.openxmlformats.org/officeDocument/2006/relationships/hyperlink" Id="rId227"/>
    <Relationship TargetMode="External" Target="https://www.legis.iowa.gov/docs/iac/rule/567.43.3.pdf" Type="http://schemas.openxmlformats.org/officeDocument/2006/relationships/hyperlink" Id="rId228"/>
    <Relationship TargetMode="External" Target="https://www.legis.iowa.gov/docs/iac/rule/567.41.5.pdf" Type="http://schemas.openxmlformats.org/officeDocument/2006/relationships/hyperlink" Id="rId229"/>
    <Relationship TargetMode="External" Target="http://nepis.epa.gov" Type="http://schemas.openxmlformats.org/officeDocument/2006/relationships/hyperlink" Id="rId230"/>
    <Relationship TargetMode="External" Target="http://www.nemi.gov" Type="http://schemas.openxmlformats.org/officeDocument/2006/relationships/hyperlink" Id="rId231"/>
    <Relationship TargetMode="External" Target="http://nepis.epa.gov" Type="http://schemas.openxmlformats.org/officeDocument/2006/relationships/hyperlink" Id="rId232"/>
    <Relationship TargetMode="External" Target="http://nepis.epa.gov" Type="http://schemas.openxmlformats.org/officeDocument/2006/relationships/hyperlink" Id="rId233"/>
    <Relationship TargetMode="External" Target="http://www.nemi.gov" Type="http://schemas.openxmlformats.org/officeDocument/2006/relationships/hyperlink" Id="rId234"/>
    <Relationship TargetMode="External" Target="http://nepis.epa.gov" Type="http://schemas.openxmlformats.org/officeDocument/2006/relationships/hyperlink" Id="rId235"/>
    <Relationship TargetMode="External" Target="http://nepis.epa.gov" Type="http://schemas.openxmlformats.org/officeDocument/2006/relationships/hyperlink" Id="rId236"/>
    <Relationship TargetMode="External" Target="https://www.legis.iowa.gov/docs/iac/rule/567.40.8.pdf" Type="http://schemas.openxmlformats.org/officeDocument/2006/relationships/hyperlink" Id="rId237"/>
    <Relationship TargetMode="External" Target="https://www.legis.iowa.gov/docs/iac/rule/567.40.5.pdf" Type="http://schemas.openxmlformats.org/officeDocument/2006/relationships/hyperlink" Id="rId238"/>
    <Relationship TargetMode="External" Target="https://www.legis.iowa.gov/docs/iac/rule/567.41.5.pdf" Type="http://schemas.openxmlformats.org/officeDocument/2006/relationships/hyperlink" Id="rId239"/>
    <Relationship TargetMode="External" Target="https://www.legis.iowa.gov/docs/iac/rule/567.41.5.pdf" Type="http://schemas.openxmlformats.org/officeDocument/2006/relationships/hyperlink" Id="rId240"/>
    <Relationship TargetMode="External" Target="https://www.legis.iowa.gov/docs/iac/rule/567.41.5.pdf" Type="http://schemas.openxmlformats.org/officeDocument/2006/relationships/hyperlink" Id="rId241"/>
    <Relationship TargetMode="External" Target="https://www.legis.iowa.gov/docs/iac/rule/567.41.5.pdf" Type="http://schemas.openxmlformats.org/officeDocument/2006/relationships/hyperlink" Id="rId242"/>
    <Relationship TargetMode="External" Target="https://www.legis.iowa.gov/docs/iac/rule/567.41.5.pdf" Type="http://schemas.openxmlformats.org/officeDocument/2006/relationships/hyperlink" Id="rId243"/>
    <Relationship TargetMode="External" Target="https://www.legis.iowa.gov/docs/iac/rule/567.41.5.pdf" Type="http://schemas.openxmlformats.org/officeDocument/2006/relationships/hyperlink" Id="rId244"/>
    <Relationship TargetMode="External" Target="https://www.legis.iowa.gov/docs/iac/rule/567.41.5.pdf" Type="http://schemas.openxmlformats.org/officeDocument/2006/relationships/hyperlink" Id="rId245"/>
    <Relationship TargetMode="External" Target="https://www.legis.iowa.gov/docs/iac/rule/567.41.5.pdf" Type="http://schemas.openxmlformats.org/officeDocument/2006/relationships/hyperlink" Id="rId246"/>
    <Relationship TargetMode="External" Target="https://www.legis.iowa.gov/docs/iac/rule/567.41.5.pdf" Type="http://schemas.openxmlformats.org/officeDocument/2006/relationships/hyperlink" Id="rId247"/>
    <Relationship TargetMode="External" Target="https://www.legis.iowa.gov/docs/iac/rule/567.41.5.pdf" Type="http://schemas.openxmlformats.org/officeDocument/2006/relationships/hyperlink" Id="rId248"/>
    <Relationship TargetMode="External" Target="https://www.legis.iowa.gov/docs/iac/rule/567.41.5.pdf" Type="http://schemas.openxmlformats.org/officeDocument/2006/relationships/hyperlink" Id="rId249"/>
    <Relationship TargetMode="External" Target="https://www.legis.iowa.gov/docs/iac/rule/567.41.5.pdf" Type="http://schemas.openxmlformats.org/officeDocument/2006/relationships/hyperlink" Id="rId250"/>
    <Relationship TargetMode="External" Target="https://www.legis.iowa.gov/docs/iac/rule/567.41.5.pdf" Type="http://schemas.openxmlformats.org/officeDocument/2006/relationships/hyperlink" Id="rId251"/>
    <Relationship TargetMode="External" Target="https://www.legis.iowa.gov/docs/iac/rule/567.41.5.pdf" Type="http://schemas.openxmlformats.org/officeDocument/2006/relationships/hyperlink" Id="rId252"/>
    <Relationship TargetMode="External" Target="https://www.legis.iowa.gov/docs/iac/rule/567.41.5.pdf" Type="http://schemas.openxmlformats.org/officeDocument/2006/relationships/hyperlink" Id="rId253"/>
    <Relationship TargetMode="External" Target="https://www.legis.iowa.gov/docs/iac/rule/567.41.5.pdf" Type="http://schemas.openxmlformats.org/officeDocument/2006/relationships/hyperlink" Id="rId254"/>
    <Relationship TargetMode="External" Target="https://www.legis.iowa.gov/docs/iac/rule/567.41.5.pdf" Type="http://schemas.openxmlformats.org/officeDocument/2006/relationships/hyperlink" Id="rId255"/>
    <Relationship TargetMode="External" Target="https://www.legis.iowa.gov/docs/iac/rule/567.41.5.pdf" Type="http://schemas.openxmlformats.org/officeDocument/2006/relationships/hyperlink" Id="rId256"/>
    <Relationship TargetMode="External" Target="https://www.legis.iowa.gov/docs/iac/rule/567.43.6.pdf" Type="http://schemas.openxmlformats.org/officeDocument/2006/relationships/hyperlink" Id="rId257"/>
    <Relationship TargetMode="External" Target="https://www.legis.iowa.gov/docs/iac/rule/567.41.6.pdf" Type="http://schemas.openxmlformats.org/officeDocument/2006/relationships/hyperlink" Id="rId258"/>
    <Relationship TargetMode="External" Target="https://www.legis.iowa.gov/docs/iac/rule/567.41.6.pdf" Type="http://schemas.openxmlformats.org/officeDocument/2006/relationships/hyperlink" Id="rId259"/>
    <Relationship TargetMode="External" Target="https://www.legis.iowa.gov/docs/iac/rule/567.43.6.pdf" Type="http://schemas.openxmlformats.org/officeDocument/2006/relationships/hyperlink" Id="rId260"/>
    <Relationship TargetMode="External" Target="https://www.legis.iowa.gov/docs/iac/rule/567.43.6.pdf" Type="http://schemas.openxmlformats.org/officeDocument/2006/relationships/hyperlink" Id="rId261"/>
    <Relationship TargetMode="External" Target="https://www.legis.iowa.gov/docs/iac/rule/567.41.6.pdf" Type="http://schemas.openxmlformats.org/officeDocument/2006/relationships/hyperlink" Id="rId262"/>
    <Relationship TargetMode="External" Target="https://www.legis.iowa.gov/docs/iac/rule/567.41.6.pdf" Type="http://schemas.openxmlformats.org/officeDocument/2006/relationships/hyperlink" Id="rId263"/>
    <Relationship TargetMode="External" Target="https://www.legis.iowa.gov/docs/iac/rule/567.41.6.pdf" Type="http://schemas.openxmlformats.org/officeDocument/2006/relationships/hyperlink" Id="rId264"/>
    <Relationship TargetMode="External" Target="https://www.legis.iowa.gov/docs/iac/rule/567.41.6.pdf" Type="http://schemas.openxmlformats.org/officeDocument/2006/relationships/hyperlink" Id="rId265"/>
    <Relationship TargetMode="External" Target="https://www.legis.iowa.gov/docs/iac/rule/567.41.6.pdf" Type="http://schemas.openxmlformats.org/officeDocument/2006/relationships/hyperlink" Id="rId266"/>
    <Relationship TargetMode="External" Target="https://www.legis.iowa.gov/docs/iac/rule/567.41.6.pdf" Type="http://schemas.openxmlformats.org/officeDocument/2006/relationships/hyperlink" Id="rId267"/>
    <Relationship TargetMode="External" Target="https://www.legis.iowa.gov/docs/iac/rule/567.41.6.pdf" Type="http://schemas.openxmlformats.org/officeDocument/2006/relationships/hyperlink" Id="rId268"/>
    <Relationship TargetMode="External" Target="https://www.legis.iowa.gov/docs/iac/rule/567.41.6.pdf" Type="http://schemas.openxmlformats.org/officeDocument/2006/relationships/hyperlink" Id="rId269"/>
    <Relationship TargetMode="External" Target="https://www.legis.iowa.gov/docs/iac/rule/567.41.6.pdf" Type="http://schemas.openxmlformats.org/officeDocument/2006/relationships/hyperlink" Id="rId270"/>
    <Relationship TargetMode="External" Target="https://www.legis.iowa.gov/docs/iac/rule/567.41.6.pdf" Type="http://schemas.openxmlformats.org/officeDocument/2006/relationships/hyperlink" Id="rId271"/>
    <Relationship TargetMode="External" Target="https://www.legis.iowa.gov/docs/iac/rule/567.41.6.pdf" Type="http://schemas.openxmlformats.org/officeDocument/2006/relationships/hyperlink" Id="rId272"/>
    <Relationship TargetMode="External" Target="https://www.legis.iowa.gov/docs/iac/rule/567.41.6.pdf" Type="http://schemas.openxmlformats.org/officeDocument/2006/relationships/hyperlink" Id="rId273"/>
    <Relationship TargetMode="External" Target="https://www.legis.iowa.gov/docs/iac/rule/567.41.6.pdf" Type="http://schemas.openxmlformats.org/officeDocument/2006/relationships/hyperlink" Id="rId274"/>
    <Relationship TargetMode="External" Target="https://www.legis.iowa.gov/docs/iac/rule/567.41.6.pdf" Type="http://schemas.openxmlformats.org/officeDocument/2006/relationships/hyperlink" Id="rId275"/>
    <Relationship TargetMode="External" Target="https://www.legis.iowa.gov/docs/iac/rule/567.43.6.pdf" Type="http://schemas.openxmlformats.org/officeDocument/2006/relationships/hyperlink" Id="rId276"/>
    <Relationship TargetMode="External" Target="https://www.legis.iowa.gov/docs/iac/rule/567.41.6.pdf" Type="http://schemas.openxmlformats.org/officeDocument/2006/relationships/hyperlink" Id="rId277"/>
    <Relationship TargetMode="External" Target="https://www.legis.iowa.gov/docs/iac/rule/567.41.6.pdf" Type="http://schemas.openxmlformats.org/officeDocument/2006/relationships/hyperlink" Id="rId278"/>
    <Relationship TargetMode="External" Target="http://www.nemi.gov" Type="http://schemas.openxmlformats.org/officeDocument/2006/relationships/hyperlink" Id="rId279"/>
    <Relationship TargetMode="External" Target="http://nepis.epa.gov" Type="http://schemas.openxmlformats.org/officeDocument/2006/relationships/hyperlink" Id="rId280"/>
    <Relationship TargetMode="External" Target="http://www.nemi.gov" Type="http://schemas.openxmlformats.org/officeDocument/2006/relationships/hyperlink" Id="rId281"/>
    <Relationship TargetMode="External" Target="http://www.nemi.gov" Type="http://schemas.openxmlformats.org/officeDocument/2006/relationships/hyperlink" Id="rId282"/>
    <Relationship TargetMode="External" Target="http://www.palintest.com" Type="http://schemas.openxmlformats.org/officeDocument/2006/relationships/hyperlink" Id="rId283"/>
    <Relationship TargetMode="External" Target="https://www.legis.iowa.gov/docs/iac/chapter/567.83.pdf" Type="http://schemas.openxmlformats.org/officeDocument/2006/relationships/hyperlink" Id="rId284"/>
    <Relationship TargetMode="External" Target="https://www.legis.iowa.gov/docs/iac/rule/567.41.6.pdf" Type="http://schemas.openxmlformats.org/officeDocument/2006/relationships/hyperlink" Id="rId285"/>
    <Relationship TargetMode="External" Target="https://www.legis.iowa.gov/docs/iac/chapter/567.81.pdf" Type="http://schemas.openxmlformats.org/officeDocument/2006/relationships/hyperlink" Id="rId286"/>
    <Relationship TargetMode="External" Target="https://www.legis.iowa.gov/docs/iac/chapter/567.83.pdf" Type="http://schemas.openxmlformats.org/officeDocument/2006/relationships/hyperlink" Id="rId287"/>
    <Relationship TargetMode="External" Target="https://www.legis.iowa.gov/docs/iac/rule/567.41.6.pdf" Type="http://schemas.openxmlformats.org/officeDocument/2006/relationships/hyperlink" Id="rId288"/>
    <Relationship TargetMode="External" Target="https://www.legis.iowa.gov/docs/iac/rule/567.40.5.pdf" Type="http://schemas.openxmlformats.org/officeDocument/2006/relationships/hyperlink" Id="rId289"/>
    <Relationship TargetMode="External" Target="https://www.legis.iowa.gov/docs/iac/rule/567.40.8.pdf" Type="http://schemas.openxmlformats.org/officeDocument/2006/relationships/hyperlink" Id="rId290"/>
    <Relationship TargetMode="External" Target="https://www.legis.iowa.gov/docs/iac/rule/567.41.6.pdf" Type="http://schemas.openxmlformats.org/officeDocument/2006/relationships/hyperlink" Id="rId291"/>
    <Relationship TargetMode="External" Target="https://www.legis.iowa.gov/docs/iac/rule/567.41.6.pdf" Type="http://schemas.openxmlformats.org/officeDocument/2006/relationships/hyperlink" Id="rId292"/>
    <Relationship TargetMode="External" Target="https://www.legis.iowa.gov/docs/iac/rule/567.41.6.pdf" Type="http://schemas.openxmlformats.org/officeDocument/2006/relationships/hyperlink" Id="rId293"/>
    <Relationship TargetMode="External" Target="https://www.legis.iowa.gov/docs/iac/rule/567.41.6.pdf" Type="http://schemas.openxmlformats.org/officeDocument/2006/relationships/hyperlink" Id="rId294"/>
    <Relationship TargetMode="External" Target="https://www.legis.iowa.gov/docs/iac/rule/567.41.6.pdf" Type="http://schemas.openxmlformats.org/officeDocument/2006/relationships/hyperlink" Id="rId295"/>
    <Relationship TargetMode="External" Target="https://www.legis.iowa.gov/docs/iac/rule/567.41.6.pdf" Type="http://schemas.openxmlformats.org/officeDocument/2006/relationships/hyperlink" Id="rId296"/>
    <Relationship TargetMode="External" Target="https://www.legis.iowa.gov/docs/iac/rule/567.40.5.pdf" Type="http://schemas.openxmlformats.org/officeDocument/2006/relationships/hyperlink" Id="rId297"/>
    <Relationship TargetMode="External" Target="https://www.legis.iowa.gov/docs/iac/rule/567.40.8.pdf" Type="http://schemas.openxmlformats.org/officeDocument/2006/relationships/hyperlink" Id="rId298"/>
    <Relationship TargetMode="External" Target="https://www.legis.iowa.gov/docs/iac/rule/567.41.6.pdf" Type="http://schemas.openxmlformats.org/officeDocument/2006/relationships/hyperlink" Id="rId299"/>
    <Relationship TargetMode="External" Target="https://www.legis.iowa.gov/docs/iac/rule/567.41.6.pdf" Type="http://schemas.openxmlformats.org/officeDocument/2006/relationships/hyperlink" Id="rId300"/>
    <Relationship TargetMode="External" Target="https://www.legis.iowa.gov/docs/iac/rule/567.41.6.pdf" Type="http://schemas.openxmlformats.org/officeDocument/2006/relationships/hyperlink" Id="rId301"/>
    <Relationship TargetMode="External" Target="https://www.legis.iowa.gov/docs/iac/rule/567.43.11.pdf" Type="http://schemas.openxmlformats.org/officeDocument/2006/relationships/hyperlink" Id="rId302"/>
    <Relationship TargetMode="External" Target="https://www.legis.iowa.gov/docs/iac/rule/567.43.11.pdf" Type="http://schemas.openxmlformats.org/officeDocument/2006/relationships/hyperlink" Id="rId303"/>
    <Relationship TargetMode="External" Target="https://www.legis.iowa.gov/docs/iac/rule/567.41.6.pdf" Type="http://schemas.openxmlformats.org/officeDocument/2006/relationships/hyperlink" Id="rId304"/>
    <Relationship TargetMode="External" Target="https://www.legis.iowa.gov/docs/iac/rule/567.41.6.pdf" Type="http://schemas.openxmlformats.org/officeDocument/2006/relationships/hyperlink" Id="rId305"/>
    <Relationship TargetMode="External" Target="https://www.legis.iowa.gov/docs/iac/rule/567.41.6.pdf" Type="http://schemas.openxmlformats.org/officeDocument/2006/relationships/hyperlink" Id="rId306"/>
    <Relationship TargetMode="External" Target="https://www.legis.iowa.gov/docs/iac/rule/567.41.6.pdf" Type="http://schemas.openxmlformats.org/officeDocument/2006/relationships/hyperlink" Id="rId307"/>
    <Relationship TargetMode="External" Target="https://www.legis.iowa.gov/docs/iac/rule/567.43.6.pdf" Type="http://schemas.openxmlformats.org/officeDocument/2006/relationships/hyperlink" Id="rId308"/>
    <Relationship TargetMode="External" Target="https://www.legis.iowa.gov/docs/iac/rule/567.41.6.pdf" Type="http://schemas.openxmlformats.org/officeDocument/2006/relationships/hyperlink" Id="rId309"/>
    <Relationship TargetMode="External" Target="https://www.legis.iowa.gov/docs/iac/rule/567.41.6.pdf" Type="http://schemas.openxmlformats.org/officeDocument/2006/relationships/hyperlink" Id="rId310"/>
    <Relationship TargetMode="External" Target="https://www.legis.iowa.gov/docs/iac/rule/567.41.6.pdf" Type="http://schemas.openxmlformats.org/officeDocument/2006/relationships/hyperlink" Id="rId311"/>
    <Relationship TargetMode="External" Target="https://www.legis.iowa.gov/docs/iac/rule/567.41.6.pdf" Type="http://schemas.openxmlformats.org/officeDocument/2006/relationships/hyperlink" Id="rId312"/>
    <Relationship TargetMode="External" Target="https://www.legis.iowa.gov/docs/iac/chapter/567.83.pdf" Type="http://schemas.openxmlformats.org/officeDocument/2006/relationships/hyperlink" Id="rId313"/>
    <Relationship TargetMode="External" Target="https://www.legis.iowa.gov/docs/iac/rule/567.43.6.pdf" Type="http://schemas.openxmlformats.org/officeDocument/2006/relationships/hyperlink" Id="rId314"/>
    <Relationship TargetMode="External" Target="https://www.legis.iowa.gov/docs/iac/rule/567.41.6.pdf" Type="http://schemas.openxmlformats.org/officeDocument/2006/relationships/hyperlink" Id="rId315"/>
    <Relationship TargetMode="External" Target="https://www.legis.iowa.gov/docs/iac/rule/567.41.6.pdf" Type="http://schemas.openxmlformats.org/officeDocument/2006/relationships/hyperlink" Id="rId316"/>
    <Relationship TargetMode="External" Target="https://www.legis.iowa.gov/docs/iac/rule/567.41.6.pdf" Type="http://schemas.openxmlformats.org/officeDocument/2006/relationships/hyperlink" Id="rId317"/>
    <Relationship TargetMode="External" Target="https://www.legis.iowa.gov/docs/iac/rule/567.41.6.pdf" Type="http://schemas.openxmlformats.org/officeDocument/2006/relationships/hyperlink" Id="rId318"/>
    <Relationship TargetMode="External" Target="https://www.legis.iowa.gov/docs/iac/rule/567.41.6.pdf" Type="http://schemas.openxmlformats.org/officeDocument/2006/relationships/hyperlink" Id="rId319"/>
    <Relationship TargetMode="External" Target="https://www.legis.iowa.gov/docs/iac/rule/567.41.6.pdf" Type="http://schemas.openxmlformats.org/officeDocument/2006/relationships/hyperlink" Id="rId320"/>
    <Relationship TargetMode="External" Target="https://www.legis.iowa.gov/docs/iac/rule/567.41.6.pdf" Type="http://schemas.openxmlformats.org/officeDocument/2006/relationships/hyperlink" Id="rId321"/>
    <Relationship TargetMode="External" Target="https://www.legis.iowa.gov/docs/iac/rule/567.41.6.pdf" Type="http://schemas.openxmlformats.org/officeDocument/2006/relationships/hyperlink" Id="rId322"/>
    <Relationship TargetMode="External" Target="https://www.legis.iowa.gov/docs/iac/rule/567.40.8.pdf" Type="http://schemas.openxmlformats.org/officeDocument/2006/relationships/hyperlink" Id="rId323"/>
    <Relationship TargetMode="External" Target="https://www.legis.iowa.gov/docs/iac/rule/567.40.9.pdf" Type="http://schemas.openxmlformats.org/officeDocument/2006/relationships/hyperlink" Id="rId324"/>
    <Relationship TargetMode="External" Target="https://www.legis.iowa.gov/docs/iac/rule/567.43.5.pdf" Type="http://schemas.openxmlformats.org/officeDocument/2006/relationships/hyperlink" Id="rId325"/>
    <Relationship TargetMode="External" Target="https://www.legis.iowa.gov/docs/iac/rule/567.41.7.pdf" Type="http://schemas.openxmlformats.org/officeDocument/2006/relationships/hyperlink" Id="rId326"/>
    <Relationship TargetMode="External" Target="https://www.legis.iowa.gov/docs/iac/rule/567.41.7.pdf" Type="http://schemas.openxmlformats.org/officeDocument/2006/relationships/hyperlink" Id="rId327"/>
    <Relationship TargetMode="External" Target="https://www.legis.iowa.gov/docs/iac/rule/567.41.7.pdf" Type="http://schemas.openxmlformats.org/officeDocument/2006/relationships/hyperlink" Id="rId328"/>
    <Relationship TargetMode="External" Target="https://www.legis.iowa.gov/docs/iac/rule/567.41.7.pdf" Type="http://schemas.openxmlformats.org/officeDocument/2006/relationships/hyperlink" Id="rId329"/>
    <Relationship TargetMode="External" Target="https://www.legis.iowa.gov/docs/iac/chapter/567.83.pdf" Type="http://schemas.openxmlformats.org/officeDocument/2006/relationships/hyperlink" Id="rId330"/>
    <Relationship TargetMode="External" Target="https://www.legis.iowa.gov/docs/iac/rule/567.43.1.pdf" Type="http://schemas.openxmlformats.org/officeDocument/2006/relationships/hyperlink" Id="rId331"/>
    <Relationship TargetMode="External" Target="https://www.legis.iowa.gov/docs/iac/rule/567.41.7.pdf" Type="http://schemas.openxmlformats.org/officeDocument/2006/relationships/hyperlink" Id="rId332"/>
    <Relationship TargetMode="External" Target="https://www.legis.iowa.gov/docs/iac/rule/567.41.7.pdf" Type="http://schemas.openxmlformats.org/officeDocument/2006/relationships/hyperlink" Id="rId333"/>
    <Relationship TargetMode="External" Target="https://www.legis.iowa.gov/docs/iac/rule/567.41.2.pdf" Type="http://schemas.openxmlformats.org/officeDocument/2006/relationships/hyperlink" Id="rId334"/>
    <Relationship TargetMode="External" Target="https://www.legis.iowa.gov/docs/iac/rule/567.41.2.pdf" Type="http://schemas.openxmlformats.org/officeDocument/2006/relationships/hyperlink" Id="rId335"/>
    <Relationship TargetMode="External" Target="https://www.legis.iowa.gov/docs/iac/rule/567.41.2.pdf" Type="http://schemas.openxmlformats.org/officeDocument/2006/relationships/hyperlink" Id="rId336"/>
    <Relationship TargetMode="External" Target="https://www.legis.iowa.gov/docs/iac/rule/567.41.2.pdf" Type="http://schemas.openxmlformats.org/officeDocument/2006/relationships/hyperlink" Id="rId337"/>
    <Relationship TargetMode="External" Target="https://www.legis.iowa.gov/docs/iac/rule/567.41.7.pdf" Type="http://schemas.openxmlformats.org/officeDocument/2006/relationships/hyperlink" Id="rId338"/>
    <Relationship TargetMode="External" Target="https://www.legis.iowa.gov/docs/iac/rule/567.41.2.pdf" Type="http://schemas.openxmlformats.org/officeDocument/2006/relationships/hyperlink" Id="rId339"/>
    <Relationship TargetMode="External" Target="https://www.legis.iowa.gov/docs/iac/rule/567.41.2.pdf" Type="http://schemas.openxmlformats.org/officeDocument/2006/relationships/hyperlink" Id="rId340"/>
    <Relationship TargetMode="External" Target="https://www.legis.iowa.gov/docs/iac/rule/567.41.7.pdf" Type="http://schemas.openxmlformats.org/officeDocument/2006/relationships/hyperlink" Id="rId341"/>
    <Relationship TargetMode="External" Target="https://www.legis.iowa.gov/docs/iac/rule/567.41.7.pdf" Type="http://schemas.openxmlformats.org/officeDocument/2006/relationships/hyperlink" Id="rId342"/>
    <Relationship TargetMode="External" Target="https://www.legis.iowa.gov/docs/iac/rule/567.41.2.pdf" Type="http://schemas.openxmlformats.org/officeDocument/2006/relationships/hyperlink" Id="rId343"/>
    <Relationship TargetMode="External" Target="https://www.legis.iowa.gov/docs/iac/rule/567.41.2.pdf" Type="http://schemas.openxmlformats.org/officeDocument/2006/relationships/hyperlink" Id="rId344"/>
    <Relationship TargetMode="External" Target="https://www.legis.iowa.gov/docs/iac/rule/567.41.7.pdf" Type="http://schemas.openxmlformats.org/officeDocument/2006/relationships/hyperlink" Id="rId345"/>
    <Relationship TargetMode="External" Target="http://www.nemi.gov" Type="http://schemas.openxmlformats.org/officeDocument/2006/relationships/hyperlink" Id="rId346"/>
    <Relationship TargetMode="External" Target="http://www.nemi.gov" Type="http://schemas.openxmlformats.org/officeDocument/2006/relationships/hyperlink" Id="rId347"/>
    <Relationship TargetMode="External" Target="http://www.nemi.gov" Type="http://schemas.openxmlformats.org/officeDocument/2006/relationships/hyperlink" Id="rId348"/>
    <Relationship TargetMode="External" Target="http://www.nemi.gov" Type="http://schemas.openxmlformats.org/officeDocument/2006/relationships/hyperlink" Id="rId349"/>
    <Relationship TargetMode="External" Target="https://www.federalregister.gov/documents/2013/05/31/2013-12729/expedited-approval-of-alternative-test-procedures-for-the-analysis-of-contaminants-under-the-safe" Type="http://schemas.openxmlformats.org/officeDocument/2006/relationships/hyperlink" Id="rId350"/>
    <Relationship TargetMode="External" Target="https://www.legis.iowa.gov/docs/iac/rule/567.41.7.pdf" Type="http://schemas.openxmlformats.org/officeDocument/2006/relationships/hyperlink" Id="rId351"/>
    <Relationship TargetMode="External" Target="https://www.legis.iowa.gov/docs/iac/rule/567.41.7.pdf" Type="http://schemas.openxmlformats.org/officeDocument/2006/relationships/hyperlink" Id="rId352"/>
    <Relationship TargetMode="External" Target="https://www.legis.iowa.gov/docs/iac/rule/567.41.7.pdf" Type="http://schemas.openxmlformats.org/officeDocument/2006/relationships/hyperlink" Id="rId353"/>
    <Relationship TargetMode="External" Target="https://www.legis.iowa.gov/docs/iac/rule/567.41.7.pdf" Type="http://schemas.openxmlformats.org/officeDocument/2006/relationships/hyperlink" Id="rId354"/>
    <Relationship TargetMode="External" Target="https://www.legis.iowa.gov/docs/iac/rule/567.41.7.pdf" Type="http://schemas.openxmlformats.org/officeDocument/2006/relationships/hyperlink" Id="rId355"/>
    <Relationship TargetMode="External" Target="https://www.legis.iowa.gov/docs/iac/rule/567.41.7.pdf" Type="http://schemas.openxmlformats.org/officeDocument/2006/relationships/hyperlink" Id="rId356"/>
    <Relationship TargetMode="External" Target="https://www.legis.iowa.gov/docs/iac/rule/567.41.7.pdf" Type="http://schemas.openxmlformats.org/officeDocument/2006/relationships/hyperlink" Id="rId357"/>
    <Relationship TargetMode="External" Target="https://www.legis.iowa.gov/docs/iac/rule/567.40.5.pdf" Type="http://schemas.openxmlformats.org/officeDocument/2006/relationships/hyperlink" Id="rId358"/>
    <Relationship TargetMode="External" Target="https://www.legis.iowa.gov/docs/iac/rule/567.41.7.pdf" Type="http://schemas.openxmlformats.org/officeDocument/2006/relationships/hyperlink" Id="rId359"/>
    <Relationship TargetMode="External" Target="https://www.legis.iowa.gov/docs/iac/rule/567.40.5.pdf" Type="http://schemas.openxmlformats.org/officeDocument/2006/relationships/hyperlink" Id="rId360"/>
    <Relationship TargetMode="External" Target="https://www.legis.iowa.gov/docs/iac/rule/567.41.7.pdf" Type="http://schemas.openxmlformats.org/officeDocument/2006/relationships/hyperlink" Id="rId361"/>
    <Relationship TargetMode="External" Target="https://www.legis.iowa.gov/docs/iac/rule/567.41.7.pdf" Type="http://schemas.openxmlformats.org/officeDocument/2006/relationships/hyperlink" Id="rId362"/>
    <Relationship TargetMode="External" Target="https://www.legis.iowa.gov/docs/iac/rule/567.41.7.pdf" Type="http://schemas.openxmlformats.org/officeDocument/2006/relationships/hyperlink" Id="rId363"/>
    <Relationship TargetMode="External" Target="https://www.legis.iowa.gov/docs/iac/rule/567.41.7.pdf" Type="http://schemas.openxmlformats.org/officeDocument/2006/relationships/hyperlink" Id="rId364"/>
    <Relationship TargetMode="External" Target="https://www.legis.iowa.gov/docs/iac/rule/567.41.7.pdf" Type="http://schemas.openxmlformats.org/officeDocument/2006/relationships/hyperlink" Id="rId365"/>
    <Relationship TargetMode="External" Target="https://www.legis.iowa.gov/docs/iac/rule/567.41.7.pdf" Type="http://schemas.openxmlformats.org/officeDocument/2006/relationships/hyperlink" Id="rId366"/>
    <Relationship TargetMode="External" Target="https://www.legis.iowa.gov/docs/iac/rule/567.41.7.pdf" Type="http://schemas.openxmlformats.org/officeDocument/2006/relationships/hyperlink" Id="rId367"/>
    <Relationship TargetMode="External" Target="https://www.legis.iowa.gov/docs/iac/rule/567.41.7.pdf" Type="http://schemas.openxmlformats.org/officeDocument/2006/relationships/hyperlink" Id="rId368"/>
    <Relationship TargetMode="External" Target="https://www.legis.iowa.gov/docs/iac/rule/567.41.7.pdf" Type="http://schemas.openxmlformats.org/officeDocument/2006/relationships/hyperlink" Id="rId369"/>
    <Relationship TargetMode="External" Target="https://www.legis.iowa.gov/docs/iac/rule/567.41.7.pdf" Type="http://schemas.openxmlformats.org/officeDocument/2006/relationships/hyperlink" Id="rId370"/>
    <Relationship TargetMode="External" Target="https://www.legis.iowa.gov/docs/iac/rule/567.40.5.pdf" Type="http://schemas.openxmlformats.org/officeDocument/2006/relationships/hyperlink" Id="rId371"/>
    <Relationship TargetMode="External" Target="https://www.legis.iowa.gov/docs/iac/rule/567.40.7.pdf" Type="http://schemas.openxmlformats.org/officeDocument/2006/relationships/hyperlink" Id="rId372"/>
    <Relationship TargetMode="External" Target="https://www.legis.iowa.gov/docs/iac/rule/567.41.7.pdf" Type="http://schemas.openxmlformats.org/officeDocument/2006/relationships/hyperlink" Id="rId373"/>
    <Relationship TargetMode="External" Target="https://www.legis.iowa.gov/docs/iac/rule/567.40.5.pdf" Type="http://schemas.openxmlformats.org/officeDocument/2006/relationships/hyperlink" Id="rId374"/>
    <Relationship TargetMode="External" Target="https://www.legis.iowa.gov/docs/iac/rule/567.41.7.pdf" Type="http://schemas.openxmlformats.org/officeDocument/2006/relationships/hyperlink" Id="rId375"/>
    <Relationship TargetMode="External" Target="https://www.legis.iowa.gov/docs/iac/rule/567.41.7.pdf" Type="http://schemas.openxmlformats.org/officeDocument/2006/relationships/hyperlink" Id="rId376"/>
    <Relationship TargetMode="External" Target="https://www.legis.iowa.gov/docs/iac/rule/567.41.7.pdf" Type="http://schemas.openxmlformats.org/officeDocument/2006/relationships/hyperlink" Id="rId377"/>
    <Relationship TargetMode="External" Target="https://www.legis.iowa.gov/docs/iac/chapter/567.43.pdf" Type="http://schemas.openxmlformats.org/officeDocument/2006/relationships/hyperlink" Id="rId378"/>
    <Relationship TargetMode="External" Target="https://www.legis.iowa.gov/docs/iac/rule/567.41.7.pdf" Type="http://schemas.openxmlformats.org/officeDocument/2006/relationships/hyperlink" Id="rId379"/>
    <Relationship TargetMode="External" Target="https://www.legis.iowa.gov/docs/iac/rule/567.41.7.pdf" Type="http://schemas.openxmlformats.org/officeDocument/2006/relationships/hyperlink" Id="rId380"/>
    <Relationship TargetMode="External" Target="https://www.legis.iowa.gov/docs/iac/rule/567.41.7.pdf" Type="http://schemas.openxmlformats.org/officeDocument/2006/relationships/hyperlink" Id="rId381"/>
    <Relationship TargetMode="External" Target="https://www.legis.iowa.gov/docs/iac/rule/567.41.7.pdf" Type="http://schemas.openxmlformats.org/officeDocument/2006/relationships/hyperlink" Id="rId382"/>
    <Relationship TargetMode="External" Target="https://www.legis.iowa.gov/docs/iac/rule/567.43.5.pdf" Type="http://schemas.openxmlformats.org/officeDocument/2006/relationships/hyperlink" Id="rId383"/>
    <Relationship TargetMode="External" Target="https://www.legis.iowa.gov/docs/iac/rule/567.41.7.pdf" Type="http://schemas.openxmlformats.org/officeDocument/2006/relationships/hyperlink" Id="rId384"/>
    <Relationship TargetMode="External" Target="https://www.legis.iowa.gov/docs/iac/rule/567.41.7.pdf" Type="http://schemas.openxmlformats.org/officeDocument/2006/relationships/hyperlink" Id="rId385"/>
    <Relationship TargetMode="External" Target="https://www.legis.iowa.gov/docs/iac/rule/567.41.7.pdf" Type="http://schemas.openxmlformats.org/officeDocument/2006/relationships/hyperlink" Id="rId386"/>
    <Relationship TargetMode="External" Target="https://www.legis.iowa.gov/docs/iac/rule/567.41.7.pdf" Type="http://schemas.openxmlformats.org/officeDocument/2006/relationships/hyperlink" Id="rId387"/>
    <Relationship TargetMode="External" Target="https://www.legis.iowa.gov/docs/iac/rule/567.40.5.pdf" Type="http://schemas.openxmlformats.org/officeDocument/2006/relationships/hyperlink" Id="rId388"/>
    <Relationship TargetMode="External" Target="https://www.legis.iowa.gov/docs/iac/rule/567.40.5.pdf" Type="http://schemas.openxmlformats.org/officeDocument/2006/relationships/hyperlink" Id="rId389"/>
    <Relationship TargetMode="External" Target="https://www.legis.iowa.gov/docs/iac/rule/567.41.7.pdf" Type="http://schemas.openxmlformats.org/officeDocument/2006/relationships/hyperlink" Id="rId390"/>
    <Relationship TargetMode="External" Target="https://www.legis.iowa.gov/docs/iac/rule/567.41.7.pdf" Type="http://schemas.openxmlformats.org/officeDocument/2006/relationships/hyperlink" Id="rId391"/>
    <Relationship TargetMode="External" Target="https://www.legis.iowa.gov/docs/iac/rule/567.41.7.pdf" Type="http://schemas.openxmlformats.org/officeDocument/2006/relationships/hyperlink" Id="rId392"/>
    <Relationship TargetMode="External" Target="https://www.legis.iowa.gov/docs/iac/rule/567.40.8.pdf" Type="http://schemas.openxmlformats.org/officeDocument/2006/relationships/hyperlink" Id="rId393"/>
    <Relationship TargetMode="External" Target="https://www.legis.iowa.gov/docs/iac/rule/567.41.7.pdf" Type="http://schemas.openxmlformats.org/officeDocument/2006/relationships/hyperlink" Id="rId394"/>
    <Relationship TargetMode="External" Target="https://www.legis.iowa.gov/docs/iac/rule/567.41.7.pdf" Type="http://schemas.openxmlformats.org/officeDocument/2006/relationships/hyperlink" Id="rId395"/>
    <Relationship TargetMode="External" Target="https://www.legis.iowa.gov/docs/iac/rule/567.41.7.pdf" Type="http://schemas.openxmlformats.org/officeDocument/2006/relationships/hyperlink" Id="rId396"/>
    <Relationship TargetMode="External" Target="https://www.legis.iowa.gov/docs/iac/rule/567.41.7.pdf" Type="http://schemas.openxmlformats.org/officeDocument/2006/relationships/hyperlink" Id="rId397"/>
    <Relationship TargetMode="External" Target="https://www.legis.iowa.gov/docs/iac/rule/567.40.9.pdf" Type="http://schemas.openxmlformats.org/officeDocument/2006/relationships/hyperlink" Id="rId398"/>
    <Relationship TargetMode="External" Target="https://www.legis.iowa.gov/docs/iac/rule/567.41.7.pdf" Type="http://schemas.openxmlformats.org/officeDocument/2006/relationships/hyperlink" Id="rId399"/>
    <Relationship TargetMode="External" Target="https://www.legis.iowa.gov/docs/iac/rule/567.41.7.pdf" Type="http://schemas.openxmlformats.org/officeDocument/2006/relationships/hyperlink" Id="rId400"/>
    <Relationship TargetMode="External" Target="https://www.legis.iowa.gov/docs/iac/rule/567.41.7.pdf" Type="http://schemas.openxmlformats.org/officeDocument/2006/relationships/hyperlink" Id="rId401"/>
    <Relationship TargetMode="External" Target="https://www.legis.iowa.gov/docs/iac/rule/567.41.2.pdf" Type="http://schemas.openxmlformats.org/officeDocument/2006/relationships/hyperlink" Id="rId402"/>
    <Relationship TargetMode="External" Target="https://www.legis.iowa.gov/docs/iac/rule/567.41.7.pdf" Type="http://schemas.openxmlformats.org/officeDocument/2006/relationships/hyperlink" Id="rId403"/>
    <Relationship TargetMode="External" Target="https://www.legis.iowa.gov/docs/iac/rule/567.40.8.pdf" Type="http://schemas.openxmlformats.org/officeDocument/2006/relationships/hyperlink" Id="rId404"/>
    <Relationship TargetMode="External" Target="https://www.legis.iowa.gov/docs/iac/rule/567.40.5.pdf" Type="http://schemas.openxmlformats.org/officeDocument/2006/relationships/hyperlink" Id="rId405"/>
    <Relationship TargetMode="External" Target="https://www.legis.iowa.gov/docs/iac/rule/567.43.3.pdf" Type="http://schemas.openxmlformats.org/officeDocument/2006/relationships/hyperlink" Id="rId406"/>
    <Relationship TargetMode="External" Target="https://www.legis.iowa.gov/docs/iac/rule/567.41.8.pdf" Type="http://schemas.openxmlformats.org/officeDocument/2006/relationships/hyperlink" Id="rId407"/>
    <Relationship TargetMode="External" Target="https://www.legis.iowa.gov/docs/iac/rule/567.41.8.pdf" Type="http://schemas.openxmlformats.org/officeDocument/2006/relationships/hyperlink" Id="rId408"/>
    <Relationship TargetMode="External" Target="https://www.legis.iowa.gov/docs/iac/rule/567.41.8.pdf" Type="http://schemas.openxmlformats.org/officeDocument/2006/relationships/hyperlink" Id="rId409"/>
    <Relationship TargetMode="External" Target="https://www.legis.iowa.gov/docs/iac/rule/567.40.8.pdf" Type="http://schemas.openxmlformats.org/officeDocument/2006/relationships/hyperlink" Id="rId410"/>
    <Relationship TargetMode="External" Target="https://www.legis.iowa.gov/docs/iac/rule/567.40.5.pdf" Type="http://schemas.openxmlformats.org/officeDocument/2006/relationships/hyperlink" Id="rId411"/>
    <Relationship TargetMode="External" Target="https://www.legis.iowa.gov/docs/iac/rule/567.41.10.pdf" Type="http://schemas.openxmlformats.org/officeDocument/2006/relationships/hyperlink" Id="rId412"/>
    <Relationship TargetMode="External" Target="https://www.legis.iowa.gov/docs/iac/rule/567.41.8.pdf" Type="http://schemas.openxmlformats.org/officeDocument/2006/relationships/hyperlink" Id="rId413"/>
    <Relationship TargetMode="External" Target="https://www.legis.iowa.gov/docs/iac/rule/567.41.12.pdf" Type="http://schemas.openxmlformats.org/officeDocument/2006/relationships/hyperlink" Id="rId414"/>
    <Relationship TargetMode="External" Target="https://www.legis.iowa.gov/docs/iac/rule/567.41.8.pdf" Type="http://schemas.openxmlformats.org/officeDocument/2006/relationships/hyperlink" Id="rId415"/>
    <Relationship TargetMode="External" Target="https://www.legis.iowa.gov/docs/iac/rule/567.41.8.pdf" Type="http://schemas.openxmlformats.org/officeDocument/2006/relationships/hyperlink" Id="rId416"/>
    <Relationship TargetMode="External" Target="https://www.legis.iowa.gov/docs/iac/rule/567.41.8.pdf" Type="http://schemas.openxmlformats.org/officeDocument/2006/relationships/hyperlink" Id="rId417"/>
    <Relationship TargetMode="External" Target="https://www.legis.iowa.gov/docs/iac/rule/567.41.8.pdf" Type="http://schemas.openxmlformats.org/officeDocument/2006/relationships/hyperlink" Id="rId418"/>
    <Relationship TargetMode="External" Target="https://www.legis.iowa.gov/docs/iac/rule/567.41.8.pdf" Type="http://schemas.openxmlformats.org/officeDocument/2006/relationships/hyperlink" Id="rId419"/>
    <Relationship TargetMode="External" Target="https://www.legis.iowa.gov/docs/iac/rule/567.41.8.pdf" Type="http://schemas.openxmlformats.org/officeDocument/2006/relationships/hyperlink" Id="rId420"/>
    <Relationship TargetMode="External" Target="https://www.legis.iowa.gov/docs/iac/rule/567.41.8.pdf" Type="http://schemas.openxmlformats.org/officeDocument/2006/relationships/hyperlink" Id="rId421"/>
    <Relationship TargetMode="External" Target="https://www.legis.iowa.gov/docs/iac/rule/567.41.3.pdf" Type="http://schemas.openxmlformats.org/officeDocument/2006/relationships/hyperlink" Id="rId422"/>
    <Relationship TargetMode="External" Target="https://www.legis.iowa.gov/docs/iac/rule/567.40.7.pdf" Type="http://schemas.openxmlformats.org/officeDocument/2006/relationships/hyperlink" Id="rId423"/>
    <Relationship TargetMode="External" Target="https://www.legis.iowa.gov/docs/iac/chapter/567.43.pdf" Type="http://schemas.openxmlformats.org/officeDocument/2006/relationships/hyperlink" Id="rId424"/>
    <Relationship TargetMode="External" Target="https://www.legis.iowa.gov/docs/ico/chapter/455B.171.pdf" Type="http://schemas.openxmlformats.org/officeDocument/2006/relationships/hyperlink" Id="rId425"/>
    <Relationship TargetMode="External" Target="https://www.legis.iowa.gov/docs/ico/chapter/455B.188.pdf" Type="http://schemas.openxmlformats.org/officeDocument/2006/relationships/hyperlink" Id="rId426"/>
    <Relationship TargetMode="External" Target="https://www.legis.iowa.gov/docs/ico/chapter/455B.190.pdf" Type="http://schemas.openxmlformats.org/officeDocument/2006/relationships/hyperlink" Id="rId427"/>
    <Relationship TargetMode="External" Target="https://www.legis.iowa.gov/docs/ico/chapter/455B.192.pdf" Type="http://schemas.openxmlformats.org/officeDocument/2006/relationships/hyperlink" Id="rId4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