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B</w:t>
      </w:r>
    </w:p>
    <w:p>
      <w:pPr>
        <w:pBdr>
          <w:bottom w:space="3"/>
        </w:pBdr>
        <w:spacing w:before="0" w:after="0"/>
        <w:ind w:left="120"/>
        <w:jc w:val="center"/>
      </w:pPr>
      <w:r>
        <w:rPr>
          <w:rFonts w:ascii="Times New Roman" w:hAnsi="Times New Roman"/>
          <w:b w:val="false"/>
          <w:i w:val="false"/>
          <w:color w:val="000000"/>
          <w:sz w:val="16"/>
        </w:rPr>
        <w:t>DRINKING WATER</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 xml:space="preserve"> SCOPE OF DIVISION, DEFINITIONS, FORMS, PUBLIC NOTICE AND EDUCATION, CONSUMER CONFIDENCE REPORTS, REPORTING, AND RECORD MAINTENANCE </w:t>
      </w:r>
    </w:p>
    <w:p>
      <w:pPr>
        <w:spacing w:before="0" w:after="0"/>
        <w:ind w:left="120"/>
        <w:jc w:val="center"/>
      </w:pPr>
      <w:r>
        <w:rPr>
          <w:rFonts w:ascii="Times New Roman" w:hAnsi="Times New Roman"/>
          <w:b w:val="false"/>
          <w:i w:val="false"/>
          <w:color w:val="000000"/>
          <w:sz w:val="14"/>
        </w:rPr>
        <w:t>[Prior to 12/3/86, Water, Air and Waste Management [900]]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567—40.1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department conducts the public water supply program and establishes minimum standards for private water supply system construction. The public water supply program includes the following: establishing drinking water standards, including maximum contaminant levels, treatment techniques, maximum residual disinfectant levels, action levels, monitoring, viability assessment, consumer confidence reporting, public notice, public water supply system (PWS) operator certification standards, environmental drinking water laboratory certification program, a state revolving fund loan program consistent with the federal Safe Drinking Water Act (SDWA), and establishing construction standards. The construction, modification, and operation of any PWS requires a permit from the department. Certain construction permits are issued upon certification by a licensed professional engineer that a project meets standards, and in certain instances, permits are issued by local authorities. Private water supplies are regulated by local boards of 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w:t>
      </w:r>
      <w:r>
        <w:rPr>
          <w:rFonts w:ascii="Times New Roman" w:hAnsi="Times New Roman"/>
          <w:b w:val="false"/>
          <w:i w:val="false"/>
          <w:color w:val="000000"/>
          <w:sz w:val="22"/>
        </w:rPr>
        <w:t> </w:t>
      </w:r>
      <w:r>
        <w:rPr>
          <w:rFonts w:ascii="Times New Roman" w:hAnsi="Times New Roman"/>
          <w:b w:val="false"/>
          <w:i w:val="false"/>
          <w:color w:val="000000"/>
          <w:sz w:val="22"/>
        </w:rPr>
        <w:t>The chapters listed below contain the requirements and provisions for the noted portions of the public water supply program.</w:t>
      </w:r>
    </w:p>
    <w:p>
      <w:pPr>
        <w:spacing w:before="0" w:after="0"/>
        <w:ind w:left="120"/>
        <w:jc w:val="both"/>
      </w:pPr>
      <w:hyperlink r:id="rId5">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proper well closure or abandonment. </w:t>
      </w:r>
    </w:p>
    <w:p>
      <w:pPr>
        <w:spacing w:before="0" w:after="0"/>
        <w:ind w:left="120"/>
        <w:jc w:val="both"/>
      </w:pPr>
      <w:hyperlink r:id="rId6">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scope of division, public notice and education, consumer confidence reports, reporting, and recordkeeping requirements. </w:t>
      </w:r>
    </w:p>
    <w:p>
      <w:pPr>
        <w:spacing w:before="0" w:after="0"/>
        <w:ind w:left="120"/>
        <w:jc w:val="both"/>
      </w:pPr>
      <w:hyperlink r:id="rId7">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xml:space="preserve">: drinking water standards and monitoring requirements. </w:t>
      </w:r>
    </w:p>
    <w:p>
      <w:pPr>
        <w:spacing w:before="0" w:after="0"/>
        <w:ind w:left="120"/>
        <w:jc w:val="both"/>
      </w:pPr>
      <w:hyperlink r:id="rId8">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design, construction, fee, operating, and operation permit requirements. </w:t>
      </w:r>
    </w:p>
    <w:p>
      <w:pPr>
        <w:spacing w:before="0" w:after="0"/>
        <w:ind w:left="120"/>
        <w:jc w:val="both"/>
      </w:pPr>
      <w:hyperlink r:id="rId9">
        <w:r>
          <w:rPr>
            <w:rStyle w:val="Hyperlink"/>
            <w:rFonts w:ascii="Times New Roman" w:hAnsi="Times New Roman"/>
            <w:b w:val="false"/>
            <w:i w:val="false"/>
            <w:color w:val="000000"/>
            <w:sz w:val="22"/>
          </w:rPr>
          <w:t>567—Chapter 44</w:t>
        </w:r>
      </w:hyperlink>
      <w:r>
        <w:rPr>
          <w:rFonts w:ascii="Times New Roman" w:hAnsi="Times New Roman"/>
          <w:b w:val="false"/>
          <w:i w:val="false"/>
          <w:color w:val="000000"/>
          <w:sz w:val="22"/>
        </w:rPr>
        <w:t xml:space="preserve">: drinking water state revolving fund program. </w:t>
      </w:r>
    </w:p>
    <w:p>
      <w:pPr>
        <w:spacing w:before="0" w:after="0"/>
        <w:ind w:left="120"/>
        <w:jc w:val="both"/>
      </w:pPr>
      <w:hyperlink r:id="rId10">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 xml:space="preserve">: nonpublic water supply wells. </w:t>
      </w:r>
    </w:p>
    <w:p>
      <w:pPr>
        <w:spacing w:before="0" w:after="0"/>
        <w:ind w:left="120"/>
        <w:jc w:val="both"/>
      </w:pPr>
      <w:hyperlink r:id="rId11">
        <w:r>
          <w:rPr>
            <w:rStyle w:val="Hyperlink"/>
            <w:rFonts w:ascii="Times New Roman" w:hAnsi="Times New Roman"/>
            <w:b w:val="false"/>
            <w:i w:val="false"/>
            <w:color w:val="000000"/>
            <w:sz w:val="22"/>
          </w:rPr>
          <w:t>567—Chapter 50</w:t>
        </w:r>
      </w:hyperlink>
      <w:r>
        <w:rPr>
          <w:rFonts w:ascii="Times New Roman" w:hAnsi="Times New Roman"/>
          <w:b w:val="false"/>
          <w:i w:val="false"/>
          <w:color w:val="000000"/>
          <w:sz w:val="22"/>
        </w:rPr>
        <w:t xml:space="preserve">: water use, withdrawals, and diversions. </w:t>
      </w:r>
    </w:p>
    <w:p>
      <w:pPr>
        <w:spacing w:before="0" w:after="0"/>
        <w:ind w:left="120"/>
        <w:jc w:val="both"/>
      </w:pPr>
      <w:hyperlink r:id="rId12">
        <w:r>
          <w:rPr>
            <w:rStyle w:val="Hyperlink"/>
            <w:rFonts w:ascii="Times New Roman" w:hAnsi="Times New Roman"/>
            <w:b w:val="false"/>
            <w:i w:val="false"/>
            <w:color w:val="000000"/>
            <w:sz w:val="22"/>
          </w:rPr>
          <w:t>567—Chapter 53</w:t>
        </w:r>
      </w:hyperlink>
      <w:r>
        <w:rPr>
          <w:rFonts w:ascii="Times New Roman" w:hAnsi="Times New Roman"/>
          <w:b w:val="false"/>
          <w:i w:val="false"/>
          <w:color w:val="000000"/>
          <w:sz w:val="22"/>
        </w:rPr>
        <w:t xml:space="preserve">: protected water sources. </w:t>
      </w:r>
    </w:p>
    <w:p>
      <w:pPr>
        <w:spacing w:before="0" w:after="0"/>
        <w:ind w:left="120"/>
        <w:jc w:val="both"/>
      </w:pPr>
      <w:hyperlink r:id="rId13">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xml:space="preserve">: water use permit restrictions and well interference compensation. </w:t>
      </w:r>
    </w:p>
    <w:p>
      <w:pPr>
        <w:spacing w:before="0" w:after="0"/>
        <w:ind w:left="120"/>
        <w:jc w:val="both"/>
      </w:pPr>
      <w:hyperlink r:id="rId14">
        <w:r>
          <w:rPr>
            <w:rStyle w:val="Hyperlink"/>
            <w:rFonts w:ascii="Times New Roman" w:hAnsi="Times New Roman"/>
            <w:b w:val="false"/>
            <w:i w:val="false"/>
            <w:color w:val="000000"/>
            <w:sz w:val="22"/>
          </w:rPr>
          <w:t>567—Chapter 55</w:t>
        </w:r>
      </w:hyperlink>
      <w:r>
        <w:rPr>
          <w:rFonts w:ascii="Times New Roman" w:hAnsi="Times New Roman"/>
          <w:b w:val="false"/>
          <w:i w:val="false"/>
          <w:color w:val="000000"/>
          <w:sz w:val="22"/>
        </w:rPr>
        <w:t xml:space="preserve">: aquifer storage and recovery. </w:t>
      </w:r>
    </w:p>
    <w:p>
      <w:pPr>
        <w:spacing w:before="0" w:after="0"/>
        <w:ind w:left="120"/>
        <w:jc w:val="both"/>
      </w:pPr>
      <w:hyperlink r:id="rId15">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operator certification. </w:t>
      </w:r>
    </w:p>
    <w:p>
      <w:pPr>
        <w:spacing w:before="0" w:after="0"/>
        <w:ind w:left="120"/>
        <w:jc w:val="both"/>
      </w:pPr>
      <w:hyperlink r:id="rId16">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xml:space="preserve">: water well contractor certification. </w:t>
      </w:r>
    </w:p>
    <w:p>
      <w:pPr>
        <w:spacing w:before="0" w:after="0"/>
        <w:ind w:left="120"/>
        <w:jc w:val="both"/>
      </w:pPr>
      <w:hyperlink r:id="rId17">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laboratory certification.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references, and abbreviations. </w:t>
      </w:r>
      <w:r>
        <w:rPr>
          <w:rFonts w:ascii="Times New Roman" w:hAnsi="Times New Roman"/>
          <w:b w:val="false"/>
          <w:i w:val="false"/>
          <w:color w:val="000000"/>
          <w:sz w:val="22"/>
        </w:rPr>
        <w:t xml:space="preserve">The terms, references, and abbreviations defined in this rule are applicable to this division and the chapters listed in rule </w:t>
      </w:r>
      <w:hyperlink r:id="rId18">
        <w:r>
          <w:rPr>
            <w:rStyle w:val="Hyperlink"/>
            <w:rFonts w:ascii="Times New Roman" w:hAnsi="Times New Roman"/>
            <w:b w:val="false"/>
            <w:i w:val="false"/>
            <w:color w:val="000000"/>
            <w:sz w:val="22"/>
          </w:rPr>
          <w:t>567—40.1</w:t>
        </w:r>
      </w:hyperlink>
      <w:r>
        <w:rPr>
          <w:rFonts w:ascii="Times New Roman" w:hAnsi="Times New Roman"/>
          <w:b w:val="false"/>
          <w:i w:val="false"/>
          <w:color w:val="000000"/>
          <w:sz w:val="22"/>
        </w:rPr>
        <w:t>(455B),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w:t>
      </w:r>
      <w:r>
        <w:rPr>
          <w:rFonts w:ascii="Times New Roman" w:hAnsi="Times New Roman"/>
          <w:b w:val="false"/>
          <w:i w:val="false"/>
          <w:color w:val="000000"/>
          <w:sz w:val="22"/>
        </w:rPr>
        <w:t> </w:t>
      </w:r>
      <w:r>
        <w:rPr>
          <w:rFonts w:ascii="Times New Roman" w:hAnsi="Times New Roman"/>
          <w:b w:val="false"/>
          <w:i/>
          <w:color w:val="000000"/>
          <w:sz w:val="22"/>
        </w:rPr>
        <w:t xml:space="preserve">Defined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“Action level”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“AL” </w:t>
      </w:r>
      <w:r>
        <w:rPr>
          <w:rFonts w:ascii="Times New Roman" w:hAnsi="Times New Roman"/>
          <w:b w:val="false"/>
          <w:i w:val="false"/>
          <w:color w:val="000000"/>
          <w:sz w:val="22"/>
        </w:rPr>
        <w:t>means the lead or copper concentration(s) in water that determine, in some cases, the treatment requirements that a water system is required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health effect” </w:t>
      </w:r>
      <w:r>
        <w:rPr>
          <w:rFonts w:ascii="Times New Roman" w:hAnsi="Times New Roman"/>
          <w:b w:val="false"/>
          <w:i w:val="false"/>
          <w:color w:val="000000"/>
          <w:sz w:val="22"/>
        </w:rPr>
        <w:t>means the health effect of a contaminant that is an immediate rather than a long-term risk to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confinement” </w:t>
      </w:r>
      <w:r>
        <w:rPr>
          <w:rFonts w:ascii="Times New Roman" w:hAnsi="Times New Roman"/>
          <w:b w:val="false"/>
          <w:i w:val="false"/>
          <w:color w:val="000000"/>
          <w:sz w:val="22"/>
        </w:rPr>
        <w:t>means a lot, yard, corral, or similar structure in which the concentration of livestock or poultry is such that a vegetative cover is not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pasturage” </w:t>
      </w:r>
      <w:r>
        <w:rPr>
          <w:rFonts w:ascii="Times New Roman" w:hAnsi="Times New Roman"/>
          <w:b w:val="false"/>
          <w:i w:val="false"/>
          <w:color w:val="000000"/>
          <w:sz w:val="22"/>
        </w:rPr>
        <w:t>means a fenced area where vegetative cover is maintained and animals are enclosed.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waste” </w:t>
      </w:r>
      <w:r>
        <w:rPr>
          <w:rFonts w:ascii="Times New Roman" w:hAnsi="Times New Roman"/>
          <w:b w:val="false"/>
          <w:i w:val="false"/>
          <w:color w:val="000000"/>
          <w:sz w:val="22"/>
        </w:rPr>
        <w:t>means animal wastes consisting of excreta, leachings, feed losses, litter, washwaters or other associated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waste stockpiles” </w:t>
      </w:r>
      <w:r>
        <w:rPr>
          <w:rFonts w:ascii="Times New Roman" w:hAnsi="Times New Roman"/>
          <w:b w:val="false"/>
          <w:i w:val="false"/>
          <w:color w:val="000000"/>
          <w:sz w:val="22"/>
        </w:rPr>
        <w:t>means the stacking, composting or containment of animal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waste storage basin or lagoon” </w:t>
      </w:r>
      <w:r>
        <w:rPr>
          <w:rFonts w:ascii="Times New Roman" w:hAnsi="Times New Roman"/>
          <w:b w:val="false"/>
          <w:i w:val="false"/>
          <w:color w:val="000000"/>
          <w:sz w:val="22"/>
        </w:rPr>
        <w:t>means a fully or partially excavated or diked earthen structure used for containing animal waste, including earthen side slopes or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waste storage tank” </w:t>
      </w:r>
      <w:r>
        <w:rPr>
          <w:rFonts w:ascii="Times New Roman" w:hAnsi="Times New Roman"/>
          <w:b w:val="false"/>
          <w:i w:val="false"/>
          <w:color w:val="000000"/>
          <w:sz w:val="22"/>
        </w:rPr>
        <w:t>means a completely fabricated structure, with or without a cover, either formed in place or transported to the site, used for containing animal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“Antisiphon device” </w:t>
      </w:r>
      <w:r>
        <w:rPr>
          <w:rFonts w:ascii="Times New Roman" w:hAnsi="Times New Roman"/>
          <w:b w:val="false"/>
          <w:i w:val="false"/>
          <w:color w:val="000000"/>
          <w:sz w:val="22"/>
        </w:rPr>
        <w:t>means a device that prevents back siphonage by means of a relief valve that automatically opens to the atmosphere, preventing the creation of subatmospheric pressure within a pipe, thereby preventing water from reversing its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(IFA) as established by Iowa Code chapter </w:t>
      </w:r>
      <w:hyperlink r:id="rId19">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w:t>
      </w:r>
      <w:r>
        <w:rPr>
          <w:rFonts w:ascii="Times New Roman" w:hAnsi="Times New Roman"/>
          <w:b w:val="false"/>
          <w:i w:val="false"/>
          <w:color w:val="000000"/>
          <w:sz w:val="22"/>
        </w:rPr>
        <w:t>means the flow of water or other liquids, mixtures, or substances into a potable water supply’s distribution system from any source other than its permitted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preventer” </w:t>
      </w:r>
      <w:r>
        <w:rPr>
          <w:rFonts w:ascii="Times New Roman" w:hAnsi="Times New Roman"/>
          <w:b w:val="false"/>
          <w:i w:val="false"/>
          <w:color w:val="000000"/>
          <w:sz w:val="22"/>
        </w:rPr>
        <w:t>is a device or means to prevent backflow into a potable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 siphon” </w:t>
      </w:r>
      <w:r>
        <w:rPr>
          <w:rFonts w:ascii="Times New Roman" w:hAnsi="Times New Roman"/>
          <w:b w:val="false"/>
          <w:i w:val="false"/>
          <w:color w:val="000000"/>
          <w:sz w:val="22"/>
        </w:rPr>
        <w:t>means the flowing back of used, contaminated, or polluted water from a plumbing fixture or vessel as a result of negative or subatmospheric pressure within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available technology”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“BAT” </w:t>
      </w:r>
      <w:r>
        <w:rPr>
          <w:rFonts w:ascii="Times New Roman" w:hAnsi="Times New Roman"/>
          <w:b w:val="false"/>
          <w:i w:val="false"/>
          <w:color w:val="000000"/>
          <w:sz w:val="22"/>
        </w:rPr>
        <w:t>means the best technology, treatment techniques, or other means that the state finds, after examination for efficacy under field conditions and not solely under laboratory conditions, are available after taking cost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means the federal administrative rules adopted by the United States in effect as of July 1, 2024. The amendment of the date contained in this definition shall constitute the amendment of all CFR references contained in Division B unless a date of adoption is set forth in a specific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“Cistern” </w:t>
      </w:r>
      <w:r>
        <w:rPr>
          <w:rFonts w:ascii="Times New Roman" w:hAnsi="Times New Roman"/>
          <w:b w:val="false"/>
          <w:i w:val="false"/>
          <w:color w:val="000000"/>
          <w:sz w:val="22"/>
        </w:rPr>
        <w:t>means a tank that stores rainwater from roofs.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compliance history” </w:t>
      </w:r>
      <w:r>
        <w:rPr>
          <w:rFonts w:ascii="Times New Roman" w:hAnsi="Times New Roman"/>
          <w:b w:val="false"/>
          <w:i w:val="false"/>
          <w:color w:val="000000"/>
          <w:sz w:val="22"/>
        </w:rPr>
        <w:t xml:space="preserve">means, for the purposes of </w:t>
      </w:r>
      <w:hyperlink r:id="rId20">
        <w:r>
          <w:rPr>
            <w:rStyle w:val="Hyperlink"/>
            <w:rFonts w:ascii="Times New Roman" w:hAnsi="Times New Roman"/>
            <w:b w:val="false"/>
            <w:i w:val="false"/>
            <w:color w:val="000000"/>
            <w:sz w:val="22"/>
          </w:rPr>
          <w:t>567—paragraph 41.2(1)</w:t>
        </w:r>
      </w:hyperlink>
      <w:r>
        <w:rPr>
          <w:rFonts w:ascii="Times New Roman" w:hAnsi="Times New Roman"/>
          <w:b w:val="false"/>
          <w:i/>
          <w:color w:val="000000"/>
          <w:sz w:val="22"/>
        </w:rPr>
        <w:t>“e”</w:t>
      </w:r>
      <w:r>
        <w:rPr>
          <w:rFonts w:ascii="Times New Roman" w:hAnsi="Times New Roman"/>
          <w:b w:val="false"/>
          <w:i w:val="false"/>
          <w:color w:val="000000"/>
          <w:sz w:val="22"/>
        </w:rPr>
        <w:t xml:space="preserve">(4)“2,” a record of no monitoring violations and no coliform treatment technique trigger exceedances or treatment technique violations under </w:t>
      </w:r>
      <w:hyperlink r:id="rId21">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 filter effluent”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“CFE” </w:t>
      </w:r>
      <w:r>
        <w:rPr>
          <w:rFonts w:ascii="Times New Roman" w:hAnsi="Times New Roman"/>
          <w:b w:val="false"/>
          <w:i w:val="false"/>
          <w:color w:val="000000"/>
          <w:sz w:val="22"/>
        </w:rPr>
        <w:t>is generated when the effluent water from the individual filters in operation is combined into one stream. Representative samples of the combined filter effluent are monitored to determine compliance with treatment technique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correction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“CCP” </w:t>
      </w:r>
      <w:r>
        <w:rPr>
          <w:rFonts w:ascii="Times New Roman" w:hAnsi="Times New Roman"/>
          <w:b w:val="false"/>
          <w:i w:val="false"/>
          <w:color w:val="000000"/>
          <w:sz w:val="22"/>
        </w:rPr>
        <w:t>is a systematic procedure that identifies and corrects the unique factor combinations in the areas of design, operation, maintenance and administration that limit the performance of a filtration plant. A CCP includes a comprehensive performance evaluation (CPE) and comprehensive technical assistance (CTA).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technical assistance”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“CTA” </w:t>
      </w:r>
      <w:r>
        <w:rPr>
          <w:rFonts w:ascii="Times New Roman" w:hAnsi="Times New Roman"/>
          <w:b w:val="false"/>
          <w:i w:val="false"/>
          <w:color w:val="000000"/>
          <w:sz w:val="22"/>
        </w:rPr>
        <w:t>is a CCP’s performance improvement phase that is implemented if the CPE results indicate improved performance potential by a filtration plant, in which the system must identify and address plant-specific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“Consecutive PWS” </w:t>
      </w:r>
      <w:r>
        <w:rPr>
          <w:rFonts w:ascii="Times New Roman" w:hAnsi="Times New Roman"/>
          <w:b w:val="false"/>
          <w:i w:val="false"/>
          <w:color w:val="000000"/>
          <w:sz w:val="22"/>
        </w:rPr>
        <w:t>means an active PWS that purchases or obtains all or a portion of its water from another PWS, also called a wholesale system. Delivery may be through a direct connection or through the distribution system of one or more consecutive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easement” </w:t>
      </w:r>
      <w:r>
        <w:rPr>
          <w:rFonts w:ascii="Times New Roman" w:hAnsi="Times New Roman"/>
          <w:b w:val="false"/>
          <w:i w:val="false"/>
          <w:color w:val="000000"/>
          <w:sz w:val="22"/>
        </w:rPr>
        <w:t>means an interest in land that entitles a person to use the land possessed by another (affirmative easement), or to restrict uses of the land subject to the easement (negative easement). A conservation easement restricts the landowner to uses that are compatible with resource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w:t>
      </w:r>
      <w:r>
        <w:rPr>
          <w:rFonts w:ascii="Times New Roman" w:hAnsi="Times New Roman"/>
          <w:b w:val="false"/>
          <w:i w:val="false"/>
          <w:color w:val="000000"/>
          <w:sz w:val="22"/>
        </w:rPr>
        <w:t>means directly adjacent along all or most of one side of a legally defined piece of property. Tracts of land involved in the same operation or water supply and separated only by roads, railroads, or bike trails are deemed contiguous 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“Corrosive water” </w:t>
      </w:r>
      <w:r>
        <w:rPr>
          <w:rFonts w:ascii="Times New Roman" w:hAnsi="Times New Roman"/>
          <w:b w:val="false"/>
          <w:i w:val="false"/>
          <w:color w:val="000000"/>
          <w:sz w:val="22"/>
        </w:rPr>
        <w:t>means a water that, due to its physical and chemical characteristics, may cause leaching or dissolving of the constituents of the transporting system in which it is contained.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 connection” </w:t>
      </w:r>
      <w:r>
        <w:rPr>
          <w:rFonts w:ascii="Times New Roman" w:hAnsi="Times New Roman"/>
          <w:b w:val="false"/>
          <w:i w:val="false"/>
          <w:color w:val="000000"/>
          <w:sz w:val="22"/>
        </w:rPr>
        <w:t>means any actual or potential connection between a potable water supply and any other source or system through which it is possible to introduce into the potable system any used water, industrial fluid, gas, or other substance other than the intended potable water with which the system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 </w:t>
      </w:r>
      <w:r>
        <w:rPr>
          <w:rFonts w:ascii="Times New Roman" w:hAnsi="Times New Roman"/>
          <w:b w:val="false"/>
          <w:i w:val="false"/>
          <w:color w:val="000000"/>
          <w:sz w:val="22"/>
        </w:rPr>
        <w:t>means the product of the residual disinfectant concentration (C, in mg/L) determined before or at the first customer and the corresponding disinfectant contact time (T, in minutes), C x T. If a PWS applies disinfectants at more than one point prior to the first customer, it must determine the CT for each disinfectant sequence at or before the first customer to determine the total inactivation ratio (also known as total percent inactivation). When determining the total inactivation ratio, a PWS must determine C for each disinfection sequence and the corresponding T before any subsequent disinfection application point(s). The CT is dependent upon the microorganism to be inactivated and is affected by the disinfectant type, pH, and 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“Customers” </w:t>
      </w:r>
      <w:r>
        <w:rPr>
          <w:rFonts w:ascii="Times New Roman" w:hAnsi="Times New Roman"/>
          <w:b w:val="false"/>
          <w:i w:val="false"/>
          <w:color w:val="000000"/>
          <w:sz w:val="22"/>
        </w:rPr>
        <w:t>in consumer confidence reports are defined as billing units or service connections to which a CWS delivers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well” </w:t>
      </w:r>
      <w:r>
        <w:rPr>
          <w:rFonts w:ascii="Times New Roman" w:hAnsi="Times New Roman"/>
          <w:b w:val="false"/>
          <w:i w:val="false"/>
          <w:color w:val="000000"/>
          <w:sz w:val="22"/>
        </w:rPr>
        <w:t>means a well located and constructed such that there is a continuous layer of low permeability soil or rock at least 5 feet thick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“Disinfection profile” </w:t>
      </w:r>
      <w:r>
        <w:rPr>
          <w:rFonts w:ascii="Times New Roman" w:hAnsi="Times New Roman"/>
          <w:b w:val="false"/>
          <w:i w:val="false"/>
          <w:color w:val="000000"/>
          <w:sz w:val="22"/>
        </w:rPr>
        <w:t xml:space="preserve">is defined in </w:t>
      </w:r>
      <w:r>
        <w:rPr>
          <w:rFonts w:ascii="Times New Roman" w:hAnsi="Times New Roman"/>
          <w:b w:val="false"/>
          <w:i w:val="false"/>
          <w:color w:val="000000"/>
          <w:sz w:val="22"/>
        </w:rPr>
        <w:t>40 CFR §141.2</w:t>
      </w:r>
      <w:r>
        <w:rPr>
          <w:rFonts w:ascii="Times New Roman" w:hAnsi="Times New Roman"/>
          <w:b w:val="false"/>
          <w:i w:val="false"/>
          <w:color w:val="000000"/>
          <w:sz w:val="22"/>
        </w:rPr>
        <w:t xml:space="preserve">. The procedure for developing a disinfection profile is contained in </w:t>
      </w:r>
      <w:hyperlink r:id="rId22">
        <w:r>
          <w:rPr>
            <w:rStyle w:val="Hyperlink"/>
            <w:rFonts w:ascii="Times New Roman" w:hAnsi="Times New Roman"/>
            <w:b w:val="false"/>
            <w:i w:val="false"/>
            <w:color w:val="000000"/>
            <w:sz w:val="22"/>
          </w:rPr>
          <w:t>567—paragraph 43.9(2)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567—subrule 43.10(2)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“Drinking water state revolving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“DWSRF” </w:t>
      </w:r>
      <w:r>
        <w:rPr>
          <w:rFonts w:ascii="Times New Roman" w:hAnsi="Times New Roman"/>
          <w:b w:val="false"/>
          <w:i w:val="false"/>
          <w:color w:val="000000"/>
          <w:sz w:val="22"/>
        </w:rPr>
        <w:t>means the department-administered fund intended to develop drinking water revolving loans to help finance drinking water infrastructure improvements, source water protection, system technical assistance, and other activities intended to encourage and facilitate PWS rule compliance and public health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“DWSRF funds” </w:t>
      </w:r>
      <w:r>
        <w:rPr>
          <w:rFonts w:ascii="Times New Roman" w:hAnsi="Times New Roman"/>
          <w:b w:val="false"/>
          <w:i w:val="false"/>
          <w:color w:val="000000"/>
          <w:sz w:val="22"/>
        </w:rPr>
        <w:t>means the combination of a particular fiscal year’s federal capitalization grant appropriation plus the 20 percent state of Iowa match, and any additional funds made available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cost” </w:t>
      </w:r>
      <w:r>
        <w:rPr>
          <w:rFonts w:ascii="Times New Roman" w:hAnsi="Times New Roman"/>
          <w:b w:val="false"/>
          <w:i w:val="false"/>
          <w:color w:val="000000"/>
          <w:sz w:val="22"/>
        </w:rPr>
        <w:t xml:space="preserve">means the cost of all labor, material, machinery, equipment, loan initiation and loan service fees, project planning, design and construction engineering services, legal fees and expenses directly related to projects, capitalized interest during the construction of projects, and all other expansion, construction, and rehabilitation of all or part of projects included in the funding request placed on the draft intended use plan as a fundable project, subject to commission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“Emergency/standby well or connection” </w:t>
      </w:r>
      <w:r>
        <w:rPr>
          <w:rFonts w:ascii="Times New Roman" w:hAnsi="Times New Roman"/>
          <w:b w:val="false"/>
          <w:i w:val="false"/>
          <w:color w:val="000000"/>
          <w:sz w:val="22"/>
        </w:rPr>
        <w:t>means a well or a connection to another PWS that is used less than 30 calendar days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cross-cutters” </w:t>
      </w:r>
      <w:r>
        <w:rPr>
          <w:rFonts w:ascii="Times New Roman" w:hAnsi="Times New Roman"/>
          <w:b w:val="false"/>
          <w:i w:val="false"/>
          <w:color w:val="000000"/>
          <w:sz w:val="22"/>
        </w:rPr>
        <w:t>means the federal laws and authorities that apply to projects funded through the DWSRF.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fiscal year”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“FFY” </w:t>
      </w:r>
      <w:r>
        <w:rPr>
          <w:rFonts w:ascii="Times New Roman" w:hAnsi="Times New Roman"/>
          <w:b w:val="false"/>
          <w:i w:val="false"/>
          <w:color w:val="000000"/>
          <w:sz w:val="22"/>
        </w:rPr>
        <w:t>means the federal fiscal year starting October 1 and ending September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draw sample” </w:t>
      </w:r>
      <w:r>
        <w:rPr>
          <w:rFonts w:ascii="Times New Roman" w:hAnsi="Times New Roman"/>
          <w:b w:val="false"/>
          <w:i w:val="false"/>
          <w:color w:val="000000"/>
          <w:sz w:val="22"/>
        </w:rPr>
        <w:t xml:space="preserve">means a one-liter tap water sample, collected in accordance with </w:t>
      </w:r>
      <w:hyperlink r:id="rId24">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that has been standing in plumbing pipes at least six hours and is collected without flushing the tap.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“GAC10” </w:t>
      </w:r>
      <w:r>
        <w:rPr>
          <w:rFonts w:ascii="Times New Roman" w:hAnsi="Times New Roman"/>
          <w:b w:val="false"/>
          <w:i w:val="false"/>
          <w:color w:val="000000"/>
          <w:sz w:val="22"/>
        </w:rPr>
        <w:t>means granular activated carbon filter beds with an empty-bed contact time of ten minutes based on average daily flow and a 180-day carbon reactivation frequency, except that the reactivation frequency for GAC10 is 120 days when used as a BAT for compliance with the MCL locational running annual average for TTHMs and HAAs.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advisory”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“HA” </w:t>
      </w:r>
      <w:r>
        <w:rPr>
          <w:rFonts w:ascii="Times New Roman" w:hAnsi="Times New Roman"/>
          <w:b w:val="false"/>
          <w:i w:val="false"/>
          <w:color w:val="000000"/>
          <w:sz w:val="22"/>
        </w:rPr>
        <w:t xml:space="preserve">means a group of levels set by the EPA below which no harmful health effect is expected from a given contaminant in drinking water. The HAs used by the department are listed in the most current edition of the EPA’s Drinking Water Regulations and Health Advisories, available at </w:t>
      </w:r>
      <w:hyperlink r:id="rId25">
        <w:r>
          <w:rPr>
            <w:rStyle w:val="Hyperlink"/>
            <w:rFonts w:ascii="Times New Roman" w:hAnsi="Times New Roman"/>
            <w:b w:val="false"/>
            <w:i w:val="false"/>
            <w:color w:val="000000"/>
            <w:sz w:val="22"/>
            <w:u w:val="single"/>
          </w:rPr>
          <w:t>www.epa.gov/sdwa/drinking-water-health-advisories-has</w:t>
        </w:r>
      </w:hyperlink>
      <w:r>
        <w:rPr>
          <w:rFonts w:ascii="Times New Roman" w:hAnsi="Times New Roman"/>
          <w:b w:val="false"/>
          <w:i w:val="false"/>
          <w:color w:val="000000"/>
          <w:sz w:val="22"/>
        </w:rPr>
        <w:t>. The lifetime HA is the concentration of a chemical in drinking water that is not expected to cause any adverse noncarcinogenic effects over a lifetime of exposure, with a margin of safety. The long-term HA is the concentration of a chemical in drinking water that is not expected to cause any adverse noncarcinogenic effects up to approximately seven years (10 percent of an individual’s lifetime of exposure), with a margin of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consumption” </w:t>
      </w:r>
      <w:r>
        <w:rPr>
          <w:rFonts w:ascii="Times New Roman" w:hAnsi="Times New Roman"/>
          <w:b w:val="false"/>
          <w:i w:val="false"/>
          <w:color w:val="000000"/>
          <w:sz w:val="22"/>
        </w:rPr>
        <w:t>means water used as part of or in connection with drinking; washing; food processing; incidental to commercial food preparation, such as water used in beverages or other food items; ice used in drinks or in salad bars; water for washing of food; water used for washing dishes, pans or utensils used in food preparation or service; water used for cleanup and washing of food preparation or service areas; or water for bathing, showering, hand washing, or oral hygiene purposes. Human consumption does not include water for production of packaged or bulk food products regulated by other state or federal regulatory agencies, such as livestock slaughtering or bottled or canned food and beverages; cooling water; industrial or commercial wash waters used for nonfood products; irrigation water; or water used in toilets or urinals.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“Impoundment” </w:t>
      </w:r>
      <w:r>
        <w:rPr>
          <w:rFonts w:ascii="Times New Roman" w:hAnsi="Times New Roman"/>
          <w:b w:val="false"/>
          <w:i w:val="false"/>
          <w:color w:val="000000"/>
          <w:sz w:val="22"/>
        </w:rPr>
        <w:t>means a reservoir, pond, or lake in which surface water is retained for a period of time, ranging from several months upward, created by constructing a barrier across a watercourse and used for water storage, regulation, or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filter effluent”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“IFE” </w:t>
      </w:r>
      <w:r>
        <w:rPr>
          <w:rFonts w:ascii="Times New Roman" w:hAnsi="Times New Roman"/>
          <w:b w:val="false"/>
          <w:i w:val="false"/>
          <w:color w:val="000000"/>
          <w:sz w:val="22"/>
        </w:rPr>
        <w:t>means the effluent water from a specific filter. Representative samples of the IFE are monitored to determine compliance with TT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“Influenced groundwater”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“IGW,” </w:t>
      </w:r>
      <w:r>
        <w:rPr>
          <w:rFonts w:ascii="Times New Roman" w:hAnsi="Times New Roman"/>
          <w:b w:val="false"/>
          <w:i w:val="false"/>
          <w:color w:val="000000"/>
          <w:sz w:val="22"/>
        </w:rPr>
        <w:t xml:space="preserve">also known as groundwater under the direct influence (GWUDI) of surface water, means any groundwater that is under the direct or indirect influence of surface water, as determined by the presence of (1) significant occurrence of insects or other macroorganisms, algae or large-diameter pathogens such as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or (2) significant and relatively rapid shifts in water characteristics such as turbidity, temperature, conductivity, or pH that correlate to climatological or surface water conditions or other parameters as specified in </w:t>
      </w:r>
      <w:hyperlink r:id="rId26">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compliance period” </w:t>
      </w:r>
      <w:r>
        <w:rPr>
          <w:rFonts w:ascii="Times New Roman" w:hAnsi="Times New Roman"/>
          <w:b w:val="false"/>
          <w:i w:val="false"/>
          <w:color w:val="000000"/>
          <w:sz w:val="22"/>
        </w:rPr>
        <w:t>means the first full three-year compliance period of a compliance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“Intended use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“IUP” </w:t>
      </w:r>
      <w:r>
        <w:rPr>
          <w:rFonts w:ascii="Times New Roman" w:hAnsi="Times New Roman"/>
          <w:b w:val="false"/>
          <w:i w:val="false"/>
          <w:color w:val="000000"/>
          <w:sz w:val="22"/>
        </w:rPr>
        <w:t>means a plan identifying the intended uses of funds available for loans in the DWSRF for each fiscal year as described in Section 1452 of the SDWA.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free,” </w:t>
      </w:r>
      <w:r>
        <w:rPr>
          <w:rFonts w:ascii="Times New Roman" w:hAnsi="Times New Roman"/>
          <w:b w:val="false"/>
          <w:i w:val="false"/>
          <w:color w:val="000000"/>
          <w:sz w:val="22"/>
        </w:rPr>
        <w:t xml:space="preserve">when used with respect to solder and flux, refers to solders and flux containing not more than 0.2 percent lead and not more than a weighted average of 0.25 percent lead when used with respect to the wetted surfaces of pipes, pipe fittings, plumbing fittings, and fixtures in accordance with </w:t>
      </w:r>
      <w:r>
        <w:rPr>
          <w:rFonts w:ascii="Times New Roman" w:hAnsi="Times New Roman"/>
          <w:b w:val="false"/>
          <w:i w:val="false"/>
          <w:color w:val="000000"/>
          <w:sz w:val="22"/>
        </w:rPr>
        <w:t>42 U.S.C. 300</w:t>
      </w:r>
      <w:r>
        <w:rPr>
          <w:rFonts w:ascii="Times New Roman" w:hAnsi="Times New Roman"/>
          <w:b w:val="false"/>
          <w:i w:val="false"/>
          <w:color w:val="000000"/>
          <w:sz w:val="22"/>
        </w:rPr>
        <w:t xml:space="preserve">-g-6. The following requirements of 40 CFR 143, Subpart B, that pertain to PWSs are adopted by reference: </w:t>
      </w:r>
      <w:r>
        <w:rPr>
          <w:rFonts w:ascii="Times New Roman" w:hAnsi="Times New Roman"/>
          <w:b w:val="false"/>
          <w:i w:val="false"/>
          <w:color w:val="000000"/>
          <w:sz w:val="22"/>
        </w:rPr>
        <w:t>40 CFR §143.10</w:t>
      </w:r>
      <w:r>
        <w:rPr>
          <w:rFonts w:ascii="Times New Roman" w:hAnsi="Times New Roman"/>
          <w:b w:val="false"/>
          <w:i w:val="false"/>
          <w:color w:val="000000"/>
          <w:sz w:val="22"/>
        </w:rPr>
        <w:t xml:space="preserve">, </w:t>
      </w:r>
      <w:r>
        <w:rPr>
          <w:rFonts w:ascii="Times New Roman" w:hAnsi="Times New Roman"/>
          <w:b w:val="false"/>
          <w:i w:val="false"/>
          <w:color w:val="000000"/>
          <w:sz w:val="22"/>
        </w:rPr>
        <w:t>40 CFR §143.11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§143.12</w:t>
      </w:r>
      <w:r>
        <w:rPr>
          <w:rFonts w:ascii="Times New Roman" w:hAnsi="Times New Roman"/>
          <w:b w:val="false"/>
          <w:i w:val="false"/>
          <w:color w:val="000000"/>
          <w:sz w:val="22"/>
        </w:rPr>
        <w:t xml:space="preserve">(b-f).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service line”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“LSL” </w:t>
      </w:r>
      <w:r>
        <w:rPr>
          <w:rFonts w:ascii="Times New Roman" w:hAnsi="Times New Roman"/>
          <w:b w:val="false"/>
          <w:i w:val="false"/>
          <w:color w:val="000000"/>
          <w:sz w:val="22"/>
        </w:rPr>
        <w:t>means a service line made of lead that connects the water main to the building inlet and any lead pigtail, gooseneck, or other fitting that is connected to such a lead line. A lead gooseneck is not considered a lead service line unless it exceeds ten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2 assessment” </w:t>
      </w:r>
      <w:r>
        <w:rPr>
          <w:rFonts w:ascii="Times New Roman" w:hAnsi="Times New Roman"/>
          <w:b w:val="false"/>
          <w:i w:val="false"/>
          <w:color w:val="000000"/>
          <w:sz w:val="22"/>
        </w:rPr>
        <w:t xml:space="preserve">is defined in </w:t>
      </w:r>
      <w:r>
        <w:rPr>
          <w:rFonts w:ascii="Times New Roman" w:hAnsi="Times New Roman"/>
          <w:b w:val="false"/>
          <w:i w:val="false"/>
          <w:color w:val="000000"/>
          <w:sz w:val="22"/>
        </w:rPr>
        <w:t>40 CFR §141.2</w:t>
      </w:r>
      <w:r>
        <w:rPr>
          <w:rFonts w:ascii="Times New Roman" w:hAnsi="Times New Roman"/>
          <w:b w:val="false"/>
          <w:i w:val="false"/>
          <w:color w:val="000000"/>
          <w:sz w:val="22"/>
        </w:rPr>
        <w:t xml:space="preserve">. A Level 2 assessment is conducted by a department water supply inspector and will typically include the system operator. The department may tailor specific assessment elements with respect to a system’s size and type and a distribution system’s size, type and characteristics. A system must comply with any expedited actions or additional actions required by the department in the case of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replacement of equipment or materials that are necessary to maintain the operation of a PWS but do not alter capacity, water quality or treatment method, or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“Nonacute health effect” </w:t>
      </w:r>
      <w:r>
        <w:rPr>
          <w:rFonts w:ascii="Times New Roman" w:hAnsi="Times New Roman"/>
          <w:b w:val="false"/>
          <w:i w:val="false"/>
          <w:color w:val="000000"/>
          <w:sz w:val="22"/>
        </w:rPr>
        <w:t>means the health effect of a contaminant that is a long-term rather than immediate risk to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“Nontransient noncommunity water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“NTNC” </w:t>
      </w:r>
      <w:r>
        <w:rPr>
          <w:rFonts w:ascii="Times New Roman" w:hAnsi="Times New Roman"/>
          <w:b w:val="false"/>
          <w:i w:val="false"/>
          <w:color w:val="000000"/>
          <w:sz w:val="22"/>
        </w:rPr>
        <w:t>means a PWS, other than a CWS, that regularly serves at least 25 of the same persons four hours or more per day, for four or more days per week, for 26 or more weeks per year. Examples of NTNCs are schools, day-care centers, factories, offices and other PWSs that provide water to a fixed population of 25 or more people. In addition, other service areas, such as hotels, resorts, hospitals and restaurants, are considered as NTNCs if they regularly serve at least 25 or more of the same persons for four or more hours per day, for four or more days per week, for 26 or more weeks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“Point-of-use treatment device”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“POU treatment device” </w:t>
      </w:r>
      <w:r>
        <w:rPr>
          <w:rFonts w:ascii="Times New Roman" w:hAnsi="Times New Roman"/>
          <w:b w:val="false"/>
          <w:i w:val="false"/>
          <w:color w:val="000000"/>
          <w:sz w:val="22"/>
        </w:rPr>
        <w:t>is a treatment device applied to a single tap or multiple taps that reduces contaminants in drinking water at those taps but is not intended to treat all of the water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 served” </w:t>
      </w:r>
      <w:r>
        <w:rPr>
          <w:rFonts w:ascii="Times New Roman" w:hAnsi="Times New Roman"/>
          <w:b w:val="false"/>
          <w:i w:val="false"/>
          <w:color w:val="000000"/>
          <w:sz w:val="22"/>
        </w:rPr>
        <w:t>means the total number of persons served by a PWS that provides water intended for human consumption. For municipalities that serve only the population within their incorporated boundaries, it is the last official (or officially amended) U.S. census population. For all other CWSs, it is either the actual counted population that is verifiable by the department or the population calculated by multiplying the number of service connections by an occupancy factor of 2.5 persons per service connection. For municipalities that also serve outside their incorporated boundaries, the served population must be added to the official census population as determined either by verifiable count or by the 2.5 persons per service connection occupancy factor. For NTNC and TNC systems, it is the average number of daily employees plus the average number of other persons served, such as customers or visitors during the peak month of the year, regardless of whether each person actually uses the water for human consumption. Where a system provides water to another PWS (consecutive PWS) that is required to have an operation permit, the population of the recipient PWS shall not be counted as a part of the system providing the water. CWSs and NTNCs will pay their operation permit fees based upon the population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“Potable water” </w:t>
      </w:r>
      <w:r>
        <w:rPr>
          <w:rFonts w:ascii="Times New Roman" w:hAnsi="Times New Roman"/>
          <w:b w:val="false"/>
          <w:i w:val="false"/>
          <w:color w:val="000000"/>
          <w:sz w:val="22"/>
        </w:rPr>
        <w:t xml:space="preserve">means water that is suitable for human consumption. Drinking water that meets the requirements of 567—Chapters </w:t>
      </w:r>
      <w:hyperlink r:id="rId2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is considered to be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“Privy” </w:t>
      </w:r>
      <w:r>
        <w:rPr>
          <w:rFonts w:ascii="Times New Roman" w:hAnsi="Times New Roman"/>
          <w:b w:val="false"/>
          <w:i w:val="false"/>
          <w:color w:val="000000"/>
          <w:sz w:val="22"/>
        </w:rPr>
        <w:t>means a structure used for the deposition of human body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includes the planning, design, construction, alteration or extension of any PWS but does not include the maintenance of 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priority 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“PPL” </w:t>
      </w:r>
      <w:r>
        <w:rPr>
          <w:rFonts w:ascii="Times New Roman" w:hAnsi="Times New Roman"/>
          <w:b w:val="false"/>
          <w:i w:val="false"/>
          <w:color w:val="000000"/>
          <w:sz w:val="22"/>
        </w:rPr>
        <w:t xml:space="preserve">means the list of projects in priority order that may qualify for DWSRF loan assistance contained in the IUP document prepared pursuant to </w:t>
      </w:r>
      <w:hyperlink r:id="rId30">
        <w:r>
          <w:rPr>
            <w:rStyle w:val="Hyperlink"/>
            <w:rFonts w:ascii="Times New Roman" w:hAnsi="Times New Roman"/>
            <w:b w:val="false"/>
            <w:i w:val="false"/>
            <w:color w:val="000000"/>
            <w:sz w:val="22"/>
          </w:rPr>
          <w:t>567—44.8</w:t>
        </w:r>
      </w:hyperlink>
      <w:r>
        <w:rPr>
          <w:rFonts w:ascii="Times New Roman" w:hAnsi="Times New Roman"/>
          <w:b w:val="false"/>
          <w:i w:val="false"/>
          <w:color w:val="000000"/>
          <w:sz w:val="22"/>
        </w:rPr>
        <w:t xml:space="preserve">(455B). The priority list identifies all projects eligible for funding and the points assigned to each project pursuant to </w:t>
      </w:r>
      <w:hyperlink r:id="rId31">
        <w:r>
          <w:rPr>
            <w:rStyle w:val="Hyperlink"/>
            <w:rFonts w:ascii="Times New Roman" w:hAnsi="Times New Roman"/>
            <w:b w:val="false"/>
            <w:i w:val="false"/>
            <w:color w:val="000000"/>
            <w:sz w:val="22"/>
          </w:rPr>
          <w:t>567—44.7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“PWS” </w:t>
      </w:r>
      <w:r>
        <w:rPr>
          <w:rFonts w:ascii="Times New Roman" w:hAnsi="Times New Roman"/>
          <w:b w:val="false"/>
          <w:i w:val="false"/>
          <w:color w:val="000000"/>
          <w:sz w:val="22"/>
        </w:rPr>
        <w:t>means a system that provides water to the public for human consumption through pipes or other constructed conveyances, if such a system has at least 15 service connections or regularly serves an average of at least 25 individuals daily at least 60 days out of the year. This includes any collection, treatment, storage, and distribution facilities under the system operator’s control and used primarily in connection with such a system and any collection or pretreatment storage facilities not under such control that are used primarily in connection with such a system. The term does not include any special irrigation district. A PWS is either a community water system (CWS) or a noncommunity water system (NCWS).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control” </w:t>
      </w:r>
      <w:r>
        <w:rPr>
          <w:rFonts w:ascii="Times New Roman" w:hAnsi="Times New Roman"/>
          <w:b w:val="false"/>
          <w:i w:val="false"/>
          <w:color w:val="000000"/>
          <w:sz w:val="22"/>
        </w:rPr>
        <w:t>is defined as one of the following forms of authority over a service line: authority to set standards for construction, repair, or maintenance of the service line; authority to replace, repair, or maintain the service line; or ownership of the line. Contaminants added to the water under circumstances controlled by the water consumer or user, with the exception of those contaminants resulting from the corrosion of piping and plumbing caused by water quality, are excluded from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water system” </w:t>
      </w:r>
      <w:r>
        <w:rPr>
          <w:rFonts w:ascii="Times New Roman" w:hAnsi="Times New Roman"/>
          <w:b w:val="false"/>
          <w:i w:val="false"/>
          <w:color w:val="000000"/>
          <w:sz w:val="22"/>
        </w:rPr>
        <w:t>means a PWS in which the projected number of service connections, in at least 50 percent of the distribution system’s length, does not average more than eight service connections per linear mile of water 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sewer pipe” </w:t>
      </w:r>
      <w:r>
        <w:rPr>
          <w:rFonts w:ascii="Times New Roman" w:hAnsi="Times New Roman"/>
          <w:b w:val="false"/>
          <w:i w:val="false"/>
          <w:color w:val="000000"/>
          <w:sz w:val="22"/>
        </w:rPr>
        <w:t>means a sewer complying with the department’s standards for sewer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survey” </w:t>
      </w:r>
      <w:r>
        <w:rPr>
          <w:rFonts w:ascii="Times New Roman" w:hAnsi="Times New Roman"/>
          <w:b w:val="false"/>
          <w:i w:val="false"/>
          <w:color w:val="000000"/>
          <w:sz w:val="22"/>
        </w:rPr>
        <w:t xml:space="preserve">means a review and on-site inspection conducted by the department of a PWS’s water source(s), facilities, equipment, operation and maintenance (O&amp;M), and records for the purpose of evaluating the adequacy of such source(s), and facilities, equipment, and O&amp;M for producing and distributing safe drinking water, in order to identify improvements necessary to maintain or improve drinking water quality pursuant to </w:t>
      </w:r>
      <w:hyperlink r:id="rId32">
        <w:r>
          <w:rPr>
            <w:rStyle w:val="Hyperlink"/>
            <w:rFonts w:ascii="Times New Roman" w:hAnsi="Times New Roman"/>
            <w:b w:val="false"/>
            <w:i w:val="false"/>
            <w:color w:val="000000"/>
            <w:sz w:val="22"/>
          </w:rPr>
          <w:t>567—subrule 43.1(7)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“SDWA”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“Act” </w:t>
      </w:r>
      <w:r>
        <w:rPr>
          <w:rFonts w:ascii="Times New Roman" w:hAnsi="Times New Roman"/>
          <w:b w:val="false"/>
          <w:i w:val="false"/>
          <w:color w:val="000000"/>
          <w:sz w:val="22"/>
        </w:rPr>
        <w:t>means the Safe Drinking Water Act as amended (</w:t>
      </w:r>
      <w:r>
        <w:rPr>
          <w:rFonts w:ascii="Times New Roman" w:hAnsi="Times New Roman"/>
          <w:b w:val="false"/>
          <w:i w:val="false"/>
          <w:color w:val="000000"/>
          <w:sz w:val="22"/>
        </w:rPr>
        <w:t>42 U.S.C. 300f et seq.</w:t>
      </w:r>
      <w:r>
        <w:rPr>
          <w:rFonts w:ascii="Times New Roman" w:hAnsi="Times New Roman"/>
          <w:b w:val="false"/>
          <w:i w:val="false"/>
          <w:color w:val="000000"/>
          <w:sz w:val="22"/>
        </w:rPr>
        <w:t>), unless a date of adoption is set forth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“Sedimentation” </w:t>
      </w:r>
      <w:r>
        <w:rPr>
          <w:rFonts w:ascii="Times New Roman" w:hAnsi="Times New Roman"/>
          <w:b w:val="false"/>
          <w:i w:val="false"/>
          <w:color w:val="000000"/>
          <w:sz w:val="22"/>
        </w:rPr>
        <w:t>means a water treatment process for solid particle removal from a suspension before filtration by gravity or separation.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“Septic tank” </w:t>
      </w:r>
      <w:r>
        <w:rPr>
          <w:rFonts w:ascii="Times New Roman" w:hAnsi="Times New Roman"/>
          <w:b w:val="false"/>
          <w:i w:val="false"/>
          <w:color w:val="000000"/>
          <w:sz w:val="22"/>
        </w:rPr>
        <w:t>means a watertight structure into which wastewater is discharged for solids separation and digestion.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connections” </w:t>
      </w:r>
      <w:r>
        <w:rPr>
          <w:rFonts w:ascii="Times New Roman" w:hAnsi="Times New Roman"/>
          <w:b w:val="false"/>
          <w:i w:val="false"/>
          <w:color w:val="000000"/>
          <w:sz w:val="22"/>
        </w:rPr>
        <w:t>means the total number of active and inactive service lines originating from a water distribution main for the purpose of delivering water intended for human consumption. For municipalities, rural water districts, mobile home parks, housing developments, and similar facilities, this includes, but is not limited to, occupied and unoccupied residences and buildings, provided that there is a service line connected to the water main (or another service line), and running onto the property. For rental properties which are separate PWSs, this includes, but is not limited to, the number of rental units. Connections to a system that delivers water by a constructed conveyance other than a pipe are excluded from this definition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water is used exclusively for purposes other than human consumption;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determines that alternative water to achieve the equivalent level of public health protection provided by the applicable national primary drinking water regulation is provided for human consumption;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determines that the water provided for human consumption is centrally treated or treated at the entry point by the provider, a pass-through entity, or the user to achieve the equivalent level of protection provided by the applicable national primary drinking water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sample” </w:t>
      </w:r>
      <w:r>
        <w:rPr>
          <w:rFonts w:ascii="Times New Roman" w:hAnsi="Times New Roman"/>
          <w:b w:val="false"/>
          <w:i w:val="false"/>
          <w:color w:val="000000"/>
          <w:sz w:val="22"/>
        </w:rPr>
        <w:t xml:space="preserve">means a sample of water, one liter in volume, that has been standing for at least six hours in a service line, collected in accordance with </w:t>
      </w:r>
      <w:hyperlink r:id="rId33">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used to determine a lead or copper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well” </w:t>
      </w:r>
      <w:r>
        <w:rPr>
          <w:rFonts w:ascii="Times New Roman" w:hAnsi="Times New Roman"/>
          <w:b w:val="false"/>
          <w:i w:val="false"/>
          <w:color w:val="000000"/>
          <w:sz w:val="22"/>
        </w:rPr>
        <w:t>means a well located and constructed such that there is not a continuous layer of low permeability soil or rock (or equivalent retarding mechanism acceptable to the department) at least 5 feet thick, the top of which is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deficiency” </w:t>
      </w:r>
      <w:r>
        <w:rPr>
          <w:rFonts w:ascii="Times New Roman" w:hAnsi="Times New Roman"/>
          <w:b w:val="false"/>
          <w:i w:val="false"/>
          <w:color w:val="000000"/>
          <w:sz w:val="22"/>
        </w:rPr>
        <w:t>includes a defect in design, operation, or maintenance, or a failure or malfunction of the sources, treatment, storage, or distribution system that the department determines to be causing, or has the potential for causing the introduction of contamination into the water delivered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noncompliance”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“SNC” </w:t>
      </w:r>
      <w:r>
        <w:rPr>
          <w:rFonts w:ascii="Times New Roman" w:hAnsi="Times New Roman"/>
          <w:b w:val="false"/>
          <w:i w:val="false"/>
          <w:color w:val="000000"/>
          <w:sz w:val="22"/>
        </w:rPr>
        <w:t>means the failure to comply with any national primary drinking water standard as adopted by the state of Iowa according to criteria established by the EPA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“Source/entry point”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“SEP” </w:t>
      </w:r>
      <w:r>
        <w:rPr>
          <w:rFonts w:ascii="Times New Roman" w:hAnsi="Times New Roman"/>
          <w:b w:val="false"/>
          <w:i w:val="false"/>
          <w:color w:val="000000"/>
          <w:sz w:val="22"/>
        </w:rPr>
        <w:t>means the entry point of water into the distribution system that is representative of each source after application of all treatment and before the first service connection. This point is used for the collection of certain compliance samples. If a representative sample of all water sources cannot be obtained, as determined by the department, separate SEPs with the appropriate monitoring requirements will be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irrigation district” </w:t>
      </w:r>
      <w:r>
        <w:rPr>
          <w:rFonts w:ascii="Times New Roman" w:hAnsi="Times New Roman"/>
          <w:b w:val="false"/>
          <w:i w:val="false"/>
          <w:color w:val="000000"/>
          <w:sz w:val="22"/>
        </w:rPr>
        <w:t>means an irrigation district in existence prior to May 18, 1994, that provides primarily agricultural service through a piped water system with only incidental residential or similar use where the system or the residential or similar users of the system comply with numbered paragraphs “2” and “3” in the definition of “service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specifications” </w:t>
      </w:r>
      <w:r>
        <w:rPr>
          <w:rFonts w:ascii="Times New Roman" w:hAnsi="Times New Roman"/>
          <w:b w:val="false"/>
          <w:i w:val="false"/>
          <w:color w:val="000000"/>
          <w:sz w:val="22"/>
        </w:rPr>
        <w:t>means specifications submitted to the department for use as a reference in reviewing future plans for proposed water main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 States Standards” </w:t>
      </w:r>
      <w:r>
        <w:rPr>
          <w:rFonts w:ascii="Times New Roman" w:hAnsi="Times New Roman"/>
          <w:b w:val="false"/>
          <w:i w:val="false"/>
          <w:color w:val="000000"/>
          <w:sz w:val="22"/>
        </w:rPr>
        <w:t xml:space="preserve">means the “Recommended Standards for Water Works,” 2022 edition, a report of the Great Lakes—Upper Mississippi River Board of State and Provincial Public Health and Environmental Managers, available on their website at </w:t>
      </w:r>
      <w:hyperlink r:id="rId34">
        <w:r>
          <w:rPr>
            <w:rStyle w:val="Hyperlink"/>
            <w:rFonts w:ascii="Times New Roman" w:hAnsi="Times New Roman"/>
            <w:b w:val="false"/>
            <w:i w:val="false"/>
            <w:color w:val="000000"/>
            <w:sz w:val="22"/>
            <w:u w:val="single"/>
          </w:rPr>
          <w:t>www.health.state.mn.us/communities/environment/water/tenstates/standards.html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“Transient noncommunity water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“TNC” </w:t>
      </w:r>
      <w:r>
        <w:rPr>
          <w:rFonts w:ascii="Times New Roman" w:hAnsi="Times New Roman"/>
          <w:b w:val="false"/>
          <w:i w:val="false"/>
          <w:color w:val="000000"/>
          <w:sz w:val="22"/>
        </w:rPr>
        <w:t xml:space="preserve">is defined in </w:t>
      </w:r>
      <w:r>
        <w:rPr>
          <w:rFonts w:ascii="Times New Roman" w:hAnsi="Times New Roman"/>
          <w:b w:val="false"/>
          <w:i w:val="false"/>
          <w:color w:val="000000"/>
          <w:sz w:val="22"/>
        </w:rPr>
        <w:t>40 CFR §141.2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“TT” </w:t>
      </w:r>
      <w:r>
        <w:rPr>
          <w:rFonts w:ascii="Times New Roman" w:hAnsi="Times New Roman"/>
          <w:b w:val="false"/>
          <w:i w:val="false"/>
          <w:color w:val="000000"/>
          <w:sz w:val="22"/>
        </w:rPr>
        <w:t>means a treatment process required to minimize the level of a contaminant in drinking water. A treatment technique is specified in cases where it is not technically or economically feasible to establish an MCL, and it is an enforceable procedure or level of technological performance which PWSs must follow to ensure control of a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“Uncovered finished water storage facility” </w:t>
      </w:r>
      <w:r>
        <w:rPr>
          <w:rFonts w:ascii="Times New Roman" w:hAnsi="Times New Roman"/>
          <w:b w:val="false"/>
          <w:i w:val="false"/>
          <w:color w:val="000000"/>
          <w:sz w:val="22"/>
        </w:rPr>
        <w:t xml:space="preserve">is defined in </w:t>
      </w:r>
      <w:r>
        <w:rPr>
          <w:rFonts w:ascii="Times New Roman" w:hAnsi="Times New Roman"/>
          <w:b w:val="false"/>
          <w:i w:val="false"/>
          <w:color w:val="000000"/>
          <w:sz w:val="22"/>
        </w:rPr>
        <w:t>40 CFR §141.2</w:t>
      </w:r>
      <w:r>
        <w:rPr>
          <w:rFonts w:ascii="Times New Roman" w:hAnsi="Times New Roman"/>
          <w:b w:val="false"/>
          <w:i w:val="false"/>
          <w:color w:val="000000"/>
          <w:sz w:val="22"/>
        </w:rPr>
        <w:t>. Such facilities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“Unregulated contaminant” </w:t>
      </w:r>
      <w:r>
        <w:rPr>
          <w:rFonts w:ascii="Times New Roman" w:hAnsi="Times New Roman"/>
          <w:b w:val="false"/>
          <w:i w:val="false"/>
          <w:color w:val="000000"/>
          <w:sz w:val="22"/>
        </w:rPr>
        <w:t xml:space="preserve">means a contaminant for which no MCL has been set, but which does have federal monitoring requirements for certain PWSs set forth in </w:t>
      </w:r>
      <w:r>
        <w:rPr>
          <w:rFonts w:ascii="Times New Roman" w:hAnsi="Times New Roman"/>
          <w:b w:val="false"/>
          <w:i w:val="false"/>
          <w:color w:val="000000"/>
          <w:sz w:val="22"/>
        </w:rPr>
        <w:t>40 CFR §141.40</w:t>
      </w:r>
      <w:r>
        <w:rPr>
          <w:rFonts w:ascii="Times New Roman" w:hAnsi="Times New Roman"/>
          <w:b w:val="false"/>
          <w:i w:val="false"/>
          <w:color w:val="000000"/>
          <w:sz w:val="22"/>
        </w:rPr>
        <w:t xml:space="preserve">, and additional reporting requirements in </w:t>
      </w:r>
      <w:hyperlink r:id="rId35">
        <w:r>
          <w:rPr>
            <w:rStyle w:val="Hyperlink"/>
            <w:rFonts w:ascii="Times New Roman" w:hAnsi="Times New Roman"/>
            <w:b w:val="false"/>
            <w:i w:val="false"/>
            <w:color w:val="000000"/>
            <w:sz w:val="22"/>
          </w:rPr>
          <w:t>567—40.7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“Viability” </w:t>
      </w:r>
      <w:r>
        <w:rPr>
          <w:rFonts w:ascii="Times New Roman" w:hAnsi="Times New Roman"/>
          <w:b w:val="false"/>
          <w:i w:val="false"/>
          <w:color w:val="000000"/>
          <w:sz w:val="22"/>
        </w:rPr>
        <w:t>means the technical, financial, and managerial ability to comply with applicable national primary drinking water standards as adopted by the state of Iowa. Viability is the ability of a system to remain in compliance insofar as the requirements of the SDWA.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“Waterborne disease outbreak” </w:t>
      </w:r>
      <w:r>
        <w:rPr>
          <w:rFonts w:ascii="Times New Roman" w:hAnsi="Times New Roman"/>
          <w:b w:val="false"/>
          <w:i w:val="false"/>
          <w:color w:val="000000"/>
          <w:sz w:val="22"/>
        </w:rPr>
        <w:t>means the significant occurrence of acute infectious illness, epidemiologically associated with the ingestion of water from a PWS that is deficient in treatment, as determined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distribution system” </w:t>
      </w:r>
      <w:r>
        <w:rPr>
          <w:rFonts w:ascii="Times New Roman" w:hAnsi="Times New Roman"/>
          <w:b w:val="false"/>
          <w:i w:val="false"/>
          <w:color w:val="000000"/>
          <w:sz w:val="22"/>
        </w:rPr>
        <w:t xml:space="preserve">is defined in Iowa Code section </w:t>
      </w:r>
      <w:hyperlink r:id="rId36">
        <w:r>
          <w:rPr>
            <w:rStyle w:val="Hyperlink"/>
            <w:rFonts w:ascii="Times New Roman" w:hAnsi="Times New Roman"/>
            <w:b w:val="false"/>
            <w:i w:val="false"/>
            <w:color w:val="000000"/>
            <w:sz w:val="22"/>
          </w:rPr>
          <w:t>455B.211</w:t>
        </w:r>
      </w:hyperlink>
      <w:r>
        <w:rPr>
          <w:rFonts w:ascii="Times New Roman" w:hAnsi="Times New Roman"/>
          <w:b w:val="false"/>
          <w:i w:val="false"/>
          <w:color w:val="000000"/>
          <w:sz w:val="22"/>
        </w:rPr>
        <w:t>. The term includes any storage facilities and pumping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main pipe” </w:t>
      </w:r>
      <w:r>
        <w:rPr>
          <w:rFonts w:ascii="Times New Roman" w:hAnsi="Times New Roman"/>
          <w:b w:val="false"/>
          <w:i w:val="false"/>
          <w:color w:val="000000"/>
          <w:sz w:val="22"/>
        </w:rPr>
        <w:t>means a water main complying with the department’s standards for water main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w:t>
      </w:r>
      <w:r>
        <w:rPr>
          <w:rFonts w:ascii="Times New Roman" w:hAnsi="Times New Roman"/>
          <w:b w:val="false"/>
          <w:i w:val="false"/>
          <w:color w:val="000000"/>
          <w:sz w:val="22"/>
        </w:rPr>
        <w:t> </w:t>
      </w:r>
      <w:r>
        <w:rPr>
          <w:rFonts w:ascii="Times New Roman" w:hAnsi="Times New Roman"/>
          <w:b w:val="false"/>
          <w:i/>
          <w:color w:val="000000"/>
          <w:sz w:val="22"/>
        </w:rPr>
        <w:t xml:space="preserve">Definitions in Iowa Code and the CFR. </w:t>
      </w:r>
      <w:r>
        <w:rPr>
          <w:rFonts w:ascii="Times New Roman" w:hAnsi="Times New Roman"/>
          <w:b w:val="false"/>
          <w:i w:val="false"/>
          <w:color w:val="000000"/>
          <w:sz w:val="22"/>
        </w:rPr>
        <w:t xml:space="preserve">The following terms are defined in the referenced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37">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“commission,” “department,” and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38">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“maximum contaminant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40 CFR §141.2</w:t>
      </w:r>
      <w:r>
        <w:rPr>
          <w:rFonts w:ascii="Times New Roman" w:hAnsi="Times New Roman"/>
          <w:b w:val="false"/>
          <w:i w:val="false"/>
          <w:color w:val="000000"/>
          <w:sz w:val="22"/>
        </w:rPr>
        <w:t>: “bag filters,” “bank filtration,” “cartridge filters,” “coagulation,” “combined distribution system” or “CDS,” “community water system” or “CWS,” “compliance cycle,” “compliance period,” “comprehensive performance evaluation” or “CPE,” “confluent growth,” “contaminant,” “conventional filtration treatment,” “corrosion inhibitor,” “diatomaceous earth filtration,” “direct filtration,” “disinfectant,” “disinfection,” “dose equivalent,” “effective corrosion inhibitor residual,” “enhanced coagulation,” “enhanced softening,” “filter profile,” “filtration,” “finished water,” “flocculation,” “flowing stream,” “GAC20,” “gross alpha particle activity,” “gross beta particle activity,” “haloacetic acids” or “HAA5,” “halogen,” “lake” or “reservoir,” “large water system,” “legionella,” “level 1 assessment,” “locational running annual average” or “LRAA,” “man-made beta particle and photon emitters,” “maximum contaminant level” or “MCL,” “maximum contaminant level goal” or “MCLG,” “maximum residual disinfectant level” or “MRDL,” “maximum residual disinfectant level goal” or “MRDLG,” “medium-size water system,” “membrane filtration,” “noncommunity water system” or “NCWS,” “optimal corrosion control treatment,” “performance evaluation sample,” “picocurie” or “pCi,” “plant intake,” “point of disinfectant application,” “point-of-entry treatment device” or “POE,” “presedimentation,” “rem,” “repeat compliance period,” “residual disinfectant concentration,” “sanitary defect,” “seasonal system,” “single-family structure,” “slow sand filtration,” “small water system,” “standard sample,” “supplier of water,” “surface water” or “SW,” “SUVA,” “too numerous to count,” “total organic carbon” or “TOC,” “total trihalomethanes” or “TTHM,” “trihalomethane” or “THM,” “two-stage lime softening,” “virus,” and “wholesale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w:t>
      </w:r>
      <w:r>
        <w:rPr>
          <w:rFonts w:ascii="Times New Roman" w:hAnsi="Times New Roman"/>
          <w:b w:val="false"/>
          <w:i w:val="false"/>
          <w:color w:val="000000"/>
          <w:sz w:val="22"/>
        </w:rPr>
        <w:t> </w:t>
      </w:r>
      <w:r>
        <w:rPr>
          <w:rFonts w:ascii="Times New Roman" w:hAnsi="Times New Roman"/>
          <w:b w:val="false"/>
          <w:i/>
          <w:color w:val="000000"/>
          <w:sz w:val="22"/>
        </w:rPr>
        <w:t xml:space="preserve">References and abbreviations.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The abbreviated name of the professional associations and societies whose standards are referenced in this division and the websites where the standards, methods, or guidance documents may be obtained are listed in the following table. Unless otherwise noted in a specific rule of this division, the effective date of the specific standards, editions, or volumes is September 1, 2024.</w:t>
      </w:r>
    </w:p>
    <w:p>
      <w:pPr>
        <w:spacing w:before="60" w:after="0"/>
        <w:ind w:left="120"/>
        <w:jc w:val="center"/>
      </w:pP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840"/>
        <w:gridCol w:w="3840"/>
      </w:tblGrid>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Abbreviated Name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Association/Society Name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Standards/Publications Website</w:t>
            </w:r>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ANSI</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American National Standards Institute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39">
              <w:r>
                <w:rPr>
                  <w:rStyle w:val="Hyperlink"/>
                  <w:rFonts w:ascii="Times New Roman" w:hAnsi="Times New Roman"/>
                  <w:b w:val="false"/>
                  <w:i w:val="false"/>
                  <w:color w:val="000000"/>
                  <w:sz w:val="16"/>
                  <w:u w:val="single"/>
                </w:rPr>
                <w:t>webstore.ansi.org</w:t>
              </w:r>
            </w:hyperlink>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APHA</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American Public Health Association</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0">
              <w:r>
                <w:rPr>
                  <w:rStyle w:val="Hyperlink"/>
                  <w:rFonts w:ascii="Times New Roman" w:hAnsi="Times New Roman"/>
                  <w:b w:val="false"/>
                  <w:i w:val="false"/>
                  <w:color w:val="000000"/>
                  <w:sz w:val="16"/>
                  <w:u w:val="single"/>
                </w:rPr>
                <w:t>www.apha.org</w:t>
              </w:r>
            </w:hyperlink>
          </w:p>
        </w:tc>
      </w:tr>
      <w:tr>
        <w:trPr>
          <w:trHeight w:val="49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API</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American Petroleum Institute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1">
              <w:r>
                <w:rPr>
                  <w:rStyle w:val="Hyperlink"/>
                  <w:rFonts w:ascii="Times New Roman" w:hAnsi="Times New Roman"/>
                  <w:b w:val="false"/>
                  <w:i w:val="false"/>
                  <w:color w:val="000000"/>
                  <w:sz w:val="16"/>
                  <w:u w:val="single"/>
                </w:rPr>
                <w:t>www.api.org/products-and-services/standards</w:t>
              </w:r>
            </w:hyperlink>
          </w:p>
        </w:tc>
      </w:tr>
      <w:tr>
        <w:trPr>
          <w:trHeight w:val="58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ASHRAE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American Society of Heating, Refrigerating and Air-Conditioning Engineers</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2">
              <w:r>
                <w:rPr>
                  <w:rStyle w:val="Hyperlink"/>
                  <w:rFonts w:ascii="Times New Roman" w:hAnsi="Times New Roman"/>
                  <w:b w:val="false"/>
                  <w:i w:val="false"/>
                  <w:color w:val="000000"/>
                  <w:sz w:val="16"/>
                  <w:u w:val="single"/>
                </w:rPr>
                <w:t>www.ashrae.org/technical-resources/standards-and-guidelines</w:t>
              </w:r>
            </w:hyperlink>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ASME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American Society of Mechanical Engineers</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3">
              <w:r>
                <w:rPr>
                  <w:rStyle w:val="Hyperlink"/>
                  <w:rFonts w:ascii="Times New Roman" w:hAnsi="Times New Roman"/>
                  <w:b w:val="false"/>
                  <w:i w:val="false"/>
                  <w:color w:val="000000"/>
                  <w:sz w:val="16"/>
                  <w:u w:val="single"/>
                </w:rPr>
                <w:t>www.asme.org/codes-standards</w:t>
              </w:r>
            </w:hyperlink>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ASTM</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Annual Book of Standards published by ASTM International</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4">
              <w:r>
                <w:rPr>
                  <w:rStyle w:val="Hyperlink"/>
                  <w:rFonts w:ascii="Times New Roman" w:hAnsi="Times New Roman"/>
                  <w:b w:val="false"/>
                  <w:i w:val="false"/>
                  <w:color w:val="000000"/>
                  <w:sz w:val="16"/>
                  <w:u w:val="single"/>
                </w:rPr>
                <w:t>www.astm.org/products-services/standards-and-publications.html</w:t>
              </w:r>
            </w:hyperlink>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AWS</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American Welding Society</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5">
              <w:r>
                <w:rPr>
                  <w:rStyle w:val="Hyperlink"/>
                  <w:rFonts w:ascii="Times New Roman" w:hAnsi="Times New Roman"/>
                  <w:b w:val="false"/>
                  <w:i w:val="false"/>
                  <w:color w:val="000000"/>
                  <w:sz w:val="16"/>
                  <w:u w:val="single"/>
                </w:rPr>
                <w:t>www.aws.org/Standards-and-Publications</w:t>
              </w:r>
            </w:hyperlink>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AWWA</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American Water Works Association</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6">
              <w:r>
                <w:rPr>
                  <w:rStyle w:val="Hyperlink"/>
                  <w:rFonts w:ascii="Times New Roman" w:hAnsi="Times New Roman"/>
                  <w:b w:val="false"/>
                  <w:i w:val="false"/>
                  <w:color w:val="000000"/>
                  <w:sz w:val="16"/>
                  <w:u w:val="single"/>
                </w:rPr>
                <w:t>www.awwa.org/Publications/Standards</w:t>
              </w:r>
            </w:hyperlink>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DOT</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department of transportation</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7">
              <w:r>
                <w:rPr>
                  <w:rStyle w:val="Hyperlink"/>
                  <w:rFonts w:ascii="Times New Roman" w:hAnsi="Times New Roman"/>
                  <w:b w:val="false"/>
                  <w:i w:val="false"/>
                  <w:color w:val="000000"/>
                  <w:sz w:val="16"/>
                  <w:u w:val="single"/>
                </w:rPr>
                <w:t>iowadot.gov/specifications</w:t>
              </w:r>
            </w:hyperlink>
          </w:p>
        </w:tc>
      </w:tr>
      <w:tr>
        <w:trPr>
          <w:trHeight w:val="76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NACE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National Association of Corrosion Engineers International, part of the Association for Materials Protection and Performance (AMPP)</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8">
              <w:r>
                <w:rPr>
                  <w:rStyle w:val="Hyperlink"/>
                  <w:rFonts w:ascii="Times New Roman" w:hAnsi="Times New Roman"/>
                  <w:b w:val="false"/>
                  <w:i w:val="false"/>
                  <w:color w:val="000000"/>
                  <w:sz w:val="16"/>
                  <w:u w:val="single"/>
                </w:rPr>
                <w:t>www.ampp.org/standards/ampp-standards/about-ampp-standards</w:t>
              </w:r>
            </w:hyperlink>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NARA</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National Archives and Records Administration</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49">
              <w:r>
                <w:rPr>
                  <w:rStyle w:val="Hyperlink"/>
                  <w:rFonts w:ascii="Times New Roman" w:hAnsi="Times New Roman"/>
                  <w:b w:val="false"/>
                  <w:i w:val="false"/>
                  <w:color w:val="000000"/>
                  <w:sz w:val="16"/>
                  <w:u w:val="single"/>
                </w:rPr>
                <w:t>www.archives.gov</w:t>
              </w:r>
            </w:hyperlink>
          </w:p>
        </w:tc>
      </w:tr>
      <w:tr>
        <w:trPr>
          <w:trHeight w:val="76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NEC</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National Electrical Code, part of the National Fire Codes published by the National Fire Protection Association (NFPA)</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50">
              <w:r>
                <w:rPr>
                  <w:rStyle w:val="Hyperlink"/>
                  <w:rFonts w:ascii="Times New Roman" w:hAnsi="Times New Roman"/>
                  <w:b w:val="false"/>
                  <w:i w:val="false"/>
                  <w:color w:val="000000"/>
                  <w:sz w:val="16"/>
                  <w:u w:val="single"/>
                </w:rPr>
                <w:t>www.nfpa.org</w:t>
              </w:r>
            </w:hyperlink>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NEMI</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National Environmental Methods Index</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51">
              <w:r>
                <w:rPr>
                  <w:rStyle w:val="Hyperlink"/>
                  <w:rFonts w:ascii="Times New Roman" w:hAnsi="Times New Roman"/>
                  <w:b w:val="false"/>
                  <w:i w:val="false"/>
                  <w:color w:val="000000"/>
                  <w:sz w:val="16"/>
                  <w:u w:val="single"/>
                </w:rPr>
                <w:t>www.nemi.gov</w:t>
              </w:r>
            </w:hyperlink>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NGWA</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National Ground Water Association</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52">
              <w:r>
                <w:rPr>
                  <w:rStyle w:val="Hyperlink"/>
                  <w:rFonts w:ascii="Times New Roman" w:hAnsi="Times New Roman"/>
                  <w:b w:val="false"/>
                  <w:i w:val="false"/>
                  <w:color w:val="000000"/>
                  <w:sz w:val="16"/>
                  <w:u w:val="single"/>
                </w:rPr>
                <w:t>www.ngwa.org/publications-and-news/industry-resource-library</w:t>
              </w:r>
            </w:hyperlink>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NSF</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National Sanitation Foundation</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53">
              <w:r>
                <w:rPr>
                  <w:rStyle w:val="Hyperlink"/>
                  <w:rFonts w:ascii="Times New Roman" w:hAnsi="Times New Roman"/>
                  <w:b w:val="false"/>
                  <w:i w:val="false"/>
                  <w:color w:val="000000"/>
                  <w:sz w:val="16"/>
                  <w:u w:val="single"/>
                </w:rPr>
                <w:t>www.nsf.org/nsf-standards</w:t>
              </w:r>
            </w:hyperlink>
          </w:p>
        </w:tc>
      </w:tr>
      <w:tr>
        <w:trPr>
          <w:trHeight w:val="58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NTIS</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National Technical Information Service, a bureau of the U.S. Department of Commerce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54">
              <w:r>
                <w:rPr>
                  <w:rStyle w:val="Hyperlink"/>
                  <w:rFonts w:ascii="Times New Roman" w:hAnsi="Times New Roman"/>
                  <w:b w:val="false"/>
                  <w:i w:val="false"/>
                  <w:color w:val="000000"/>
                  <w:sz w:val="16"/>
                  <w:u w:val="single"/>
                </w:rPr>
                <w:t>www.ntis.gov</w:t>
              </w:r>
            </w:hyperlink>
          </w:p>
        </w:tc>
      </w:tr>
      <w:tr>
        <w:trPr>
          <w:trHeight w:val="11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 Methods, SM, or SM Online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 Methods for the Examination of Water and Wastewater, published by the American Public Health Association (APHA), American Water Works Association (AWWA), and Water Environment Federation (WEF)</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55">
              <w:r>
                <w:rPr>
                  <w:rStyle w:val="Hyperlink"/>
                  <w:rFonts w:ascii="Times New Roman" w:hAnsi="Times New Roman"/>
                  <w:b w:val="false"/>
                  <w:i w:val="false"/>
                  <w:color w:val="000000"/>
                  <w:sz w:val="16"/>
                  <w:u w:val="single"/>
                </w:rPr>
                <w:t>www.standardmethods.org</w:t>
              </w:r>
            </w:hyperlink>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USGS</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United States Geological Survey</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56">
              <w:r>
                <w:rPr>
                  <w:rStyle w:val="Hyperlink"/>
                  <w:rFonts w:ascii="Times New Roman" w:hAnsi="Times New Roman"/>
                  <w:b w:val="false"/>
                  <w:i w:val="false"/>
                  <w:color w:val="000000"/>
                  <w:sz w:val="16"/>
                  <w:u w:val="single"/>
                </w:rPr>
                <w:t>www.usgs.gov</w:t>
              </w:r>
            </w:hyperlink>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WSC</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Systems Council</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hyperlink r:id="rId57">
              <w:r>
                <w:rPr>
                  <w:rStyle w:val="Hyperlink"/>
                  <w:rFonts w:ascii="Times New Roman" w:hAnsi="Times New Roman"/>
                  <w:b w:val="false"/>
                  <w:i w:val="false"/>
                  <w:color w:val="000000"/>
                  <w:sz w:val="16"/>
                  <w:u w:val="single"/>
                </w:rPr>
                <w:t>www.watersystemscouncil.org/resources/well-standards</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 xml:space="preserve">In addition to the abbreviations listed in the definitions in </w:t>
      </w:r>
      <w:r>
        <w:rPr>
          <w:rFonts w:ascii="Times New Roman" w:hAnsi="Times New Roman"/>
          <w:b w:val="false"/>
          <w:i w:val="false"/>
          <w:color w:val="000000"/>
          <w:sz w:val="22"/>
        </w:rPr>
        <w:t>40.2(1)</w:t>
      </w:r>
      <w:r>
        <w:rPr>
          <w:rFonts w:ascii="Times New Roman" w:hAnsi="Times New Roman"/>
          <w:b w:val="false"/>
          <w:i w:val="false"/>
          <w:color w:val="000000"/>
          <w:sz w:val="22"/>
        </w:rPr>
        <w:t>, the following abbreviations are used in this division.</w:t>
      </w:r>
    </w:p>
    <w:p>
      <w:pPr>
        <w:spacing w:before="60" w:after="0"/>
        <w:ind w:left="120"/>
        <w:jc w:val="center"/>
      </w:pP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60"/>
        <w:gridCol w:w="7660"/>
      </w:tblGrid>
      <w:tr>
        <w:trPr>
          <w:trHeight w:val="225"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Abbreviation</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Meaning</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ALE</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action level exceedance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ASR</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aquifer storage and recovery</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CCR</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consumer confidence report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CCT</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corrosion control treatment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CDC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Centers for Disease Control and Prevention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CEU</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continuing education unit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DBP</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disinfection byproduct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DIT</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direct integrity test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dissolved organic carbon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direct responsible charge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 Environmental Protection Agency</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FDA</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 Food and Drug Administration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ft</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foot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granular activated carbon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GW</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groundwater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HAA</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haloacetic acids</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health advisory level</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HPC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heterotrophic plate count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ID</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identification (number)</w:t>
            </w:r>
          </w:p>
        </w:tc>
      </w:tr>
      <w:tr>
        <w:trPr>
          <w:trHeight w:val="24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IDSE</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initial distribution system evaluation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IFA</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finance authority</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IGS</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geological survey</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inorganic chemical</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IWFDS</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Wastewater Facilities Design Standards</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LRV</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log removal value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LSLR</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 service line replacement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MDL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method detection limit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μg/L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microgram per liter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milligram per liter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milliliter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mm</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millimeter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operating report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mrem</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1/1000 of a rem</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MRT</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residence time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MS</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matrix spike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NRCS</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Natural Resources Conservation Service (part of the U.S. Department of Agriculture)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NTU</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nephelometric turbidity units</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O&amp;M</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operation and maintenance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optimal corrosion control</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OCCT</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optimal corrosion control treatment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OEL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operational evaluation level</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OWQP</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optimal water quality parameter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OXID</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oxidation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presence-absence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powdered activated carbon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PCB</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polychlorinated biphenyl</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pCi/L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picocuries per liter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education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PN</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notice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PQL</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practical quantification level</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psi</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pounds per square inch</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PTA</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packed tower aeration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PVC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polyvinyl chloride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QCRV</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quality control release value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RAA</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running annual average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RDC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residual disinfectant concentration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(as in schedule 40 rating)</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separation distance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SDR</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dimension ratio</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source/entry point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SMP</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monitoring plan</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SMR</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self-monitoring requirement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synthetic organic chemical</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SRF</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revolving fund (see DWSRF)</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 water/influenced groundwater</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residual chlorine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United States Code</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URTH</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unacceptable risk to health</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UV</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ultraviolet</w:t>
            </w:r>
          </w:p>
        </w:tc>
      </w:tr>
      <w:tr>
        <w:trPr>
          <w:trHeight w:val="210"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VOC</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volatile organic chemical</w:t>
            </w:r>
          </w:p>
        </w:tc>
      </w:tr>
      <w:tr>
        <w:trPr>
          <w:trHeight w:val="225"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WCP</w:t>
            </w:r>
          </w:p>
        </w:tc>
        <w:tc>
          <w:tcPr>
            <w:tcW w:w="7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watershed control program</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567—40.3</w:t>
      </w:r>
      <w:r>
        <w:rPr>
          <w:rFonts w:ascii="Times New Roman" w:hAnsi="Times New Roman"/>
          <w:b/>
          <w:i w:val="false"/>
          <w:color w:val="000000"/>
          <w:sz w:val="22"/>
        </w:rPr>
        <w:t xml:space="preserve">(17A,455B)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All forms used by the public to apply for department approvals and to report on activities related to the department’s public water supply program may be obtained on the department’s website at </w:t>
      </w:r>
      <w:hyperlink r:id="rId58">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or upon request. Properly completed forms shall be submitted to the department as noted in the form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 forms. </w:t>
      </w:r>
      <w:r>
        <w:rPr>
          <w:rFonts w:ascii="Times New Roman" w:hAnsi="Times New Roman"/>
          <w:b w:val="false"/>
          <w:i w:val="false"/>
          <w:color w:val="000000"/>
          <w:sz w:val="22"/>
        </w:rPr>
        <w:t xml:space="preserve">The required public water supply construction permit application forms (also known as schedules) and other forms are listed below. </w:t>
      </w:r>
    </w:p>
    <w:p>
      <w:pPr>
        <w:spacing w:before="60" w:after="0"/>
        <w:ind w:left="120"/>
        <w:jc w:val="center"/>
      </w:pP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2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Schedule No.</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Form Name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Form Number</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Supply Service Agreement</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542-3121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1a</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 Information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542-3178</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1b</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Minor Water Main Construction Permit</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542-3151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1c</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Calculations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542-3179</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2a</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Mains, General</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542-3030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2b</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Mains, Specifications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542-3031</w:t>
            </w:r>
          </w:p>
        </w:tc>
      </w:tr>
      <w:tr>
        <w:trPr>
          <w:trHeight w:val="39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2c</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Notification of Minor Water Main Construction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542-3152</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3a</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System, Design Capacity Data</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542-3032</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3b</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 Information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542-3029</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3c</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Quality Data</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542-3028</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Approval</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542-3078</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5a</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Well Construction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542-3027</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5b</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Well Appurtenances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542-3026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5c</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Well Profile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542-3077</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5d</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 Water Supply</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542-3139</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6a</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Distribution Water Storage Facilities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542-3140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Schematic Flow Diagram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542-3142</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Aeration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542-3143</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Clarification-Sedimentation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542-3144</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Suspended Solids Contact</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542-3145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Exchange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542-3146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Filters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542-3147</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13a</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 Addition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542-3241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13b</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Dry Chemical Addition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13c</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Gas Chlorination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13d</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Fluoridation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542-3132</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13e</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Sampling and Testing</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542-3133</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Pumping Station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542-3134</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Storage Facilities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16a</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Wastewater General</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16b</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Waste Treatment Ponds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542-3137</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16c</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Filtration and Mechanical</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542-3138</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16d</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to Sewer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542-3103</w:t>
            </w:r>
          </w:p>
        </w:tc>
      </w:tr>
      <w:tr>
        <w:trPr>
          <w:trHeight w:val="39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Notification of Completion of Construction</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542-3019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and public water supply forms. </w:t>
      </w:r>
      <w:r>
        <w:rPr>
          <w:rFonts w:ascii="Times New Roman" w:hAnsi="Times New Roman"/>
          <w:b w:val="false"/>
          <w:i w:val="false"/>
          <w:color w:val="000000"/>
          <w:sz w:val="22"/>
        </w:rPr>
        <w:t>The required public water supply sampling forms and the operation permit application and monthly operating report (MOR) forms are available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567—40.4</w:t>
      </w:r>
      <w:r>
        <w:rPr>
          <w:rFonts w:ascii="Times New Roman" w:hAnsi="Times New Roman"/>
          <w:b/>
          <w:i w:val="false"/>
          <w:color w:val="000000"/>
          <w:sz w:val="22"/>
        </w:rPr>
        <w:t xml:space="preserve">(17A,455B) </w:t>
      </w:r>
      <w:r>
        <w:rPr>
          <w:rFonts w:ascii="Times New Roman" w:hAnsi="Times New Roman"/>
          <w:b/>
          <w:i w:val="false"/>
          <w:color w:val="000000"/>
          <w:sz w:val="22"/>
        </w:rPr>
        <w:t xml:space="preserve">PWS construction permit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r>
        <w:rPr>
          <w:rFonts w:ascii="Times New Roman" w:hAnsi="Times New Roman"/>
          <w:b w:val="false"/>
          <w:i w:val="false"/>
          <w:color w:val="000000"/>
          <w:sz w:val="22"/>
        </w:rPr>
        <w:t xml:space="preserve">Applications for written department approval for any new construction or for reconstruction pursuant to </w:t>
      </w:r>
      <w:hyperlink r:id="rId59">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shall consist of complete plans and specifications, an application fee, and appropriate water supply construction permit application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review a construction permit application and issue a construction permit for project approval if the review shows that a project meets all construction standards, in accordance with </w:t>
      </w:r>
      <w:hyperlink r:id="rId60">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Projects that do not meet all construction standards will not be approved unless a waiver pursuant to </w:t>
      </w:r>
      <w:hyperlink r:id="rId61">
        <w:r>
          <w:rPr>
            <w:rStyle w:val="Hyperlink"/>
            <w:rFonts w:ascii="Times New Roman" w:hAnsi="Times New Roman"/>
            <w:b w:val="false"/>
            <w:i w:val="false"/>
            <w:color w:val="000000"/>
            <w:sz w:val="22"/>
          </w:rPr>
          <w:t>567—paragraph 43.3(2)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granted. A waiver may be requested when plans and specifications are submitted or after a design discrepancy is pointed out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review project plans and specifications and provide comments or recommendations to the applicant. Departmental comments and recommendations are advisory, except when departmental review determines that a facility does not comply with department-approved plans or specifications or the construction standards, pursuant to the criteria for project design certification. The system owner must correct any deficiencies in a timely manner, as set forth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color w:val="000000"/>
          <w:sz w:val="22"/>
        </w:rPr>
        <w:t xml:space="preserve">Site survey. </w:t>
      </w:r>
      <w:r>
        <w:rPr>
          <w:rFonts w:ascii="Times New Roman" w:hAnsi="Times New Roman"/>
          <w:b w:val="false"/>
          <w:i w:val="false"/>
          <w:color w:val="000000"/>
          <w:sz w:val="22"/>
        </w:rPr>
        <w:t xml:space="preserve">For public water sources and for below-ground level finished water storage facilities, a site survey and approval must be made by the department. The manner and procedures for applying for and processing a site survey are the same as in </w:t>
      </w:r>
      <w:hyperlink r:id="rId62">
        <w:r>
          <w:rPr>
            <w:rStyle w:val="Hyperlink"/>
            <w:rFonts w:ascii="Times New Roman" w:hAnsi="Times New Roman"/>
            <w:b w:val="false"/>
            <w:i w:val="false"/>
            <w:color w:val="000000"/>
            <w:sz w:val="22"/>
          </w:rPr>
          <w:t>40.4(1)</w:t>
        </w:r>
      </w:hyperlink>
      <w:r>
        <w:rPr>
          <w:rFonts w:ascii="Times New Roman" w:hAnsi="Times New Roman"/>
          <w:b w:val="false"/>
          <w:i w:val="false"/>
          <w:color w:val="000000"/>
          <w:sz w:val="22"/>
        </w:rPr>
        <w:t>, except that the following information must be submitted by the applicant’s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preliminary engineering report or cover letter containing a brief description of the proposed source or storage facility and assurance that the project is in conformance with the long-range planning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Schedules 1a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map showing all potential sources of contamination (</w:t>
      </w:r>
      <w:hyperlink r:id="rId63">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Table A, contains more information) within: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1,000 feet of a proposed well location, with a scale no smaller than one inch = 200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200 feet of a proposed below-ground level finished water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2,500 feet from a proposed surface water source, with a scale no smaller than one inch = 660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2,500 feet from an impoundment (within the drainage area), with a scale no smaller than one inch = 660 feet;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Six miles upstream of a proposed river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w:t>
      </w:r>
      <w:r>
        <w:rPr>
          <w:rFonts w:ascii="Times New Roman" w:hAnsi="Times New Roman"/>
          <w:b w:val="false"/>
          <w:i w:val="false"/>
          <w:color w:val="000000"/>
          <w:sz w:val="22"/>
        </w:rPr>
        <w:t> </w:t>
      </w:r>
      <w:r>
        <w:rPr>
          <w:rFonts w:ascii="Times New Roman" w:hAnsi="Times New Roman"/>
          <w:b w:val="false"/>
          <w:i/>
          <w:color w:val="000000"/>
          <w:sz w:val="22"/>
        </w:rPr>
        <w:t xml:space="preserve">Modifications of an approved construction project. </w:t>
      </w:r>
      <w:r>
        <w:rPr>
          <w:rFonts w:ascii="Times New Roman" w:hAnsi="Times New Roman"/>
          <w:b w:val="false"/>
          <w:i w:val="false"/>
          <w:color w:val="000000"/>
          <w:sz w:val="22"/>
        </w:rPr>
        <w:t>Persons seeking to modify a water supply construction project after receiving a construction permit from the department shall submit the appropriate fee and either an addendum to plans and specifications, a change order, or revised plans and specifications at least 30 days prior to the planned modification. The department shall review the submitted material within 30 days of submission and shall issue a supplemental permit if the proposed modifications meet department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project design. </w:t>
      </w:r>
      <w:r>
        <w:rPr>
          <w:rFonts w:ascii="Times New Roman" w:hAnsi="Times New Roman"/>
          <w:b w:val="false"/>
          <w:i w:val="false"/>
          <w:color w:val="000000"/>
          <w:sz w:val="22"/>
        </w:rPr>
        <w:t>A permit shall be issued for the construction, installation, or modification of a PWS or for a water supply distribution system extension if a qualified, licensed professional engineer certifies that the plans and specifications comply with federal and state laws and regulations or that a waiver to standards has been granted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567—40.5</w:t>
      </w:r>
      <w:r>
        <w:rPr>
          <w:rFonts w:ascii="Times New Roman" w:hAnsi="Times New Roman"/>
          <w:b/>
          <w:i w:val="false"/>
          <w:color w:val="000000"/>
          <w:sz w:val="22"/>
        </w:rPr>
        <w:t xml:space="preserve">(455B) </w:t>
      </w:r>
      <w:r>
        <w:rPr>
          <w:rFonts w:ascii="Times New Roman" w:hAnsi="Times New Roman"/>
          <w:b/>
          <w:i w:val="false"/>
          <w:color w:val="000000"/>
          <w:sz w:val="22"/>
        </w:rPr>
        <w:t xml:space="preserve">Public notice (PN).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Each owner or operator of a public water supply system (PWS) must give notice for all violations of public drinking water rules and for other situations, as listed in this subrule. The term “violations” includes violations of, or failure to comply with, the maximum contaminant level (MCL), maximum residual disinfection level (MRDL), treatment technique (TT), monitoring requirements, and testing procedures in 567—Chapters </w:t>
      </w:r>
      <w:hyperlink r:id="rId64">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The term “other situations” includes all situations determined by the department to require a PN, including the violations and situations listed in </w:t>
      </w:r>
      <w:hyperlink r:id="rId67">
        <w:r>
          <w:rPr>
            <w:rStyle w:val="Hyperlink"/>
            <w:rFonts w:ascii="Times New Roman" w:hAnsi="Times New Roman"/>
            <w:b w:val="false"/>
            <w:i w:val="false"/>
            <w:color w:val="000000"/>
            <w:sz w:val="22"/>
          </w:rPr>
          <w:t>40.5(2)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40.5(3)</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40.5(4)</w:t>
        </w:r>
      </w:hyperlink>
      <w:r>
        <w:rPr>
          <w:rFonts w:ascii="Times New Roman" w:hAnsi="Times New Roman"/>
          <w:b w:val="false"/>
          <w:i w:val="false"/>
          <w:color w:val="000000"/>
          <w:sz w:val="22"/>
        </w:rPr>
        <w:t xml:space="preserve">, and any other situation where the department determines that PN is needed. PN is not required for ammonia monitoring conducted pursuant to </w:t>
      </w:r>
      <w:hyperlink r:id="rId70">
        <w:r>
          <w:rPr>
            <w:rStyle w:val="Hyperlink"/>
            <w:rFonts w:ascii="Times New Roman" w:hAnsi="Times New Roman"/>
            <w:b w:val="false"/>
            <w:i w:val="false"/>
            <w:color w:val="000000"/>
            <w:sz w:val="22"/>
          </w:rPr>
          <w:t>567—subrule 41.11(2)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PN tiers. </w:t>
      </w:r>
      <w:r>
        <w:rPr>
          <w:rFonts w:ascii="Times New Roman" w:hAnsi="Times New Roman"/>
          <w:b w:val="false"/>
          <w:i w:val="false"/>
          <w:color w:val="000000"/>
          <w:sz w:val="22"/>
        </w:rPr>
        <w:t>PN requirements are divided into three tiers to account for the seriousness of a violation or situation and of any potential adverse health effects that may be involved. The PN requirements for each violation or situation are determined by the tier to which it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Tier 1 PN is required for all drinking water violations and situations with significant potential to have serious adverse effects on human health as a result of short-term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Tier 2 PN is required for all other drinking water violations and situations with potential to have serious adverse effects on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Tier 3 PN is required for all other drinking water violations and situations not included in Tier 1 or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PN requirements. </w:t>
      </w:r>
      <w:r>
        <w:rPr>
          <w:rFonts w:ascii="Times New Roman" w:hAnsi="Times New Roman"/>
          <w:b w:val="false"/>
          <w:i w:val="false"/>
          <w:color w:val="000000"/>
          <w:sz w:val="22"/>
        </w:rPr>
        <w:t xml:space="preserve">Each PWS must provide PN to persons served by the system, in accordance with this rule. A copy of the notice must also be sent to the department, in accordance with </w:t>
      </w:r>
      <w:hyperlink r:id="rId71">
        <w:r>
          <w:rPr>
            <w:rStyle w:val="Hyperlink"/>
            <w:rFonts w:ascii="Times New Roman" w:hAnsi="Times New Roman"/>
            <w:b w:val="false"/>
            <w:i w:val="false"/>
            <w:color w:val="000000"/>
            <w:sz w:val="22"/>
          </w:rPr>
          <w:t>40.8(1)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Consecutive systems. PWSs that sell or otherwise provide drinking water to other PWS (i.e., to consecutive systems) are required to provide PN to the owner or operator of the consecutive system. The consecutive system is responsible for providing PN to the persons it serves and must meet the appropriate tier requirements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Physically or hydraulically isolated distribution systems. If a PWS has a violation in a portion of the distribution system that is physically or hydraulically isolated from other parts of the distribution system, the department may allow the system to limit distribution of the PN only to persons served by that portion of the system that is out of compliance. Department permission to limit distribution of the notice must be granted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color w:val="000000"/>
          <w:sz w:val="22"/>
        </w:rPr>
        <w:t xml:space="preserve">Tier 1 PN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Tier 1 PN—when required. </w:t>
      </w:r>
      <w:r>
        <w:rPr>
          <w:rFonts w:ascii="Times New Roman" w:hAnsi="Times New Roman"/>
          <w:b w:val="false"/>
          <w:i w:val="false"/>
          <w:color w:val="000000"/>
          <w:sz w:val="22"/>
        </w:rPr>
        <w:t>The following violations or situations require Tier 1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w:t>
      </w:r>
      <w:r>
        <w:rPr>
          <w:rFonts w:ascii="Times New Roman" w:hAnsi="Times New Roman"/>
          <w:b w:val="false"/>
          <w:i/>
          <w:color w:val="000000"/>
          <w:sz w:val="22"/>
        </w:rPr>
        <w:t>E. coli</w:t>
      </w:r>
      <w:r>
        <w:rPr>
          <w:rFonts w:ascii="Times New Roman" w:hAnsi="Times New Roman"/>
          <w:b w:val="false"/>
          <w:i w:val="false"/>
          <w:color w:val="000000"/>
          <w:sz w:val="22"/>
        </w:rPr>
        <w:t xml:space="preserve"> MCL, as specified in </w:t>
      </w:r>
      <w:hyperlink r:id="rId72">
        <w:r>
          <w:rPr>
            <w:rStyle w:val="Hyperlink"/>
            <w:rFonts w:ascii="Times New Roman" w:hAnsi="Times New Roman"/>
            <w:b w:val="false"/>
            <w:i w:val="false"/>
            <w:color w:val="000000"/>
            <w:sz w:val="22"/>
          </w:rPr>
          <w:t>567—paragraph 41.2(1)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either the nitrate or nitrite MCL, as defined in </w:t>
      </w:r>
      <w:hyperlink r:id="rId73">
        <w:r>
          <w:rPr>
            <w:rStyle w:val="Hyperlink"/>
            <w:rFonts w:ascii="Times New Roman" w:hAnsi="Times New Roman"/>
            <w:b w:val="false"/>
            <w:i w:val="false"/>
            <w:color w:val="000000"/>
            <w:sz w:val="22"/>
          </w:rPr>
          <w:t>567—subparagraph 41.3(1)</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the system to collect a confirmation sample within 24 hours of its receipt of the first sample result showing a nitrate or nitrite MCL exceedance, when directed by the department, as specified in </w:t>
      </w:r>
      <w:hyperlink r:id="rId74">
        <w:r>
          <w:rPr>
            <w:rStyle w:val="Hyperlink"/>
            <w:rFonts w:ascii="Times New Roman" w:hAnsi="Times New Roman"/>
            <w:b w:val="false"/>
            <w:i w:val="false"/>
            <w:color w:val="000000"/>
            <w:sz w:val="22"/>
          </w:rPr>
          <w:t>567—paragraph 41.3(1)</w:t>
        </w:r>
      </w:hyperlink>
      <w:r>
        <w:rPr>
          <w:rFonts w:ascii="Times New Roman" w:hAnsi="Times New Roman"/>
          <w:b w:val="false"/>
          <w:i/>
          <w:color w:val="000000"/>
          <w:sz w:val="22"/>
        </w:rPr>
        <w:t>“c”</w:t>
      </w:r>
      <w:r>
        <w:rPr>
          <w:rFonts w:ascii="Times New Roman" w:hAnsi="Times New Roman"/>
          <w:b w:val="false"/>
          <w:i w:val="false"/>
          <w:color w:val="000000"/>
          <w:sz w:val="22"/>
        </w:rPr>
        <w:t>(7)“2.”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Exceedance of the nitrate MCL by NCWSs, where permitted to exceed the MCL by the department under </w:t>
      </w:r>
      <w:hyperlink r:id="rId75">
        <w:r>
          <w:rPr>
            <w:rStyle w:val="Hyperlink"/>
            <w:rFonts w:ascii="Times New Roman" w:hAnsi="Times New Roman"/>
            <w:b w:val="false"/>
            <w:i w:val="false"/>
            <w:color w:val="000000"/>
            <w:sz w:val="22"/>
          </w:rPr>
          <w:t>567—paragraph 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as required in </w:t>
      </w:r>
      <w:hyperlink r:id="rId76">
        <w:r>
          <w:rPr>
            <w:rStyle w:val="Hyperlink"/>
            <w:rFonts w:ascii="Times New Roman" w:hAnsi="Times New Roman"/>
            <w:b w:val="false"/>
            <w:i w:val="false"/>
            <w:color w:val="000000"/>
            <w:sz w:val="22"/>
          </w:rPr>
          <w:t>40.5(7)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chlorine dioxide MRDL when one or more samples, taken in the distribution system on the day following an MRDL exceedance in the sample collected at the entrance to the distribution system, exceeds the MRDL, as defined in </w:t>
      </w:r>
      <w:hyperlink r:id="rId77">
        <w:r>
          <w:rPr>
            <w:rStyle w:val="Hyperlink"/>
            <w:rFonts w:ascii="Times New Roman" w:hAnsi="Times New Roman"/>
            <w:b w:val="false"/>
            <w:i w:val="false"/>
            <w:color w:val="000000"/>
            <w:sz w:val="22"/>
          </w:rPr>
          <w:t>567—paragraph 43.6(1)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by the system to collect the required chlorine dioxide samples in the distribution system on the day following an MRDL exceedance in the sample collected at the entrance to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TT requirement by a surface water (SW) or influenced groundwater (IGW) PWS resulting from an exceedance of the maximum allowable turbidity limit, as specified in </w:t>
      </w:r>
      <w:hyperlink r:id="rId78">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where the department determines, after consultation with the system, that a Tier 1 PN is required or where the department consultation does not take place within 24 hours after the system learns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Occurrence of a waterborne disease outbreak or other waterborne emergency, such as a failure or significant interruption in key water treatment processes, a natural disaster disrupting the water supply or distribution system, or a chemical spill or unexpected loading of possible pathogens into the source water that significantly increases the potential for drinking water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violations or situations with significant potential to have serious adverse effects on human health as a result of short-term exposure, as determined by the department either in its rules or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Detection of </w:t>
      </w:r>
      <w:r>
        <w:rPr>
          <w:rFonts w:ascii="Times New Roman" w:hAnsi="Times New Roman"/>
          <w:b w:val="false"/>
          <w:i/>
          <w:color w:val="000000"/>
          <w:sz w:val="22"/>
        </w:rPr>
        <w:t>E. coli</w:t>
      </w:r>
      <w:r>
        <w:rPr>
          <w:rFonts w:ascii="Times New Roman" w:hAnsi="Times New Roman"/>
          <w:b w:val="false"/>
          <w:i w:val="false"/>
          <w:color w:val="000000"/>
          <w:sz w:val="22"/>
        </w:rPr>
        <w:t xml:space="preserve">, enterococci, or coliphage in source water samples, as specified in 567—paragraphs </w:t>
      </w:r>
      <w:hyperlink r:id="rId79">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Tier 1 PN—timing. </w:t>
      </w:r>
      <w:r>
        <w:rPr>
          <w:rFonts w:ascii="Times New Roman" w:hAnsi="Times New Roman"/>
          <w:b w:val="false"/>
          <w:i w:val="false"/>
          <w:color w:val="000000"/>
          <w:sz w:val="22"/>
        </w:rPr>
        <w:t>PWSs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PN as soon as practical but no later than 24 hours after learning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Initiate consultation with the department as soon as practical, but no later than 24 hours after learning of the violation or situation, to determine additional PN requirements. For consultation after normal business hours, use the department’s Environmental Emergency Reporting Hotline, 515.725.8694;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any additional PN requirements established as a result of department consultation. Additional requirements may include the timing, form, manner, frequency, and content of repeat PNs (if any) and other actions designed to reach all persons served. </w:t>
      </w:r>
    </w:p>
    <w:p>
      <w:pPr>
        <w:spacing w:before="0" w:after="0"/>
        <w:ind w:left="120"/>
        <w:jc w:val="both"/>
      </w:pPr>
      <w:r>
        <w:rPr>
          <w:rFonts w:ascii="Times New Roman" w:hAnsi="Times New Roman"/>
          <w:b w:val="false"/>
          <w:i w:val="false"/>
          <w:color w:val="000000"/>
          <w:sz w:val="22"/>
        </w:rPr>
        <w:t xml:space="preserve">All NTNCs must notify the parent or legal guardian of each child under 18 years of age and any nursing home resident of the Tier 1 violation as soon as possible and within 72 hours, including the PN content in </w:t>
      </w:r>
      <w:hyperlink r:id="rId80">
        <w:r>
          <w:rPr>
            <w:rStyle w:val="Hyperlink"/>
            <w:rFonts w:ascii="Times New Roman" w:hAnsi="Times New Roman"/>
            <w:b w:val="false"/>
            <w:i w:val="false"/>
            <w:color w:val="000000"/>
            <w:sz w:val="22"/>
          </w:rPr>
          <w:t>40.5(5)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Tier 1 PN—form and manner. </w:t>
      </w:r>
      <w:r>
        <w:rPr>
          <w:rFonts w:ascii="Times New Roman" w:hAnsi="Times New Roman"/>
          <w:b w:val="false"/>
          <w:i w:val="false"/>
          <w:color w:val="000000"/>
          <w:sz w:val="22"/>
        </w:rPr>
        <w:t>PWSs must provide PN within 24 hours in a form and manner reasonably calculated to reach all persons served. The form and manner used must fit the specific situation and must be designed to reach residential, transient, and nontransient users of the system. To reach all persons served, systems shall use one or more of the following forms of delivery. The department may require multiple forms of delivery in specific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broadcast media, such as radio or television;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Posting of the PN in conspicuous locations throughout the area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Hand delivery of the PN to persons served;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delivery method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w:t>
      </w:r>
      <w:r>
        <w:rPr>
          <w:rFonts w:ascii="Times New Roman" w:hAnsi="Times New Roman"/>
          <w:b w:val="false"/>
          <w:i w:val="false"/>
          <w:color w:val="000000"/>
          <w:sz w:val="22"/>
        </w:rPr>
        <w:t> </w:t>
      </w:r>
      <w:r>
        <w:rPr>
          <w:rFonts w:ascii="Times New Roman" w:hAnsi="Times New Roman"/>
          <w:b w:val="false"/>
          <w:i/>
          <w:color w:val="000000"/>
          <w:sz w:val="22"/>
        </w:rPr>
        <w:t xml:space="preserve">Tier 2 PN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Tier 2 PN—when required. </w:t>
      </w:r>
      <w:r>
        <w:rPr>
          <w:rFonts w:ascii="Times New Roman" w:hAnsi="Times New Roman"/>
          <w:b w:val="false"/>
          <w:i w:val="false"/>
          <w:color w:val="000000"/>
          <w:sz w:val="22"/>
        </w:rPr>
        <w:t>The following violations or situations require Tier 2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violations of the MCL, MRDL, and TT requirements, except where a Tier 1 PN is required under </w:t>
      </w:r>
      <w:hyperlink r:id="rId81">
        <w:r>
          <w:rPr>
            <w:rStyle w:val="Hyperlink"/>
            <w:rFonts w:ascii="Times New Roman" w:hAnsi="Times New Roman"/>
            <w:b w:val="false"/>
            <w:i w:val="false"/>
            <w:color w:val="000000"/>
            <w:sz w:val="22"/>
          </w:rPr>
          <w:t>40.5(2)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Violations of the monitoring and testing procedure requirements, where the department determines that a Tier 2 rather than a Tier 3 PN is required, accounting for potential health impacts and persistence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compliance schedule in an operation permit, administrative order, or court order pursuant to </w:t>
      </w:r>
      <w:hyperlink r:id="rId82">
        <w:r>
          <w:rPr>
            <w:rStyle w:val="Hyperlink"/>
            <w:rFonts w:ascii="Times New Roman" w:hAnsi="Times New Roman"/>
            <w:b w:val="false"/>
            <w:i w:val="false"/>
            <w:color w:val="000000"/>
            <w:sz w:val="22"/>
          </w:rPr>
          <w:t>567—subrule 43.2(4)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HA as determined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take corrective action or failure to maintain at least 4-log virus treatment (using inactivation, removal, or a department-approved combination of 4-log virus inactivation and removal) before or at the first customer under </w:t>
      </w:r>
      <w:hyperlink r:id="rId83">
        <w:r>
          <w:rPr>
            <w:rStyle w:val="Hyperlink"/>
            <w:rFonts w:ascii="Times New Roman" w:hAnsi="Times New Roman"/>
            <w:b w:val="false"/>
            <w:i w:val="false"/>
            <w:color w:val="000000"/>
            <w:sz w:val="22"/>
          </w:rPr>
          <w:t>567—paragraph 41.7(4)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Tier 2 PN—timing. </w:t>
      </w:r>
      <w:r>
        <w:rPr>
          <w:rFonts w:ascii="Times New Roman" w:hAnsi="Times New Roman"/>
          <w:b w:val="false"/>
          <w:i w:val="false"/>
          <w:color w:val="000000"/>
          <w:sz w:val="22"/>
        </w:rPr>
        <w:t>PWSs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the initial PN as soon as practical but no later than 30 days after learning of a violation. If PN is posted, it must remain in place for as long as the violation or situation persists but in no case for less than seven days, even if the violation or situation is resolved. The department may allow additional time for the initial notice of up to three months from the date the system learns of the violation; however, such an extension must be made in writing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 the PN every three months as long as the violation or situation persists unless the department determines that circumstances warrant a different repeat frequency. A determination that a repeat PN frequency of longer than every three months is allowed must be made in writing on a case-by-case basis. The repeat PN frequency may not be less than once per year. Repeat PNs for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a TT violation under </w:t>
      </w:r>
      <w:hyperlink r:id="rId84">
        <w:r>
          <w:rPr>
            <w:rStyle w:val="Hyperlink"/>
            <w:rFonts w:ascii="Times New Roman" w:hAnsi="Times New Roman"/>
            <w:b w:val="false"/>
            <w:i w:val="false"/>
            <w:color w:val="000000"/>
            <w:sz w:val="22"/>
          </w:rPr>
          <w:t>567—paragraph 41.2(1)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or a turbidity TT violation under </w:t>
      </w:r>
      <w:hyperlink r:id="rId85">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or </w:t>
      </w:r>
      <w:hyperlink r:id="rId86">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(455B) must be made every three months or more frequently.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PWS using SW or IGW with a TT violation resulting from a single exceedance of the maximum allowable turbidity limit, pursuant to </w:t>
      </w:r>
      <w:hyperlink r:id="rId87">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or </w:t>
      </w:r>
      <w:hyperlink r:id="rId88">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 xml:space="preserve">(455B), must consult with the department as soon as practical, but no later than 24 hours after learning of the violation, to determine whether a Tier 1 or Tier 2 PN is required to protect public health. For consultation after normal business hours, use the department’s Environmental Emergency Reporting Hotline, 515.725.8694. If the consultation does not occur within the 24-hour period, the PWS must distribute a Tier 1 PN within the next 24 hours, or no later than 48 hours after learning of the violation, following the requirements of </w:t>
      </w:r>
      <w:hyperlink r:id="rId89">
        <w:r>
          <w:rPr>
            <w:rStyle w:val="Hyperlink"/>
            <w:rFonts w:ascii="Times New Roman" w:hAnsi="Times New Roman"/>
            <w:b w:val="false"/>
            <w:i w:val="false"/>
            <w:color w:val="000000"/>
            <w:sz w:val="22"/>
          </w:rPr>
          <w:t>40.5(2)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Tier 2 PN—form and manner. </w:t>
      </w:r>
      <w:r>
        <w:rPr>
          <w:rFonts w:ascii="Times New Roman" w:hAnsi="Times New Roman"/>
          <w:b w:val="false"/>
          <w:i w:val="false"/>
          <w:color w:val="000000"/>
          <w:sz w:val="22"/>
        </w:rPr>
        <w:t>PWSs must provide the initial PN and any repeat PN in a form and manner that is reasonably calculated to reach persons served in the required time period. The PN form and manner may vary based on the specific situation and type of PWS, but the PN must meet the requirements of this paragraph unless directed otherwise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Tier 2 PN—CWS PN methods. </w:t>
      </w:r>
      <w:r>
        <w:rPr>
          <w:rFonts w:ascii="Times New Roman" w:hAnsi="Times New Roman"/>
          <w:b w:val="false"/>
          <w:i w:val="false"/>
          <w:color w:val="000000"/>
          <w:sz w:val="22"/>
        </w:rPr>
        <w:t>CWSs must provide PN by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Mail or other direct delivery to each customer receiving a bill and to other service connections receiving water from the PWS;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method reasonably calculated to reach other persons regularly served by the system if they would not normally be reached by mail or direct delivery. Such persons may include those who do not pay water bills or do not have service connection addresses, such as renters, students, nursing home residents, or prison inmates. Other methods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Publication in a local newspaper;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Delivery of multiple copies for distribution by customers that provide their drinking water to others, such as apartment building owners or large private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Posting in public places served by the system or on the Internet;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Delivery to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Tier 2 PN—NCWS PN methods. </w:t>
      </w:r>
      <w:r>
        <w:rPr>
          <w:rFonts w:ascii="Times New Roman" w:hAnsi="Times New Roman"/>
          <w:b w:val="false"/>
          <w:i w:val="false"/>
          <w:color w:val="000000"/>
          <w:sz w:val="22"/>
        </w:rPr>
        <w:t>NCWSs (TNCs or NTNCs) must provide PN by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Posting PN in conspicuous locations throughout the distribution system frequented by persons served by the system or by mail or direct delivery to each customer and service connection (where known);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method reasonably calculated to reach other persons served who would not normally be reached by posting, mail, or direct delivery. Such persons may include those who may not see a posted PN because it is not in a location they routinely visit. Other methods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Publication in a local newspaper or newsletter distribution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of email to notify employees or students;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Delivery of multiple copies in central locations, such as community centers.</w:t>
      </w:r>
    </w:p>
    <w:p>
      <w:pPr>
        <w:spacing w:before="0" w:after="0"/>
        <w:ind w:left="120"/>
        <w:jc w:val="both"/>
      </w:pPr>
      <w:r>
        <w:rPr>
          <w:rFonts w:ascii="Times New Roman" w:hAnsi="Times New Roman"/>
          <w:b w:val="false"/>
          <w:i w:val="false"/>
          <w:color w:val="000000"/>
          <w:sz w:val="22"/>
        </w:rPr>
        <w:t xml:space="preserve"> In addition to the previous requirements, NTNCs that serve children under 18 years of age (such as child care facilities, schools, and hospitals) or nursing home residents (including elder care facilities) must provide PN in writing to the parent or legal guardian of each person within the department-specified time period. The PN content must meet the requirements of </w:t>
      </w:r>
      <w:hyperlink r:id="rId90">
        <w:r>
          <w:rPr>
            <w:rStyle w:val="Hyperlink"/>
            <w:rFonts w:ascii="Times New Roman" w:hAnsi="Times New Roman"/>
            <w:b w:val="false"/>
            <w:i w:val="false"/>
            <w:color w:val="000000"/>
            <w:sz w:val="22"/>
          </w:rPr>
          <w:t>40.5(5)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color w:val="000000"/>
          <w:sz w:val="22"/>
        </w:rPr>
        <w:t xml:space="preserve">Tier 3 PN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Tier 3 PN—when required. </w:t>
      </w:r>
      <w:r>
        <w:rPr>
          <w:rFonts w:ascii="Times New Roman" w:hAnsi="Times New Roman"/>
          <w:b w:val="false"/>
          <w:i w:val="false"/>
          <w:color w:val="000000"/>
          <w:sz w:val="22"/>
        </w:rPr>
        <w:t>The following violations or situations require Tier 3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Monitoring violations or a failure to comply with a department-required testing procedure, except where a Tier 1 PN is required under this rule or where the department determines that a Tier 2 PN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Availability of unregulated contaminant monitoring results, as required of certain PWSs by </w:t>
      </w:r>
      <w:r>
        <w:rPr>
          <w:rFonts w:ascii="Times New Roman" w:hAnsi="Times New Roman"/>
          <w:b w:val="false"/>
          <w:i w:val="false"/>
          <w:color w:val="000000"/>
          <w:sz w:val="22"/>
        </w:rPr>
        <w:t>40 CFR §141.40</w:t>
      </w:r>
      <w:r>
        <w:rPr>
          <w:rFonts w:ascii="Times New Roman" w:hAnsi="Times New Roman"/>
          <w:b w:val="false"/>
          <w:i w:val="false"/>
          <w:color w:val="000000"/>
          <w:sz w:val="22"/>
        </w:rPr>
        <w:t xml:space="preserve">, in accordance with </w:t>
      </w:r>
      <w:hyperlink r:id="rId91">
        <w:r>
          <w:rPr>
            <w:rStyle w:val="Hyperlink"/>
            <w:rFonts w:ascii="Times New Roman" w:hAnsi="Times New Roman"/>
            <w:b w:val="false"/>
            <w:i w:val="false"/>
            <w:color w:val="000000"/>
            <w:sz w:val="22"/>
          </w:rPr>
          <w:t>40.5(7)</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Exceedance of the fluoride level of 2.0 mg/L and not exceeding the MCL of 4.0 mg/L, in accordance with </w:t>
      </w:r>
      <w:hyperlink r:id="rId92">
        <w:r>
          <w:rPr>
            <w:rStyle w:val="Hyperlink"/>
            <w:rFonts w:ascii="Times New Roman" w:hAnsi="Times New Roman"/>
            <w:b w:val="false"/>
            <w:i w:val="false"/>
            <w:color w:val="000000"/>
            <w:sz w:val="22"/>
          </w:rPr>
          <w:t>40.5(7)</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report required data or analytical results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requirements of this chapter for PN, PE, or the development and distribution of the Consumer Confidence Report (CCR);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retain a certified operator in accordance with </w:t>
      </w:r>
      <w:hyperlink r:id="rId93">
        <w:r>
          <w:rPr>
            <w:rStyle w:val="Hyperlink"/>
            <w:rFonts w:ascii="Times New Roman" w:hAnsi="Times New Roman"/>
            <w:b w:val="false"/>
            <w:i w:val="false"/>
            <w:color w:val="000000"/>
            <w:sz w:val="22"/>
          </w:rPr>
          <w:t>567—subrule 43.1(5)</w:t>
        </w:r>
      </w:hyperlink>
      <w:r>
        <w:rPr>
          <w:rFonts w:ascii="Times New Roman" w:hAnsi="Times New Roman"/>
          <w:b w:val="false"/>
          <w:i w:val="false"/>
          <w:color w:val="000000"/>
          <w:sz w:val="22"/>
        </w:rPr>
        <w:t>, where the department determines that PN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Failure to maintain department-required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situation where the department determines PN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Tier 3 PN—timing.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violations or situations listed in </w:t>
      </w:r>
      <w:hyperlink r:id="rId94">
        <w:r>
          <w:rPr>
            <w:rStyle w:val="Hyperlink"/>
            <w:rFonts w:ascii="Times New Roman" w:hAnsi="Times New Roman"/>
            <w:b w:val="false"/>
            <w:i w:val="false"/>
            <w:color w:val="000000"/>
            <w:sz w:val="22"/>
          </w:rPr>
          <w:t>40.5(4)</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color w:val="000000"/>
          <w:sz w:val="22"/>
        </w:rPr>
        <w:t>“a”</w:t>
      </w:r>
      <w:r>
        <w:rPr>
          <w:rFonts w:ascii="Times New Roman" w:hAnsi="Times New Roman"/>
          <w:b w:val="false"/>
          <w:i w:val="false"/>
          <w:color w:val="000000"/>
          <w:sz w:val="22"/>
        </w:rPr>
        <w:t>(5), PWSs must provide the initial PN within 12 months after learning of the violation or situation. If the violation pertains to a contaminant that could have acute health effects as determined by the department, such as coliform bacteria, nitrate, nitrite, or turbidity, the initial notice must be provided within three months. If the PN is posted, it must remain in place for as long as the violation or other situation persists, but in no case less than seven days, even if the violation or situation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availability of unregulated contaminant monitoring results pursuant to </w:t>
      </w:r>
      <w:hyperlink r:id="rId95">
        <w:r>
          <w:rPr>
            <w:rStyle w:val="Hyperlink"/>
            <w:rFonts w:ascii="Times New Roman" w:hAnsi="Times New Roman"/>
            <w:b w:val="false"/>
            <w:i w:val="false"/>
            <w:color w:val="000000"/>
            <w:sz w:val="22"/>
          </w:rPr>
          <w:t>40.5(4)</w:t>
        </w:r>
      </w:hyperlink>
      <w:r>
        <w:rPr>
          <w:rFonts w:ascii="Times New Roman" w:hAnsi="Times New Roman"/>
          <w:b w:val="false"/>
          <w:i/>
          <w:color w:val="000000"/>
          <w:sz w:val="22"/>
        </w:rPr>
        <w:t>“a”</w:t>
      </w:r>
      <w:r>
        <w:rPr>
          <w:rFonts w:ascii="Times New Roman" w:hAnsi="Times New Roman"/>
          <w:b w:val="false"/>
          <w:i w:val="false"/>
          <w:color w:val="000000"/>
          <w:sz w:val="22"/>
        </w:rPr>
        <w:t>(2), the system must provide the initial PN within 12 months of receiving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w:t>
      </w:r>
      <w:hyperlink r:id="rId96">
        <w:r>
          <w:rPr>
            <w:rStyle w:val="Hyperlink"/>
            <w:rFonts w:ascii="Times New Roman" w:hAnsi="Times New Roman"/>
            <w:b w:val="false"/>
            <w:i w:val="false"/>
            <w:color w:val="000000"/>
            <w:sz w:val="22"/>
          </w:rPr>
          <w:t>40.5(4)</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r>
        <w:rPr>
          <w:rFonts w:ascii="Times New Roman" w:hAnsi="Times New Roman"/>
          <w:b w:val="false"/>
          <w:i/>
          <w:color w:val="000000"/>
          <w:sz w:val="22"/>
        </w:rPr>
        <w:t>“a”</w:t>
      </w:r>
      <w:r>
        <w:rPr>
          <w:rFonts w:ascii="Times New Roman" w:hAnsi="Times New Roman"/>
          <w:b w:val="false"/>
          <w:i w:val="false"/>
          <w:color w:val="000000"/>
          <w:sz w:val="22"/>
        </w:rPr>
        <w:t xml:space="preserve">(6), or </w:t>
      </w:r>
      <w:r>
        <w:rPr>
          <w:rFonts w:ascii="Times New Roman" w:hAnsi="Times New Roman"/>
          <w:b w:val="false"/>
          <w:i/>
          <w:color w:val="000000"/>
          <w:sz w:val="22"/>
        </w:rPr>
        <w:t>“a”</w:t>
      </w:r>
      <w:r>
        <w:rPr>
          <w:rFonts w:ascii="Times New Roman" w:hAnsi="Times New Roman"/>
          <w:b w:val="false"/>
          <w:i w:val="false"/>
          <w:color w:val="000000"/>
          <w:sz w:val="22"/>
        </w:rPr>
        <w:t>(7), the initial PN timing is at the department’s discretion but the notice must be made within 12 months of the violation or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Repeat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violations or situations listed in </w:t>
      </w:r>
      <w:hyperlink r:id="rId97">
        <w:r>
          <w:rPr>
            <w:rStyle w:val="Hyperlink"/>
            <w:rFonts w:ascii="Times New Roman" w:hAnsi="Times New Roman"/>
            <w:b w:val="false"/>
            <w:i w:val="false"/>
            <w:color w:val="000000"/>
            <w:sz w:val="22"/>
          </w:rPr>
          <w:t>40.5(4)</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(3), </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color w:val="000000"/>
          <w:sz w:val="22"/>
        </w:rPr>
        <w:t>“a”</w:t>
      </w:r>
      <w:r>
        <w:rPr>
          <w:rFonts w:ascii="Times New Roman" w:hAnsi="Times New Roman"/>
          <w:b w:val="false"/>
          <w:i w:val="false"/>
          <w:color w:val="000000"/>
          <w:sz w:val="22"/>
        </w:rPr>
        <w:t>(5), PWSs must repeat the PN every 12 months in which the violation or situation persists. If the violation pertains to a contaminant that could have acute health effects, such as coliform bacteria, nitrate, nitrite, or turbidity, the system must repeat the PN every three months in which the violation or situation persists. If the PN is posted, it must remain in place for as long as the violation or other situation persists, but in no case less than seven days, even if the violation or situation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availability of unregulated contaminant monitoring results pursuant to </w:t>
      </w:r>
      <w:hyperlink r:id="rId98">
        <w:r>
          <w:rPr>
            <w:rStyle w:val="Hyperlink"/>
            <w:rFonts w:ascii="Times New Roman" w:hAnsi="Times New Roman"/>
            <w:b w:val="false"/>
            <w:i w:val="false"/>
            <w:color w:val="000000"/>
            <w:sz w:val="22"/>
          </w:rPr>
          <w:t>40.5(4)</w:t>
        </w:r>
      </w:hyperlink>
      <w:r>
        <w:rPr>
          <w:rFonts w:ascii="Times New Roman" w:hAnsi="Times New Roman"/>
          <w:b w:val="false"/>
          <w:i/>
          <w:color w:val="000000"/>
          <w:sz w:val="22"/>
        </w:rPr>
        <w:t>“a”</w:t>
      </w:r>
      <w:r>
        <w:rPr>
          <w:rFonts w:ascii="Times New Roman" w:hAnsi="Times New Roman"/>
          <w:b w:val="false"/>
          <w:i w:val="false"/>
          <w:color w:val="000000"/>
          <w:sz w:val="22"/>
        </w:rPr>
        <w:t>(2), the system is not required to repeat the PN once the initial PN requirement has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w:t>
      </w:r>
      <w:hyperlink r:id="rId99">
        <w:r>
          <w:rPr>
            <w:rStyle w:val="Hyperlink"/>
            <w:rFonts w:ascii="Times New Roman" w:hAnsi="Times New Roman"/>
            <w:b w:val="false"/>
            <w:i w:val="false"/>
            <w:color w:val="000000"/>
            <w:sz w:val="22"/>
          </w:rPr>
          <w:t>40.5(4)</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r>
        <w:rPr>
          <w:rFonts w:ascii="Times New Roman" w:hAnsi="Times New Roman"/>
          <w:b w:val="false"/>
          <w:i/>
          <w:color w:val="000000"/>
          <w:sz w:val="22"/>
        </w:rPr>
        <w:t>“a”</w:t>
      </w:r>
      <w:r>
        <w:rPr>
          <w:rFonts w:ascii="Times New Roman" w:hAnsi="Times New Roman"/>
          <w:b w:val="false"/>
          <w:i w:val="false"/>
          <w:color w:val="000000"/>
          <w:sz w:val="22"/>
        </w:rPr>
        <w:t xml:space="preserve">(6), or </w:t>
      </w:r>
      <w:r>
        <w:rPr>
          <w:rFonts w:ascii="Times New Roman" w:hAnsi="Times New Roman"/>
          <w:b w:val="false"/>
          <w:i/>
          <w:color w:val="000000"/>
          <w:sz w:val="22"/>
        </w:rPr>
        <w:t>“a”</w:t>
      </w:r>
      <w:r>
        <w:rPr>
          <w:rFonts w:ascii="Times New Roman" w:hAnsi="Times New Roman"/>
          <w:b w:val="false"/>
          <w:i w:val="false"/>
          <w:color w:val="000000"/>
          <w:sz w:val="22"/>
        </w:rPr>
        <w:t>(7), the requirement for and timing of the repeat PN is at the department’s discretion. If required, the repeat PN must be made within 12 months of the initial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Tier 3 PN—form and manner. </w:t>
      </w:r>
      <w:r>
        <w:rPr>
          <w:rFonts w:ascii="Times New Roman" w:hAnsi="Times New Roman"/>
          <w:b w:val="false"/>
          <w:i w:val="false"/>
          <w:color w:val="000000"/>
          <w:sz w:val="22"/>
        </w:rPr>
        <w:t>PWSs must provide the initial PN and any repeat PN in a form and manner that is reasonably calculated to reach persons served in the required time period. The PN form and manner may vary based on the specific situation and type of system, but it must meet the requirements of this paragraph unless directed otherwise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Tier 3 PN—CWS PN methods. </w:t>
      </w:r>
      <w:r>
        <w:rPr>
          <w:rFonts w:ascii="Times New Roman" w:hAnsi="Times New Roman"/>
          <w:b w:val="false"/>
          <w:i w:val="false"/>
          <w:color w:val="000000"/>
          <w:sz w:val="22"/>
        </w:rPr>
        <w:t>CWSs must provide PN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 or other direct delivery to each customer receiving a bill and to other service connections receiving water from the PWS;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method reasonably calculated to reach other persons regularly served by the system if they would not normally be reached by mail or direct delivery. Such persons may include those who do not pay water bills or do not have service connection addresses, such as renters, students, nursing home residents, or prison inmates. Other methods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Publication in a local newspaper;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Delivery of multiple copies for distribution by customers that provide their drinking water to others, such as apartment building owners or large private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Posting in public places or on the internet;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Delivery to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the CCR for initial and repeat PNs. For CWSs, the CCR required under </w:t>
      </w:r>
      <w:hyperlink r:id="rId100">
        <w:r>
          <w:rPr>
            <w:rStyle w:val="Hyperlink"/>
            <w:rFonts w:ascii="Times New Roman" w:hAnsi="Times New Roman"/>
            <w:b w:val="false"/>
            <w:i w:val="false"/>
            <w:color w:val="000000"/>
            <w:sz w:val="22"/>
          </w:rPr>
          <w:t>567—40.7</w:t>
        </w:r>
      </w:hyperlink>
      <w:r>
        <w:rPr>
          <w:rFonts w:ascii="Times New Roman" w:hAnsi="Times New Roman"/>
          <w:b w:val="false"/>
          <w:i w:val="false"/>
          <w:color w:val="000000"/>
          <w:sz w:val="22"/>
        </w:rPr>
        <w:t>(455B) may be used as a vehicle for initial and repeat Tier 3 PNs as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CCR is provided to persons served within the time frames under </w:t>
      </w:r>
      <w:hyperlink r:id="rId101">
        <w:r>
          <w:rPr>
            <w:rStyle w:val="Hyperlink"/>
            <w:rFonts w:ascii="Times New Roman" w:hAnsi="Times New Roman"/>
            <w:b w:val="false"/>
            <w:i w:val="false"/>
            <w:color w:val="000000"/>
            <w:sz w:val="22"/>
          </w:rPr>
          <w:t>40.5(4)</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Tier 3 PN in the CCR follows the content requirements under </w:t>
      </w:r>
      <w:hyperlink r:id="rId102">
        <w:r>
          <w:rPr>
            <w:rStyle w:val="Hyperlink"/>
            <w:rFonts w:ascii="Times New Roman" w:hAnsi="Times New Roman"/>
            <w:b w:val="false"/>
            <w:i w:val="false"/>
            <w:color w:val="000000"/>
            <w:sz w:val="22"/>
          </w:rPr>
          <w:t>40.5(5)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CCR is distributed following the delivery requirements under </w:t>
      </w:r>
      <w:hyperlink r:id="rId103">
        <w:r>
          <w:rPr>
            <w:rStyle w:val="Hyperlink"/>
            <w:rFonts w:ascii="Times New Roman" w:hAnsi="Times New Roman"/>
            <w:b w:val="false"/>
            <w:i w:val="false"/>
            <w:color w:val="000000"/>
            <w:sz w:val="22"/>
          </w:rPr>
          <w:t>40.5(4)</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w:t>
      </w:r>
      <w:hyperlink r:id="rId104">
        <w:r>
          <w:rPr>
            <w:rStyle w:val="Hyperlink"/>
            <w:rFonts w:ascii="Times New Roman" w:hAnsi="Times New Roman"/>
            <w:b w:val="false"/>
            <w:i w:val="false"/>
            <w:color w:val="000000"/>
            <w:sz w:val="22"/>
          </w:rPr>
          <w:t>40.5(4)</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Tier 3 PN—NCWS PN methods. </w:t>
      </w:r>
      <w:r>
        <w:rPr>
          <w:rFonts w:ascii="Times New Roman" w:hAnsi="Times New Roman"/>
          <w:b w:val="false"/>
          <w:i w:val="false"/>
          <w:color w:val="000000"/>
          <w:sz w:val="22"/>
        </w:rPr>
        <w:t>NCWSs (TNCs and NTNCs) must provide PN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Posting PN in conspicuous locations throughout the distribution system frequented by persons served by the system or by mail or direct delivery to each customer and service connection (where known);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method reasonably calculated to reach other persons served if they would not normally be reached by the posted, mailed, or delivered notice. Such persons may include those who may not see a posted PN because it is not in a location they routinely visit. Other methods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Publication in a local newspaper or newsletter distributed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of email to notify employees or students;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Delivery of multiple copies in central locations, such as 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w:t>
      </w:r>
      <w:r>
        <w:rPr>
          <w:rFonts w:ascii="Times New Roman" w:hAnsi="Times New Roman"/>
          <w:b w:val="false"/>
          <w:i w:val="false"/>
          <w:color w:val="000000"/>
          <w:sz w:val="22"/>
        </w:rPr>
        <w:t> </w:t>
      </w:r>
      <w:r>
        <w:rPr>
          <w:rFonts w:ascii="Times New Roman" w:hAnsi="Times New Roman"/>
          <w:b w:val="false"/>
          <w:i/>
          <w:color w:val="000000"/>
          <w:sz w:val="22"/>
        </w:rPr>
        <w:t xml:space="preserve">PN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Each PN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violation or situation, including the contaminant(s) of concern and, as applicable, the contaminant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violation or situation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potential adverse health effects from the violation or situation, including the standard language in </w:t>
      </w:r>
      <w:hyperlink r:id="rId105">
        <w:r>
          <w:rPr>
            <w:rStyle w:val="Hyperlink"/>
            <w:rFonts w:ascii="Times New Roman" w:hAnsi="Times New Roman"/>
            <w:b w:val="false"/>
            <w:i w:val="false"/>
            <w:color w:val="000000"/>
            <w:sz w:val="22"/>
          </w:rPr>
          <w:t>40.5(5)</w:t>
        </w:r>
      </w:hyperlink>
      <w:r>
        <w:rPr>
          <w:rFonts w:ascii="Times New Roman" w:hAnsi="Times New Roman"/>
          <w:b w:val="false"/>
          <w:i/>
          <w:color w:val="000000"/>
          <w:sz w:val="22"/>
        </w:rPr>
        <w:t>“c”</w:t>
      </w:r>
      <w:r>
        <w:rPr>
          <w:rFonts w:ascii="Times New Roman" w:hAnsi="Times New Roman"/>
          <w:b w:val="false"/>
          <w:i w:val="false"/>
          <w:color w:val="000000"/>
          <w:sz w:val="22"/>
        </w:rPr>
        <w:t xml:space="preserve">(1) or </w:t>
      </w:r>
      <w:r>
        <w:rPr>
          <w:rFonts w:ascii="Times New Roman" w:hAnsi="Times New Roman"/>
          <w:b w:val="false"/>
          <w:i/>
          <w:color w:val="000000"/>
          <w:sz w:val="22"/>
        </w:rPr>
        <w:t>“c”</w:t>
      </w:r>
      <w:r>
        <w:rPr>
          <w:rFonts w:ascii="Times New Roman" w:hAnsi="Times New Roman"/>
          <w:b w:val="false"/>
          <w:i w:val="false"/>
          <w:color w:val="000000"/>
          <w:sz w:val="22"/>
        </w:rPr>
        <w:t>(2),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population at risk, including subpopulations particularly vulnerable if exposed to the contaminant in their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alternative water supplies or bottled water should be used or require a boil-water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What actions consumers should take, including when they should seek medical help,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What the system is doing to correct the violation or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When the system expects to return to compliance or resolve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business address, and telephone number of the PWS owner, operator, or designee as a source of additional information concerning the PN;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to encourage the PN recipient to distribute the notice to other persons served, using the standard language under </w:t>
      </w:r>
      <w:hyperlink r:id="rId106">
        <w:r>
          <w:rPr>
            <w:rStyle w:val="Hyperlink"/>
            <w:rFonts w:ascii="Times New Roman" w:hAnsi="Times New Roman"/>
            <w:b w:val="false"/>
            <w:i w:val="false"/>
            <w:color w:val="000000"/>
            <w:sz w:val="22"/>
          </w:rPr>
          <w:t>40.5(5)</w:t>
        </w:r>
      </w:hyperlink>
      <w:r>
        <w:rPr>
          <w:rFonts w:ascii="Times New Roman" w:hAnsi="Times New Roman"/>
          <w:b w:val="false"/>
          <w:i/>
          <w:color w:val="000000"/>
          <w:sz w:val="22"/>
        </w:rPr>
        <w:t>“c”</w:t>
      </w:r>
      <w:r>
        <w:rPr>
          <w:rFonts w:ascii="Times New Roman" w:hAnsi="Times New Roman"/>
          <w:b w:val="false"/>
          <w:i w:val="false"/>
          <w:color w:val="000000"/>
          <w:sz w:val="22"/>
        </w:rPr>
        <w:t>(3),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Appearance and 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displayed in a conspicuous way when printed or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contain overly technical language or very small print;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formatted in a way that defeats the purpose of the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contain language that nullifies the purpose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PN must comply with multilingual requirements,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PWSs serving a large proportion of non-English speaking consumers, as determined by the department, a PN must contain information about its importance in the appropriate language(s) or contain a telephone number or address where persons served may contact the system to obtain a translated copy of the notice or to request assistance in the appropriate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where the department has not determined what constitutes a large proportion of non-English speaking consumers for a PWS, a PN must contain the same information as in </w:t>
      </w:r>
      <w:hyperlink r:id="rId107">
        <w:r>
          <w:rPr>
            <w:rStyle w:val="Hyperlink"/>
            <w:rFonts w:ascii="Times New Roman" w:hAnsi="Times New Roman"/>
            <w:b w:val="false"/>
            <w:i w:val="false"/>
            <w:color w:val="000000"/>
            <w:sz w:val="22"/>
          </w:rPr>
          <w:t>40.5(5)</w:t>
        </w:r>
      </w:hyperlink>
      <w:r>
        <w:rPr>
          <w:rFonts w:ascii="Times New Roman" w:hAnsi="Times New Roman"/>
          <w:b w:val="false"/>
          <w:i/>
          <w:color w:val="000000"/>
          <w:sz w:val="22"/>
        </w:rPr>
        <w:t>“b”</w:t>
      </w:r>
      <w:r>
        <w:rPr>
          <w:rFonts w:ascii="Times New Roman" w:hAnsi="Times New Roman"/>
          <w:b w:val="false"/>
          <w:i w:val="false"/>
          <w:color w:val="000000"/>
          <w:sz w:val="22"/>
        </w:rPr>
        <w:t>(2)“1” above, where appropriate, to reach a large proportion of non-English speaking persons served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Standard language. </w:t>
      </w:r>
      <w:r>
        <w:rPr>
          <w:rFonts w:ascii="Times New Roman" w:hAnsi="Times New Roman"/>
          <w:b w:val="false"/>
          <w:i w:val="false"/>
          <w:color w:val="000000"/>
          <w:sz w:val="22"/>
        </w:rPr>
        <w:t>PWSs must include the following statements in PNs: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effects for MCL, MRDL, or TT violations. Each PN must include the health effects language in Appendix B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Q, for the specific contaminant, disinfectant residual, or TT that incurred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procedure violations. Each PN must include the following statement, including the bracketed language necessary to complete the notice, for all monitoring and testing procedure violations:</w:t>
      </w:r>
    </w:p>
    <w:p>
      <w:pPr>
        <w:spacing w:before="0" w:after="0"/>
        <w:ind w:left="120"/>
        <w:jc w:val="both"/>
      </w:pPr>
      <w:r>
        <w:rPr>
          <w:rFonts w:ascii="Times New Roman" w:hAnsi="Times New Roman"/>
          <w:b w:val="false"/>
          <w:i w:val="false"/>
          <w:color w:val="000000"/>
          <w:sz w:val="22"/>
        </w:rPr>
        <w:t xml:space="preserve">“We are required to monitor your drinking water for specific contaminants on a regular basis. Results of regular monitoring are an indicator of whether or not your drinking water meets health standards. During [compliance period], we [use either the phrase “did not monitor or test” or “did not complete all monitoring or testing,” whichever is more applicable] for [contaminant(s)], and therefore cannot be sure of the quality of your drinking water during that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Language to encourage PN distribution to all persons served. Each PN must include the following statement, where applicable:</w:t>
      </w:r>
    </w:p>
    <w:p>
      <w:pPr>
        <w:spacing w:before="0" w:after="0"/>
        <w:ind w:left="120"/>
        <w:jc w:val="both"/>
      </w:pPr>
      <w:r>
        <w:rPr>
          <w:rFonts w:ascii="Times New Roman" w:hAnsi="Times New Roman"/>
          <w:b w:val="false"/>
          <w:i w:val="false"/>
          <w:color w:val="000000"/>
          <w:sz w:val="22"/>
        </w:rPr>
        <w:t xml:space="preserve">“Please share this information with all the other people who drink this water, especially those who may not have received this notice directly, such as people in apartments, nursing homes, schools, and businesses. You can do this by posting this notice in a public place or distributing copies by hand or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w:t>
      </w:r>
      <w:r>
        <w:rPr>
          <w:rFonts w:ascii="Times New Roman" w:hAnsi="Times New Roman"/>
          <w:b w:val="false"/>
          <w:i w:val="false"/>
          <w:color w:val="000000"/>
          <w:sz w:val="22"/>
        </w:rPr>
        <w:t> </w:t>
      </w:r>
      <w:r>
        <w:rPr>
          <w:rFonts w:ascii="Times New Roman" w:hAnsi="Times New Roman"/>
          <w:b w:val="false"/>
          <w:i/>
          <w:color w:val="000000"/>
          <w:sz w:val="22"/>
        </w:rPr>
        <w:t xml:space="preserve">PN for new billing units or new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water systems (CWSs). </w:t>
      </w:r>
      <w:r>
        <w:rPr>
          <w:rFonts w:ascii="Times New Roman" w:hAnsi="Times New Roman"/>
          <w:b w:val="false"/>
          <w:i w:val="false"/>
          <w:color w:val="000000"/>
          <w:sz w:val="22"/>
        </w:rPr>
        <w:t>CWSs must give a copy of the most recent PN for any continuing violation or other ongoing situations requiring PN to all new billing units or new customers prior to or at the time service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Noncommunity water systems (NCWSs). </w:t>
      </w:r>
      <w:r>
        <w:rPr>
          <w:rFonts w:ascii="Times New Roman" w:hAnsi="Times New Roman"/>
          <w:b w:val="false"/>
          <w:i w:val="false"/>
          <w:color w:val="000000"/>
          <w:sz w:val="22"/>
        </w:rPr>
        <w:t>NCWSs (TNCs and NTNCs) must continuously post the PN in conspicuous locations in order to inform new consumers of any continuing violation or other situation requiring PN for as long as the violation or other situation persists.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w:t>
      </w:r>
      <w:r>
        <w:rPr>
          <w:rFonts w:ascii="Times New Roman" w:hAnsi="Times New Roman"/>
          <w:b w:val="false"/>
          <w:i w:val="false"/>
          <w:color w:val="000000"/>
          <w:sz w:val="22"/>
        </w:rPr>
        <w:t> </w:t>
      </w:r>
      <w:r>
        <w:rPr>
          <w:rFonts w:ascii="Times New Roman" w:hAnsi="Times New Roman"/>
          <w:b w:val="false"/>
          <w:i/>
          <w:color w:val="000000"/>
          <w:sz w:val="22"/>
        </w:rPr>
        <w:t xml:space="preserve">Special PNs.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unregulated contaminant monitoring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Applicability. The owner or operator of a CWS or NTNC required to monitor under the federal unregulated contaminant monitoring rule must notify persons served by the system of the availability of such sample results no later than 12 months after the monitoring results are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The special PN must follow the Tier 3 PN requirements in </w:t>
      </w:r>
      <w:hyperlink r:id="rId108">
        <w:r>
          <w:rPr>
            <w:rStyle w:val="Hyperlink"/>
            <w:rFonts w:ascii="Times New Roman" w:hAnsi="Times New Roman"/>
            <w:b w:val="false"/>
            <w:i w:val="false"/>
            <w:color w:val="000000"/>
            <w:sz w:val="22"/>
          </w:rPr>
          <w:t>40.5(4)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must identify a person and provide the telephone number to contact for information on the monitoring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Fluoride level between 2.0 and 4.0 mg/L at CWSs or NTNCs.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CWSs and NTNCs that exceed the fluoride level of 2.0 mg/L as determined by the last single sample taken in accordance with </w:t>
      </w:r>
      <w:hyperlink r:id="rId109">
        <w:r>
          <w:rPr>
            <w:rStyle w:val="Hyperlink"/>
            <w:rFonts w:ascii="Times New Roman" w:hAnsi="Times New Roman"/>
            <w:b w:val="false"/>
            <w:i w:val="false"/>
            <w:color w:val="000000"/>
            <w:sz w:val="22"/>
          </w:rPr>
          <w:t>567—paragraph 41.3(1)</w:t>
        </w:r>
      </w:hyperlink>
      <w:r>
        <w:rPr>
          <w:rFonts w:ascii="Times New Roman" w:hAnsi="Times New Roman"/>
          <w:b w:val="false"/>
          <w:i/>
          <w:color w:val="000000"/>
          <w:sz w:val="22"/>
        </w:rPr>
        <w:t>“c”</w:t>
      </w:r>
      <w:r>
        <w:rPr>
          <w:rFonts w:ascii="Times New Roman" w:hAnsi="Times New Roman"/>
          <w:b w:val="false"/>
          <w:i w:val="false"/>
          <w:color w:val="000000"/>
          <w:sz w:val="22"/>
        </w:rPr>
        <w:t xml:space="preserve"> but do not exceed the MCL of 4.0 mg/L must provide the special PN in accordance with this paragraph to persons served. If the NTNC is a school or child care facility serving children under nine years of age, the system shall provide the PN in writing to the legal guardians of each child within the department-specified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PN. A fluoride PN must be provided as soon as practical but no later than three months from the day the system learns of the exceedance. A copy of the notice must also be sent to all new billing units and new customers at the time service begins and to the Public Health Dental Director, Iowa Department of Health and Human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Repeat PN. The PWS must repeat the fluoride PN at least every three months for as long as the fluoride level exceeds 2.0 mg/L. If the PN is posted, it must remain in place for as long as the fluoride level exceeds 2.0 mg/L but in no case less than seven days (even if the exceedance is eliminated). The department may require the repeat PN to be conducted more frequently.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The form and manner of the fluoride PN, including repeat PNs, must follow the Tier 3 PN requirements in </w:t>
      </w:r>
      <w:hyperlink r:id="rId110">
        <w:r>
          <w:rPr>
            <w:rStyle w:val="Hyperlink"/>
            <w:rFonts w:ascii="Times New Roman" w:hAnsi="Times New Roman"/>
            <w:b w:val="false"/>
            <w:i w:val="false"/>
            <w:color w:val="000000"/>
            <w:sz w:val="22"/>
          </w:rPr>
          <w:t>40.5(4)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Mandatory language. A fluoride PN must contain the following language, including the bracketed language necessary to complete the notice:</w:t>
      </w:r>
    </w:p>
    <w:p>
      <w:pPr>
        <w:spacing w:before="0" w:after="0"/>
        <w:ind w:left="120"/>
        <w:jc w:val="both"/>
      </w:pPr>
      <w:r>
        <w:rPr>
          <w:rFonts w:ascii="Times New Roman" w:hAnsi="Times New Roman"/>
          <w:b w:val="false"/>
          <w:i w:val="false"/>
          <w:color w:val="000000"/>
          <w:sz w:val="22"/>
        </w:rPr>
        <w:t>“This is an alert about your drinking water and a cosmetic dental problem that might affect children under nine years of age. At low levels, fluoride can help prevent cavities, but children drinking water containing more than 2 milligrams per liter (mg/L) of fluoride may develop cosmetic discoloration of their permanent teeth, called dental fluorosis. The drinking water provided by your public water system [PWS name] has a fluoride concentration of [analytical result] mg/L.”</w:t>
      </w:r>
    </w:p>
    <w:p>
      <w:pPr>
        <w:spacing w:before="0" w:after="0"/>
        <w:ind w:left="120"/>
        <w:jc w:val="both"/>
      </w:pPr>
      <w:r>
        <w:rPr>
          <w:rFonts w:ascii="Times New Roman" w:hAnsi="Times New Roman"/>
          <w:b w:val="false"/>
          <w:i w:val="false"/>
          <w:color w:val="000000"/>
          <w:sz w:val="22"/>
        </w:rPr>
        <w:t xml:space="preserve">“Dental fluorosis, in its moderate or severe forms, may result in a brown staining and pitting of the permanent teeth. This problem occurs only in developing teeth, before they erupt from the gums. Children under nine should be provided with alternative sources of drinking water or water that has been treated to remove the fluoride to avoid the possibility of staining and pitting of their permanent teeth. You may also want to contact your dentist about proper use by young children of fluoride-containing products. Older children and adults may safely drink the water.” </w:t>
      </w:r>
    </w:p>
    <w:p>
      <w:pPr>
        <w:spacing w:before="0" w:after="0"/>
        <w:ind w:left="120"/>
        <w:jc w:val="both"/>
      </w:pPr>
      <w:r>
        <w:rPr>
          <w:rFonts w:ascii="Times New Roman" w:hAnsi="Times New Roman"/>
          <w:b w:val="false"/>
          <w:i w:val="false"/>
          <w:color w:val="000000"/>
          <w:sz w:val="22"/>
        </w:rPr>
        <w:t xml:space="preserve">“Drinking water containing more than 4.0 mg/L of fluoride (the U.S. Environmental Protection Agency’s drinking water standard) can increase your risk of developing bone disease. Your drinking water does not contain more than 4.0 mg/L of fluoride, but we are required to notify you when we discover that the fluoride levels in your drinking water exceed 2.0 mg/L because of this cosmetic dental problem.” </w:t>
      </w:r>
    </w:p>
    <w:p>
      <w:pPr>
        <w:spacing w:before="0" w:after="0"/>
        <w:ind w:left="120"/>
        <w:jc w:val="both"/>
      </w:pPr>
      <w:r>
        <w:rPr>
          <w:rFonts w:ascii="Times New Roman" w:hAnsi="Times New Roman"/>
          <w:b w:val="false"/>
          <w:i w:val="false"/>
          <w:color w:val="000000"/>
          <w:sz w:val="22"/>
        </w:rPr>
        <w:t xml:space="preserve">“For more information, please call [PWS contact person] of [PWS name] at [telephone number]. Some home water treatment units are also available to remove fluoride from drinking water. For more information, you may call the National Sanitation Foundation (NSF) International at 1-877-867-3435.”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Nitrate level between 10 and 20 mg/L for NCWSs, where allowed by the department. </w:t>
      </w:r>
      <w:r>
        <w:rPr>
          <w:rFonts w:ascii="Times New Roman" w:hAnsi="Times New Roman"/>
          <w:b w:val="false"/>
          <w:i w:val="false"/>
          <w:color w:val="000000"/>
          <w:sz w:val="22"/>
        </w:rPr>
        <w:t xml:space="preserve">NCWSs granted permission by the department under </w:t>
      </w:r>
      <w:hyperlink r:id="rId111">
        <w:r>
          <w:rPr>
            <w:rStyle w:val="Hyperlink"/>
            <w:rFonts w:ascii="Times New Roman" w:hAnsi="Times New Roman"/>
            <w:b w:val="false"/>
            <w:i w:val="false"/>
            <w:color w:val="000000"/>
            <w:sz w:val="22"/>
          </w:rPr>
          <w:t>567—paragraph 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exceed the nitrate MCL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PN to persons served according to the Tier 1 PN requirements under </w:t>
      </w:r>
      <w:hyperlink r:id="rId112">
        <w:r>
          <w:rPr>
            <w:rStyle w:val="Hyperlink"/>
            <w:rFonts w:ascii="Times New Roman" w:hAnsi="Times New Roman"/>
            <w:b w:val="false"/>
            <w:i w:val="false"/>
            <w:color w:val="000000"/>
            <w:sz w:val="22"/>
          </w:rPr>
          <w:t>40.5(2)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continuous posting of the fact that nitrate levels exceed 10 mg/L and the potential health effects of exposure, according to the Tier 1 PN delivery requirements under </w:t>
      </w:r>
      <w:hyperlink r:id="rId113">
        <w:r>
          <w:rPr>
            <w:rStyle w:val="Hyperlink"/>
            <w:rFonts w:ascii="Times New Roman" w:hAnsi="Times New Roman"/>
            <w:b w:val="false"/>
            <w:i w:val="false"/>
            <w:color w:val="000000"/>
            <w:sz w:val="22"/>
          </w:rPr>
          <w:t>40.5(2)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the content requirements under </w:t>
      </w:r>
      <w:hyperlink r:id="rId114">
        <w:r>
          <w:rPr>
            <w:rStyle w:val="Hyperlink"/>
            <w:rFonts w:ascii="Times New Roman" w:hAnsi="Times New Roman"/>
            <w:b w:val="false"/>
            <w:i w:val="false"/>
            <w:color w:val="000000"/>
            <w:sz w:val="22"/>
          </w:rPr>
          <w:t>40.5(5)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Repeated failure to conduct source water monitoring for Cryptosporidium.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The owner or operator of any PWS that is required to monitor source water under </w:t>
      </w:r>
      <w:hyperlink r:id="rId115">
        <w:r>
          <w:rPr>
            <w:rStyle w:val="Hyperlink"/>
            <w:rFonts w:ascii="Times New Roman" w:hAnsi="Times New Roman"/>
            <w:b w:val="false"/>
            <w:i w:val="false"/>
            <w:color w:val="000000"/>
            <w:sz w:val="22"/>
          </w:rPr>
          <w:t>567—43.11</w:t>
        </w:r>
      </w:hyperlink>
      <w:r>
        <w:rPr>
          <w:rFonts w:ascii="Times New Roman" w:hAnsi="Times New Roman"/>
          <w:b w:val="false"/>
          <w:i w:val="false"/>
          <w:color w:val="000000"/>
          <w:sz w:val="22"/>
        </w:rPr>
        <w:t xml:space="preserve">(455B) must notify persons served by the system that required monitoring has not been completed no later than 30 days after the system has failed to collect samples in any three months of monitoring, as specified in </w:t>
      </w:r>
      <w:hyperlink r:id="rId116">
        <w:r>
          <w:rPr>
            <w:rStyle w:val="Hyperlink"/>
            <w:rFonts w:ascii="Times New Roman" w:hAnsi="Times New Roman"/>
            <w:b w:val="false"/>
            <w:i w:val="false"/>
            <w:color w:val="000000"/>
            <w:sz w:val="22"/>
          </w:rPr>
          <w:t>567—paragraph 43.11(3)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This special PN must be repeated as specified in </w:t>
      </w:r>
      <w:r>
        <w:rPr>
          <w:rFonts w:ascii="Times New Roman" w:hAnsi="Times New Roman"/>
          <w:b w:val="false"/>
          <w:i w:val="false"/>
          <w:color w:val="000000"/>
          <w:sz w:val="22"/>
        </w:rPr>
        <w:t>40.5(3)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This special PN must follow the Tier 2 PN requirements in </w:t>
      </w:r>
      <w:hyperlink r:id="rId117">
        <w:r>
          <w:rPr>
            <w:rStyle w:val="Hyperlink"/>
            <w:rFonts w:ascii="Times New Roman" w:hAnsi="Times New Roman"/>
            <w:b w:val="false"/>
            <w:i w:val="false"/>
            <w:color w:val="000000"/>
            <w:sz w:val="22"/>
          </w:rPr>
          <w:t>40.5(3)</w:t>
        </w:r>
      </w:hyperlink>
      <w:r>
        <w:rPr>
          <w:rFonts w:ascii="Times New Roman" w:hAnsi="Times New Roman"/>
          <w:b w:val="false"/>
          <w:i w:val="false"/>
          <w:color w:val="000000"/>
          <w:sz w:val="22"/>
        </w:rPr>
        <w:t xml:space="preserve"> and be presented as required in </w:t>
      </w:r>
      <w:hyperlink r:id="rId118">
        <w:r>
          <w:rPr>
            <w:rStyle w:val="Hyperlink"/>
            <w:rFonts w:ascii="Times New Roman" w:hAnsi="Times New Roman"/>
            <w:b w:val="false"/>
            <w:i w:val="false"/>
            <w:color w:val="000000"/>
            <w:sz w:val="22"/>
          </w:rPr>
          <w:t>40.5(5)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Mandatory language. This special PN must contain the following language, including the language necessary to fill in the brackets.</w:t>
      </w:r>
    </w:p>
    <w:p>
      <w:pPr>
        <w:spacing w:before="0" w:after="0"/>
        <w:ind w:left="120"/>
        <w:jc w:val="both"/>
      </w:pPr>
      <w:r>
        <w:rPr>
          <w:rFonts w:ascii="Times New Roman" w:hAnsi="Times New Roman"/>
          <w:b w:val="false"/>
          <w:i w:val="false"/>
          <w:color w:val="000000"/>
          <w:sz w:val="22"/>
        </w:rPr>
        <w:t xml:space="preserve">“We are required to monitor the source of your drinking water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Results of the monitoring are to be used to determine whether water treatment at the [treatment plant name] is sufficient to adequately remove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from your drinking water. We are required to complete this monitoring and make this determination by [required bin determination date]. We [“did not monitor or test” or “did not complete all monitoring or testing”] on schedule and, therefore, we may not be able to determine by the required date what treatment modifications, if any, must be made to ensure adequate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removal. Missing this deadline may, in turn, jeopardize our ability to have the required treatment modifications, if any, completed by the required deadline of [date]. For more information, please call [PWS contact person] of [PWS name] at [telephone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Each special PN must include a description of what the system is doing to correct the violation and when the system expects to return to compliance or resolve the situation.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determine bin classification or mean Cryptosporidium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The owner or operator of a PWS that is required to determine a bin classification under </w:t>
      </w:r>
      <w:hyperlink r:id="rId119">
        <w:r>
          <w:rPr>
            <w:rStyle w:val="Hyperlink"/>
            <w:rFonts w:ascii="Times New Roman" w:hAnsi="Times New Roman"/>
            <w:b w:val="false"/>
            <w:i w:val="false"/>
            <w:color w:val="000000"/>
            <w:sz w:val="22"/>
          </w:rPr>
          <w:t>567—subrule 43.11(5)</w:t>
        </w:r>
      </w:hyperlink>
      <w:r>
        <w:rPr>
          <w:rFonts w:ascii="Times New Roman" w:hAnsi="Times New Roman"/>
          <w:b w:val="false"/>
          <w:i w:val="false"/>
          <w:color w:val="000000"/>
          <w:sz w:val="22"/>
        </w:rPr>
        <w:t xml:space="preserve"> must notify persons served by the system that the required determination has not been made no later than 30 days after the system has failed to report the determination, as specified in </w:t>
      </w:r>
      <w:hyperlink r:id="rId120">
        <w:r>
          <w:rPr>
            <w:rStyle w:val="Hyperlink"/>
            <w:rFonts w:ascii="Times New Roman" w:hAnsi="Times New Roman"/>
            <w:b w:val="false"/>
            <w:i w:val="false"/>
            <w:color w:val="000000"/>
            <w:sz w:val="22"/>
          </w:rPr>
          <w:t>567—paragraph 43.11(5)</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special PN must be repeated as specified in </w:t>
      </w:r>
      <w:hyperlink r:id="rId121">
        <w:r>
          <w:rPr>
            <w:rStyle w:val="Hyperlink"/>
            <w:rFonts w:ascii="Times New Roman" w:hAnsi="Times New Roman"/>
            <w:b w:val="false"/>
            <w:i w:val="false"/>
            <w:color w:val="000000"/>
            <w:sz w:val="22"/>
          </w:rPr>
          <w:t>40.5(3)</w:t>
        </w:r>
      </w:hyperlink>
      <w:r>
        <w:rPr>
          <w:rFonts w:ascii="Times New Roman" w:hAnsi="Times New Roman"/>
          <w:b w:val="false"/>
          <w:i w:val="false"/>
          <w:color w:val="000000"/>
          <w:sz w:val="22"/>
        </w:rPr>
        <w:t>. This PN is not required if the system is in compliance with a department-approved schedule to address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This special PN must follow the Tier 2 PN requirements in </w:t>
      </w:r>
      <w:hyperlink r:id="rId122">
        <w:r>
          <w:rPr>
            <w:rStyle w:val="Hyperlink"/>
            <w:rFonts w:ascii="Times New Roman" w:hAnsi="Times New Roman"/>
            <w:b w:val="false"/>
            <w:i w:val="false"/>
            <w:color w:val="000000"/>
            <w:sz w:val="22"/>
          </w:rPr>
          <w:t>40.5(3)</w:t>
        </w:r>
      </w:hyperlink>
      <w:r>
        <w:rPr>
          <w:rFonts w:ascii="Times New Roman" w:hAnsi="Times New Roman"/>
          <w:b w:val="false"/>
          <w:i w:val="false"/>
          <w:color w:val="000000"/>
          <w:sz w:val="22"/>
        </w:rPr>
        <w:t xml:space="preserve"> and be presented as required in </w:t>
      </w:r>
      <w:hyperlink r:id="rId123">
        <w:r>
          <w:rPr>
            <w:rStyle w:val="Hyperlink"/>
            <w:rFonts w:ascii="Times New Roman" w:hAnsi="Times New Roman"/>
            <w:b w:val="false"/>
            <w:i w:val="false"/>
            <w:color w:val="000000"/>
            <w:sz w:val="22"/>
          </w:rPr>
          <w:t>40.5(5)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Mandatory language. This special PN must contain the following language, including the language necessary to fill in the brackets.</w:t>
      </w:r>
    </w:p>
    <w:p>
      <w:pPr>
        <w:spacing w:before="0" w:after="0"/>
        <w:ind w:left="120"/>
        <w:jc w:val="both"/>
      </w:pPr>
      <w:r>
        <w:rPr>
          <w:rFonts w:ascii="Times New Roman" w:hAnsi="Times New Roman"/>
          <w:b w:val="false"/>
          <w:i w:val="false"/>
          <w:color w:val="000000"/>
          <w:sz w:val="22"/>
        </w:rPr>
        <w:t xml:space="preserve">“We are required to monitor the source of your drinking water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 order to determine by [date] whether water treatment at the [treatment plant name] is sufficient to adequately remove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from your drinking water. We have not made this determination by the required date. Our failure to do this may jeopardize our ability to have the required treatment modifications, if any, completed by the required deadline of [date]. For more information, please call [PWS contact person] of [PWS name] at [telephone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Each special PN must include a description of what the system is doing to correct the violation and when the system expects to return to compliance or resolve the situation.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w:t>
      </w:r>
      <w:r>
        <w:rPr>
          <w:rFonts w:ascii="Times New Roman" w:hAnsi="Times New Roman"/>
          <w:b w:val="false"/>
          <w:i w:val="false"/>
          <w:color w:val="000000"/>
          <w:sz w:val="22"/>
        </w:rPr>
        <w:t> </w:t>
      </w:r>
      <w:r>
        <w:rPr>
          <w:rFonts w:ascii="Times New Roman" w:hAnsi="Times New Roman"/>
          <w:b w:val="false"/>
          <w:i/>
          <w:color w:val="000000"/>
          <w:sz w:val="22"/>
        </w:rPr>
        <w:t xml:space="preserve">PN by department on behalf of a PWS. </w:t>
      </w:r>
      <w:r>
        <w:rPr>
          <w:rFonts w:ascii="Times New Roman" w:hAnsi="Times New Roman"/>
          <w:b w:val="false"/>
          <w:i w:val="false"/>
          <w:color w:val="000000"/>
          <w:sz w:val="22"/>
        </w:rPr>
        <w:t>The department may provide PN on behalf of a PWS owner or operator in compliance with this rule. However, the PWS owner or operator remains responsible for ensuring the PN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w:t>
      </w:r>
      <w:r>
        <w:rPr>
          <w:rFonts w:ascii="Times New Roman" w:hAnsi="Times New Roman"/>
          <w:b w:val="false"/>
          <w:i w:val="false"/>
          <w:color w:val="000000"/>
          <w:sz w:val="22"/>
        </w:rPr>
        <w:t> </w:t>
      </w:r>
      <w:r>
        <w:rPr>
          <w:rFonts w:ascii="Times New Roman" w:hAnsi="Times New Roman"/>
          <w:b w:val="false"/>
          <w:i/>
          <w:color w:val="000000"/>
          <w:sz w:val="22"/>
        </w:rPr>
        <w:t xml:space="preserve">Small water system—operation permit PN requirements. </w:t>
      </w:r>
      <w:r>
        <w:rPr>
          <w:rFonts w:ascii="Times New Roman" w:hAnsi="Times New Roman"/>
          <w:b w:val="false"/>
          <w:i w:val="false"/>
          <w:color w:val="000000"/>
          <w:sz w:val="22"/>
        </w:rPr>
        <w:t xml:space="preserve">When the department determines that a small PWS cannot promptly comply with one or more MCLs pursuant to </w:t>
      </w:r>
      <w:hyperlink r:id="rId124">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xml:space="preserve"> and that there is no immediate, unreasonable health risk to persons served by the system, an operation permit will be drafted with interim contaminant levels or a compliance schedule. The department may require the applicant to present the reasons the small water system cannot come into immediate compliance. Prior to issuance of a final permit with a compliance schedule, notice and opportunity for public participation must be given in accordance with this subrule. The PN shall be circulated in a manner designed to inform interested and potentially interested persons of any proposed interim contaminant level or compliance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Small water system—PN preparation. </w:t>
      </w:r>
      <w:r>
        <w:rPr>
          <w:rFonts w:ascii="Times New Roman" w:hAnsi="Times New Roman"/>
          <w:b w:val="false"/>
          <w:i w:val="false"/>
          <w:color w:val="000000"/>
          <w:sz w:val="22"/>
        </w:rPr>
        <w:t>A PN shall be prepared by the department and circulated by the applicant within its geographical area through publication in a local newspaper with general circulation or through mail or direct delivery to the system’s customers. The PN shall be mailed by the department to any person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Small water system—public comment period. </w:t>
      </w:r>
      <w:r>
        <w:rPr>
          <w:rFonts w:ascii="Times New Roman" w:hAnsi="Times New Roman"/>
          <w:b w:val="false"/>
          <w:i w:val="false"/>
          <w:color w:val="000000"/>
          <w:sz w:val="22"/>
        </w:rPr>
        <w:t>The department shall provide a period of at least 30 days following the PN date during which time interested persons may submit their written views on the tentative determinations with respect to the operation permit. All written comments submitted during the 30-day comment period shall be retained by the department and considered in the formulation of the department’s final determination with respect to the operation permit. The department may extend the comment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Small water system—PN content. </w:t>
      </w:r>
      <w:r>
        <w:rPr>
          <w:rFonts w:ascii="Times New Roman" w:hAnsi="Times New Roman"/>
          <w:b w:val="false"/>
          <w:i w:val="false"/>
          <w:color w:val="000000"/>
          <w:sz w:val="22"/>
        </w:rPr>
        <w:t>A PN of a proposed operation permit shall contain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website,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department’s tentative determination to issue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each applicant’s operations that necessitate the proposed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description of the procedures for the formulation of final determinations, including the 30-day comment period required by </w:t>
      </w:r>
      <w:hyperlink r:id="rId125">
        <w:r>
          <w:rPr>
            <w:rStyle w:val="Hyperlink"/>
            <w:rFonts w:ascii="Times New Roman" w:hAnsi="Times New Roman"/>
            <w:b w:val="false"/>
            <w:i w:val="false"/>
            <w:color w:val="000000"/>
            <w:sz w:val="22"/>
          </w:rPr>
          <w:t>40.5(9)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right to request a public hearing pursuant to </w:t>
      </w:r>
      <w:hyperlink r:id="rId126">
        <w:r>
          <w:rPr>
            <w:rStyle w:val="Hyperlink"/>
            <w:rFonts w:ascii="Times New Roman" w:hAnsi="Times New Roman"/>
            <w:b w:val="false"/>
            <w:i w:val="false"/>
            <w:color w:val="000000"/>
            <w:sz w:val="22"/>
          </w:rPr>
          <w:t>40.5(9)</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any other means by which interested persons may influence or comment upon those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website location where interested persons may obtain further information, request a copy of the proposed operation permit prepared pursuant to this subrule, and inspect and copy the application forms and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Small water system—public hearings. </w:t>
      </w:r>
      <w:r>
        <w:rPr>
          <w:rFonts w:ascii="Times New Roman" w:hAnsi="Times New Roman"/>
          <w:b w:val="false"/>
          <w:i w:val="false"/>
          <w:color w:val="000000"/>
          <w:sz w:val="22"/>
        </w:rPr>
        <w:t xml:space="preserve">The applicant or any interested agency, person or group of persons may request or petition for a public hearing with respect to a proposed operation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such request or petition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Clearly state the issues to be addressed at a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with the department within the 30-day period prescribed in </w:t>
      </w:r>
      <w:hyperlink r:id="rId127">
        <w:r>
          <w:rPr>
            <w:rStyle w:val="Hyperlink"/>
            <w:rFonts w:ascii="Times New Roman" w:hAnsi="Times New Roman"/>
            <w:b w:val="false"/>
            <w:i w:val="false"/>
            <w:color w:val="000000"/>
            <w:sz w:val="22"/>
          </w:rPr>
          <w:t>40.5(9)</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Indicate the interest of the party filing the petition or request and the reasons why a hearing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an informal and noncontested case hearing if there is a significant public interest in holding a hearing, including the filing of requests or petitions for a hearing. Frivolous or insubstantial hearing requests may be denied by the department. Instances of doubt should be resolved in favor of holding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hearing held pursuant to this subrule shall be held in the geographical area of the system, or other appropriate area,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as appropriate, consider related groups of permit applications at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Small water system—PN for public hearings. </w:t>
      </w:r>
      <w:r>
        <w:rPr>
          <w:rFonts w:ascii="Times New Roman" w:hAnsi="Times New Roman"/>
          <w:b w:val="false"/>
          <w:i w:val="false"/>
          <w:color w:val="000000"/>
          <w:sz w:val="22"/>
        </w:rPr>
        <w:t>PN of any hearing held pursuant to this subrule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circulated at least as widely as the notice under </w:t>
      </w:r>
      <w:hyperlink r:id="rId128">
        <w:r>
          <w:rPr>
            <w:rStyle w:val="Hyperlink"/>
            <w:rFonts w:ascii="Times New Roman" w:hAnsi="Times New Roman"/>
            <w:b w:val="false"/>
            <w:i w:val="false"/>
            <w:color w:val="000000"/>
            <w:sz w:val="22"/>
          </w:rPr>
          <w:t>40.5(9)</w:t>
        </w:r>
      </w:hyperlink>
      <w:r>
        <w:rPr>
          <w:rFonts w:ascii="Times New Roman" w:hAnsi="Times New Roman"/>
          <w:b w:val="false"/>
          <w:i/>
          <w:color w:val="000000"/>
          <w:sz w:val="22"/>
        </w:rPr>
        <w:t>“a”</w:t>
      </w:r>
      <w:r>
        <w:rPr>
          <w:rFonts w:ascii="Times New Roman" w:hAnsi="Times New Roman"/>
          <w:b w:val="false"/>
          <w:i w:val="false"/>
          <w:color w:val="000000"/>
          <w:sz w:val="22"/>
        </w:rPr>
        <w:t xml:space="preserve"> at least 30 days in advance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website,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 whose application will be considered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reference to the previously issued PN, including identification number and date of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and location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purpose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issues raised by the person requesting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website location where interested persons may obtain further information, request a copy of the draft operation permit or modification prepared pursuant to this subrule, and inspect and copy the application forms and related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nature of the hearing, including the rules and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Small water system—operation permit decision. </w:t>
      </w:r>
      <w:r>
        <w:rPr>
          <w:rFonts w:ascii="Times New Roman" w:hAnsi="Times New Roman"/>
          <w:b w:val="false"/>
          <w:i w:val="false"/>
          <w:color w:val="000000"/>
          <w:sz w:val="22"/>
        </w:rPr>
        <w:t>The department shall issue or deny an operation permit within 30 days after a public hearing held pursuant to this subrule, or, if no public hearing is held, within 30 days after the end of the period for requesting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567—40.6</w:t>
      </w:r>
      <w:r>
        <w:rPr>
          <w:rFonts w:ascii="Times New Roman" w:hAnsi="Times New Roman"/>
          <w:b/>
          <w:i w:val="false"/>
          <w:color w:val="000000"/>
          <w:sz w:val="22"/>
        </w:rPr>
        <w:t xml:space="preserve">(455B) </w:t>
      </w:r>
      <w:r>
        <w:rPr>
          <w:rFonts w:ascii="Times New Roman" w:hAnsi="Times New Roman"/>
          <w:b/>
          <w:i w:val="false"/>
          <w:color w:val="000000"/>
          <w:sz w:val="22"/>
        </w:rPr>
        <w:t xml:space="preserve">Lead consumer notice and public education (PE) for lead action level exceedance (ALE).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color w:val="000000"/>
          <w:sz w:val="22"/>
        </w:rPr>
        <w:t xml:space="preserve">Lead consumer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 xml:space="preserve">All CWSs and NTNCs must provide a consumer notice of the individual lead tap water monitoring results required by </w:t>
      </w:r>
      <w:hyperlink r:id="rId129">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to the persons served at the tested sites (taps). Any system with a lead ALE shall also implement the PE requirements of </w:t>
      </w:r>
      <w:hyperlink r:id="rId130">
        <w:r>
          <w:rPr>
            <w:rStyle w:val="Hyperlink"/>
            <w:rFonts w:ascii="Times New Roman" w:hAnsi="Times New Roman"/>
            <w:b w:val="false"/>
            <w:i w:val="false"/>
            <w:color w:val="000000"/>
            <w:sz w:val="22"/>
          </w:rPr>
          <w:t>40.6(2)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Consumer notice timing. </w:t>
      </w:r>
      <w:r>
        <w:rPr>
          <w:rFonts w:ascii="Times New Roman" w:hAnsi="Times New Roman"/>
          <w:b w:val="false"/>
          <w:i w:val="false"/>
          <w:color w:val="000000"/>
          <w:sz w:val="22"/>
        </w:rPr>
        <w:t>A system must provide the notice as soon as practical but no later than 30 days after the system learns of the tap monitoring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Consumer notice content. </w:t>
      </w:r>
      <w:r>
        <w:rPr>
          <w:rFonts w:ascii="Times New Roman" w:hAnsi="Times New Roman"/>
          <w:b w:val="false"/>
          <w:i w:val="false"/>
          <w:color w:val="000000"/>
          <w:sz w:val="22"/>
        </w:rPr>
        <w:t>A consumer notice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of the lead tap water monitoring for the tested tap,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health effects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list of steps consumers can take to reduce exposure to lead in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PWS contact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MCLG of 0 mg/L, the 90th percentile lead AL of 0.015 mg/L, and the definitions for these two terms from </w:t>
      </w:r>
      <w:hyperlink r:id="rId131">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Consumer notice delivery. </w:t>
      </w:r>
      <w:r>
        <w:rPr>
          <w:rFonts w:ascii="Times New Roman" w:hAnsi="Times New Roman"/>
          <w:b w:val="false"/>
          <w:i w:val="false"/>
          <w:color w:val="000000"/>
          <w:sz w:val="22"/>
        </w:rPr>
        <w:t>The notice must be provided to persons served at the tested tap either by mail or by another department-approved method. For example, upon department approval, an NTNC could post results on a bulletin board in the facility. Systems must provide the notice to customers at sample taps tested, including consumers who do not receive water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Inclusion of copper results. </w:t>
      </w:r>
      <w:r>
        <w:rPr>
          <w:rFonts w:ascii="Times New Roman" w:hAnsi="Times New Roman"/>
          <w:b w:val="false"/>
          <w:i w:val="false"/>
          <w:color w:val="000000"/>
          <w:sz w:val="22"/>
        </w:rPr>
        <w:t>Systems may also include copper testing results in the consumer notice, along with the 90th percentile copper ALE of 1.3 mg/L, copper MCLG of 1.3 mg/L, and copper health effects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color w:val="000000"/>
          <w:sz w:val="22"/>
        </w:rPr>
        <w:t xml:space="preserve">Lead PE for lead ALE. </w:t>
      </w:r>
      <w:r>
        <w:rPr>
          <w:rFonts w:ascii="Times New Roman" w:hAnsi="Times New Roman"/>
          <w:b w:val="false"/>
          <w:i w:val="false"/>
          <w:color w:val="000000"/>
          <w:sz w:val="22"/>
        </w:rPr>
        <w:t xml:space="preserve">Systems with a lead ALE based on tap water samples collected in accordance with </w:t>
      </w:r>
      <w:hyperlink r:id="rId132">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prepare and deliver PE materials and sample the tap water of any customer who requests it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materials. </w:t>
      </w:r>
      <w:r>
        <w:rPr>
          <w:rFonts w:ascii="Times New Roman" w:hAnsi="Times New Roman"/>
          <w:b w:val="false"/>
          <w:i w:val="false"/>
          <w:color w:val="000000"/>
          <w:sz w:val="22"/>
        </w:rPr>
        <w:t xml:space="preserve">Systems must include the following statements in written PE materials in the same order as listed in this paragraph. Language in </w:t>
      </w:r>
      <w:hyperlink r:id="rId133">
        <w:r>
          <w:rPr>
            <w:rStyle w:val="Hyperlink"/>
            <w:rFonts w:ascii="Times New Roman" w:hAnsi="Times New Roman"/>
            <w:b w:val="false"/>
            <w:i w:val="false"/>
            <w:color w:val="000000"/>
            <w:sz w:val="22"/>
          </w:rPr>
          <w:t>40.6(2)</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and </w:t>
      </w:r>
      <w:r>
        <w:rPr>
          <w:rFonts w:ascii="Times New Roman" w:hAnsi="Times New Roman"/>
          <w:b w:val="false"/>
          <w:i/>
          <w:color w:val="000000"/>
          <w:sz w:val="22"/>
        </w:rPr>
        <w:t>“a”</w:t>
      </w:r>
      <w:r>
        <w:rPr>
          <w:rFonts w:ascii="Times New Roman" w:hAnsi="Times New Roman"/>
          <w:b w:val="false"/>
          <w:i w:val="false"/>
          <w:color w:val="000000"/>
          <w:sz w:val="22"/>
        </w:rPr>
        <w:t>(5) must be included exactly as written, except for the bracketed text for which the system must substitute system-specific information. Any additional information presented by a system must be consistent with this paragraph and be in plain language that can be understood by the general public. Systems must submit all PE materials to the department prior to delivery. The department may require a system to obtain approval of the content of PE materials prior to delivery. PE materials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the following statements exactly as written.</w:t>
      </w:r>
    </w:p>
    <w:p>
      <w:pPr>
        <w:spacing w:before="0" w:after="0"/>
        <w:ind w:left="120"/>
        <w:jc w:val="both"/>
      </w:pPr>
      <w:r>
        <w:rPr>
          <w:rFonts w:ascii="Times New Roman" w:hAnsi="Times New Roman"/>
          <w:b w:val="false"/>
          <w:i w:val="false"/>
          <w:color w:val="000000"/>
          <w:sz w:val="22"/>
        </w:rPr>
        <w:t>“IMPORTANT INFORMATION ABOUT LEAD IN YOUR DRINKING WATER. [Insert system name] found elevated levels of lead in drinking water in some homes/buildings. Lead can cause serious health problems, especially for pregnant women and young children. Please read this information closely to see what you can do to reduce lead in your drinking water.”</w:t>
      </w:r>
    </w:p>
    <w:p>
      <w:pPr>
        <w:spacing w:before="0" w:after="0"/>
        <w:ind w:left="120"/>
        <w:jc w:val="both"/>
      </w:pPr>
      <w:r>
        <w:rPr>
          <w:rFonts w:ascii="Times New Roman" w:hAnsi="Times New Roman"/>
          <w:b w:val="false"/>
          <w:i w:val="false"/>
          <w:color w:val="000000"/>
          <w:sz w:val="22"/>
        </w:rPr>
        <w:t>“Health effects of lead. Lead can cause serious health problems if too much enters your body from drinking water or other sources. It can cause damage to the brain and kidneys, and can interfere with the production of red blood cells that carry oxygen to all parts of your body. The greatest risk of lead exposure is to infants, young children, and pregnant women. Scientists have linked the effects of lead on the brain with lowered IQ in children. Adults with kidney problems and high blood pressure can be affected by low levels of lead more than healthy adults. Lead is stored in the bones, and it can be released later in life. During pregnancy, the child receives lead from the mother’s bones, which may affect brain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Discuss lead and sources of lead,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Explain what lead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Explain possible sources of lead in drinking water, explain how lead enters drinking water, and include information on home/building plumbing materials and service lines that may contain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 other important sources of lead exposure in addition to drinking water (e.g.,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 steps the consumers can take to reduce their exposure to lead in drinking water,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Encourage running the water to flush out the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Explain concerns with using hot water from the tap and specifically caution against the use of hot water for preparing baby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Explain that boiling the water does not reduce lead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Discuss other options consumers can take to reduce exposure to lead in drinking water, such as alternative sources or 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Suggest that parents have their child’s blood tested for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Explain why there are elevated levels of lead in the system’s drinking water (if known) and what the system is doing to reduce the lead levels in homes/buildings in this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the following statement exactly as written.</w:t>
      </w:r>
    </w:p>
    <w:p>
      <w:pPr>
        <w:spacing w:before="0" w:after="0"/>
        <w:ind w:left="120"/>
        <w:jc w:val="both"/>
      </w:pPr>
      <w:r>
        <w:rPr>
          <w:rFonts w:ascii="Times New Roman" w:hAnsi="Times New Roman"/>
          <w:b w:val="false"/>
          <w:i w:val="false"/>
          <w:color w:val="000000"/>
          <w:sz w:val="22"/>
        </w:rPr>
        <w:t>“For more information, call us at [insert your telephone number] or visit our website at [insert your website link here]. For more information on reducing lead exposure around your home/building and the health effects of lead, visit EPA’s website at www.epa.gov/lead or contact your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Include the following if the system is a CWS: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Tell consumers how to get their water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Discuss lead in plumbing components and the difference between low lead and lead 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Outreach to non-English speaking consumers. </w:t>
      </w:r>
      <w:r>
        <w:rPr>
          <w:rFonts w:ascii="Times New Roman" w:hAnsi="Times New Roman"/>
          <w:b w:val="false"/>
          <w:i w:val="false"/>
          <w:color w:val="000000"/>
          <w:sz w:val="22"/>
        </w:rPr>
        <w:t>For PWSs serving a large proportion of non-English speaking consumers, as determined by the department, the PE materials must contain information about the importance of PE in the appropriate language(s) or contain a telephone number or address where persons served may contact the system to obtain a translated copy of the PE materials or to request assistance in the appropriate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 materials delivery by CWS. </w:t>
      </w:r>
      <w:r>
        <w:rPr>
          <w:rFonts w:ascii="Times New Roman" w:hAnsi="Times New Roman"/>
          <w:b w:val="false"/>
          <w:i w:val="false"/>
          <w:color w:val="000000"/>
          <w:sz w:val="22"/>
        </w:rPr>
        <w:t xml:space="preserve">A CWS that exceeds the lead ALE on the basis of tap water samples collected in accordance with </w:t>
      </w:r>
      <w:hyperlink r:id="rId134">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must conduct the following PE tasks within 60 days of the date of notification of the ALE. All PE materials must meet the content requirements of </w:t>
      </w:r>
      <w:hyperlink r:id="rId135">
        <w:r>
          <w:rPr>
            <w:rStyle w:val="Hyperlink"/>
            <w:rFonts w:ascii="Times New Roman" w:hAnsi="Times New Roman"/>
            <w:b w:val="false"/>
            <w:i w:val="false"/>
            <w:color w:val="000000"/>
            <w:sz w:val="22"/>
          </w:rPr>
          <w:t>40.6(2)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Deliver PE materials to all bill-paying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customers who are most at risk by delivering PE materials to local public health agencies, even if they are not located within the system’s service area, along with an informational notice that encourages distribution to all the organization’s potentially affected customers or the CWSs users. Systems must contact the local public health agencies directly by phone or in person. The local public health agencies may provide a specific list of additional community-based organizations serving target populations, which may include organizations outside the system’s service area. If such lists are provided, systems must deliver PE materials to all organizations on the provided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 customers who are most at risk by delivering PE materials to the following organizations that are located within the system’s service area, along with an informational notice that encourages distribution to all the organization’s potentially affected customers or the CWSs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and private schools or school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Women, Infants, and Children (WIC) and Head Start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 and private hospitals and medical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Pediatricians;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Family planning clinics;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Local welfare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a good-faith effort to locate the following organizations within the service area and deliver PE materials, along with an informational notice encouraging distribution to all potentially affected customers or users. This effort to contact at-risk customers may include requesting a contact list of these organizations from the local public health agencies, even if the agencies are not located within the system’s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Licensed child care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and private preschools;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Obstetricians, gynecologists, doulas, and midwives.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less often than quarterly, provide information with each water bill as long as the system exceeds the lead AL. The water bill must include the following statement exactly as written, except for the text in brackets for which the system must substitute system-specific information:</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Insert system name</w:t>
      </w:r>
      <w:r>
        <w:rPr>
          <w:rFonts w:ascii="Times New Roman" w:hAnsi="Times New Roman"/>
          <w:b w:val="false"/>
          <w:i w:val="false"/>
          <w:color w:val="000000"/>
          <w:sz w:val="22"/>
        </w:rPr>
        <w:t>] found high levels of lead in drinking water in some homes. Lead can cause serious health problems. For more information, please call [</w:t>
      </w:r>
      <w:r>
        <w:rPr>
          <w:rFonts w:ascii="Times New Roman" w:hAnsi="Times New Roman"/>
          <w:b w:val="false"/>
          <w:i/>
          <w:color w:val="000000"/>
          <w:sz w:val="22"/>
        </w:rPr>
        <w:t>insert system telephone number</w:t>
      </w:r>
      <w:r>
        <w:rPr>
          <w:rFonts w:ascii="Times New Roman" w:hAnsi="Times New Roman"/>
          <w:b w:val="false"/>
          <w:i w:val="false"/>
          <w:color w:val="000000"/>
          <w:sz w:val="22"/>
        </w:rPr>
        <w:t>] or visit [</w:t>
      </w:r>
      <w:r>
        <w:rPr>
          <w:rFonts w:ascii="Times New Roman" w:hAnsi="Times New Roman"/>
          <w:b w:val="false"/>
          <w:i/>
          <w:color w:val="000000"/>
          <w:sz w:val="22"/>
        </w:rPr>
        <w:t>insert system website link here</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The message or delivery mechanisms can be modified in consultation with the department; specifically, the department may allow a separate mailing of PE materials to customers if the system cannot place the information on water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Post PE material on the system’s website if the system serves a population greater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 Submit a press release to newspaper, television, and radio 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 addition to those items previously listed, systems must implement at least three activities from one or more of the following categories. The educational content and appropriate activities must be determined in consultation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service announcement;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Paid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 area information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Emails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Public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Household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Targeted individual customer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Direct material distribution to all multifamily homes and institutions;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department-approved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Continuing and special population PE by a CWS.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 long as a CWS exceeds the AL, it must repeat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 the tasks in </w:t>
      </w:r>
      <w:hyperlink r:id="rId136">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(8)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 the tasks in </w:t>
      </w:r>
      <w:hyperlink r:id="rId137">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(5) with each billing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CWS serving a population greater than 100,000 shall post and retain PE materials on a publicly accessible website pursuant to </w:t>
      </w:r>
      <w:hyperlink r:id="rId138">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 the task in </w:t>
      </w:r>
      <w:hyperlink r:id="rId139">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 xml:space="preserve">(7) twice every 12 months on a schedule agreed upon with the department. The department can allow activities in </w:t>
      </w:r>
      <w:hyperlink r:id="rId140">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 xml:space="preserve"> to extend beyond the 60-day requirement on a case-by-case basis; however, this extension must be approved in writing by the department in advance of the 60-day deadline, and the system must already have initiated PE activities prior to the end of the 60-day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CWS meeting either of the following criteria may apply to the department in writing for reduced PE and community notice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CWS is a facility, such as a prison or hospital, where the population served is not capable of or is prevented from making improvements to plumbing or installing POU treatment devices;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CWS provides water as part of the cost of services provided and does not separately charge for water consumption.</w:t>
      </w:r>
    </w:p>
    <w:p>
      <w:pPr>
        <w:spacing w:before="0" w:after="0"/>
        <w:ind w:left="120"/>
        <w:jc w:val="both"/>
      </w:pPr>
      <w:r>
        <w:rPr>
          <w:rFonts w:ascii="Times New Roman" w:hAnsi="Times New Roman"/>
          <w:b w:val="false"/>
          <w:i w:val="false"/>
          <w:color w:val="000000"/>
          <w:sz w:val="22"/>
        </w:rPr>
        <w:t xml:space="preserve"> If the department approves the request in writing, the CWS is not required to include the language in </w:t>
      </w:r>
      <w:hyperlink r:id="rId141">
        <w:r>
          <w:rPr>
            <w:rStyle w:val="Hyperlink"/>
            <w:rFonts w:ascii="Times New Roman" w:hAnsi="Times New Roman"/>
            <w:b w:val="false"/>
            <w:i w:val="false"/>
            <w:color w:val="000000"/>
            <w:sz w:val="22"/>
          </w:rPr>
          <w:t>40.6(2)</w:t>
        </w:r>
      </w:hyperlink>
      <w:r>
        <w:rPr>
          <w:rFonts w:ascii="Times New Roman" w:hAnsi="Times New Roman"/>
          <w:b w:val="false"/>
          <w:i/>
          <w:color w:val="000000"/>
          <w:sz w:val="22"/>
        </w:rPr>
        <w:t>“a”</w:t>
      </w:r>
      <w:r>
        <w:rPr>
          <w:rFonts w:ascii="Times New Roman" w:hAnsi="Times New Roman"/>
          <w:b w:val="false"/>
          <w:i w:val="false"/>
          <w:color w:val="000000"/>
          <w:sz w:val="22"/>
        </w:rPr>
        <w:t xml:space="preserve">(6) and must deliver the PE materials in accordance with </w:t>
      </w:r>
      <w:hyperlink r:id="rId142">
        <w:r>
          <w:rPr>
            <w:rStyle w:val="Hyperlink"/>
            <w:rFonts w:ascii="Times New Roman" w:hAnsi="Times New Roman"/>
            <w:b w:val="false"/>
            <w:i w:val="false"/>
            <w:color w:val="000000"/>
            <w:sz w:val="22"/>
          </w:rPr>
          <w:t>40.6(2)</w:t>
        </w:r>
      </w:hyperlink>
      <w:r>
        <w:rPr>
          <w:rFonts w:ascii="Times New Roman" w:hAnsi="Times New Roman"/>
          <w:b w:val="false"/>
          <w:i/>
          <w:color w:val="000000"/>
          <w:sz w:val="22"/>
        </w:rPr>
        <w:t>“e,”</w:t>
      </w:r>
      <w:r>
        <w:rPr>
          <w:rFonts w:ascii="Times New Roman" w:hAnsi="Times New Roman"/>
          <w:b w:val="false"/>
          <w:i w:val="false"/>
          <w:color w:val="000000"/>
          <w:sz w:val="22"/>
        </w:rPr>
        <w:t xml:space="preserve"> in lieu of </w:t>
      </w:r>
      <w:hyperlink r:id="rId143">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CWS serving 3,300 or fewer people may limit certain aspects of its PE programs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implement at least one of the activities in </w:t>
      </w:r>
      <w:hyperlink r:id="rId144">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may limit the distribution of the PE materials in </w:t>
      </w:r>
      <w:hyperlink r:id="rId145">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to facilities and organizations served by the system that are most likely to be visited regularly by pregnant women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waive the requirements of </w:t>
      </w:r>
      <w:hyperlink r:id="rId146">
        <w:r>
          <w:rPr>
            <w:rStyle w:val="Hyperlink"/>
            <w:rFonts w:ascii="Times New Roman" w:hAnsi="Times New Roman"/>
            <w:b w:val="false"/>
            <w:i w:val="false"/>
            <w:color w:val="000000"/>
            <w:sz w:val="22"/>
          </w:rPr>
          <w:t>40.6(2)</w:t>
        </w:r>
      </w:hyperlink>
      <w:r>
        <w:rPr>
          <w:rFonts w:ascii="Times New Roman" w:hAnsi="Times New Roman"/>
          <w:b w:val="false"/>
          <w:i/>
          <w:color w:val="000000"/>
          <w:sz w:val="22"/>
        </w:rPr>
        <w:t>“c”</w:t>
      </w:r>
      <w:r>
        <w:rPr>
          <w:rFonts w:ascii="Times New Roman" w:hAnsi="Times New Roman"/>
          <w:b w:val="false"/>
          <w:i w:val="false"/>
          <w:color w:val="000000"/>
          <w:sz w:val="22"/>
        </w:rPr>
        <w:t>(7) for the system provided it distributes notices to every household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Delivery of and continuing PE by an NTNC.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 delivery by an NTNC. Within 60 days of the date of notification of the ALE, an NTNC shall deliver the specified PE materials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informational posters on lead in drinking water in a public place or common area in each of the buildings served by the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Distribute informational pamphlets or brochures on lead in drinking water to each person served by the NTNC. The department may allow the system to utilize electronic transmission in lieu of or combined with printed materials as long as at least the same coverage is achieved. If the system serves children 18 years of age and under, such as a school or child care facility, the PE materials must be provided to the parents or legal guardians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PE by an NTNC. An NTNC shall repeat the tasks in </w:t>
      </w:r>
      <w:hyperlink r:id="rId147">
        <w:r>
          <w:rPr>
            <w:rStyle w:val="Hyperlink"/>
            <w:rFonts w:ascii="Times New Roman" w:hAnsi="Times New Roman"/>
            <w:b w:val="false"/>
            <w:i w:val="false"/>
            <w:color w:val="000000"/>
            <w:sz w:val="22"/>
          </w:rPr>
          <w:t>40.2(2)</w:t>
        </w:r>
      </w:hyperlink>
      <w:r>
        <w:rPr>
          <w:rFonts w:ascii="Times New Roman" w:hAnsi="Times New Roman"/>
          <w:b w:val="false"/>
          <w:i/>
          <w:color w:val="000000"/>
          <w:sz w:val="22"/>
        </w:rPr>
        <w:t>“e”</w:t>
      </w:r>
      <w:r>
        <w:rPr>
          <w:rFonts w:ascii="Times New Roman" w:hAnsi="Times New Roman"/>
          <w:b w:val="false"/>
          <w:i w:val="false"/>
          <w:color w:val="000000"/>
          <w:sz w:val="22"/>
        </w:rPr>
        <w:t xml:space="preserve">(1) at least once during each calendar year in which the system exceeds the lead AL. The department can allow activities in </w:t>
      </w:r>
      <w:hyperlink r:id="rId148">
        <w:r>
          <w:rPr>
            <w:rStyle w:val="Hyperlink"/>
            <w:rFonts w:ascii="Times New Roman" w:hAnsi="Times New Roman"/>
            <w:b w:val="false"/>
            <w:i w:val="false"/>
            <w:color w:val="000000"/>
            <w:sz w:val="22"/>
          </w:rPr>
          <w:t>40.2(2)</w:t>
        </w:r>
      </w:hyperlink>
      <w:r>
        <w:rPr>
          <w:rFonts w:ascii="Times New Roman" w:hAnsi="Times New Roman"/>
          <w:b w:val="false"/>
          <w:i/>
          <w:color w:val="000000"/>
          <w:sz w:val="22"/>
        </w:rPr>
        <w:t>“e”</w:t>
      </w:r>
      <w:r>
        <w:rPr>
          <w:rFonts w:ascii="Times New Roman" w:hAnsi="Times New Roman"/>
          <w:b w:val="false"/>
          <w:i w:val="false"/>
          <w:color w:val="000000"/>
          <w:sz w:val="22"/>
        </w:rPr>
        <w:t>(1) to extend beyond the 60-day requirement on a case-by-case basis; however, this extension must be approved in writing by the department in advance of the 60-day deadline, and the system must already have initiated PE activities prior to the end of the 60-day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PE activities. </w:t>
      </w:r>
      <w:r>
        <w:rPr>
          <w:rFonts w:ascii="Times New Roman" w:hAnsi="Times New Roman"/>
          <w:b w:val="false"/>
          <w:i w:val="false"/>
          <w:color w:val="000000"/>
          <w:sz w:val="22"/>
        </w:rPr>
        <w:t xml:space="preserve">A CWS or NTNC may discontinue delivery of PE materials if it has met the lead AL during the most recent six-month monitoring period conducted pursuant to </w:t>
      </w:r>
      <w:hyperlink r:id="rId149">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Such systems shall recommence PE in accordance with this subrule if it subsequently exceeds the lead AL during any monitoring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Supplemental monitoring and notification of results. </w:t>
      </w:r>
      <w:r>
        <w:rPr>
          <w:rFonts w:ascii="Times New Roman" w:hAnsi="Times New Roman"/>
          <w:b w:val="false"/>
          <w:i w:val="false"/>
          <w:color w:val="000000"/>
          <w:sz w:val="22"/>
        </w:rPr>
        <w:t xml:space="preserve">A system that fails to meet the lead AL on the basis of tap samples collected in accordance with </w:t>
      </w:r>
      <w:hyperlink r:id="rId150">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offer to sample the tap water of any customer who requests it. The system is not required to pay for collecting or analyzing the sample, nor is the system itself required to collect and analyze the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567—40.7</w:t>
      </w:r>
      <w:r>
        <w:rPr>
          <w:rFonts w:ascii="Times New Roman" w:hAnsi="Times New Roman"/>
          <w:b/>
          <w:i w:val="false"/>
          <w:color w:val="000000"/>
          <w:sz w:val="22"/>
        </w:rPr>
        <w:t xml:space="preserve">(455B) </w:t>
      </w:r>
      <w:r>
        <w:rPr>
          <w:rFonts w:ascii="Times New Roman" w:hAnsi="Times New Roman"/>
          <w:b/>
          <w:i w:val="false"/>
          <w:color w:val="000000"/>
          <w:sz w:val="22"/>
        </w:rPr>
        <w:t xml:space="preserve">Consumer confidence reports (CCRs).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This rule applies to all CWSs and establishes the requirements for the content of annual CCRs that CWSs must deliver to their customers. These CCRs must contain information on the quality of the water delivered by the systems and characterize the risks (if any) from exposure to contaminants in the drinking water in an accurate and understandable manner. The department may assign PN requirements and assess administrative penalties to any CWS that fails to fulfill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w:t>
      </w:r>
      <w:r>
        <w:rPr>
          <w:rFonts w:ascii="Times New Roman" w:hAnsi="Times New Roman"/>
          <w:b w:val="false"/>
          <w:i w:val="false"/>
          <w:color w:val="000000"/>
          <w:sz w:val="22"/>
        </w:rPr>
        <w:t> </w:t>
      </w:r>
      <w:r>
        <w:rPr>
          <w:rFonts w:ascii="Times New Roman" w:hAnsi="Times New Roman"/>
          <w:b w:val="false"/>
          <w:i/>
          <w:color w:val="000000"/>
          <w:sz w:val="22"/>
        </w:rPr>
        <w:t xml:space="preserve">CCR delivery frequency.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Existing CWSs. </w:t>
      </w:r>
      <w:r>
        <w:rPr>
          <w:rFonts w:ascii="Times New Roman" w:hAnsi="Times New Roman"/>
          <w:b w:val="false"/>
          <w:i w:val="false"/>
          <w:color w:val="000000"/>
          <w:sz w:val="22"/>
        </w:rPr>
        <w:t>Existing CWSs must deliver CCRs annually by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CWSs. </w:t>
      </w:r>
      <w:r>
        <w:rPr>
          <w:rFonts w:ascii="Times New Roman" w:hAnsi="Times New Roman"/>
          <w:b w:val="false"/>
          <w:i w:val="false"/>
          <w:color w:val="000000"/>
          <w:sz w:val="22"/>
        </w:rPr>
        <w:t>New CWSs must deliver their first CCR by July 1 of the year after their first full calendar year in operation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CWSs that sell water to another CWS. </w:t>
      </w:r>
      <w:r>
        <w:rPr>
          <w:rFonts w:ascii="Times New Roman" w:hAnsi="Times New Roman"/>
          <w:b w:val="false"/>
          <w:i w:val="false"/>
          <w:color w:val="000000"/>
          <w:sz w:val="22"/>
        </w:rPr>
        <w:t xml:space="preserve">A CWS that sells water to another CWS must deliver the applicable information in </w:t>
      </w:r>
      <w:hyperlink r:id="rId151">
        <w:r>
          <w:rPr>
            <w:rStyle w:val="Hyperlink"/>
            <w:rFonts w:ascii="Times New Roman" w:hAnsi="Times New Roman"/>
            <w:b w:val="false"/>
            <w:i w:val="false"/>
            <w:color w:val="000000"/>
            <w:sz w:val="22"/>
          </w:rPr>
          <w:t>40.3(7)</w:t>
        </w:r>
      </w:hyperlink>
      <w:r>
        <w:rPr>
          <w:rFonts w:ascii="Times New Roman" w:hAnsi="Times New Roman"/>
          <w:b w:val="false"/>
          <w:i w:val="false"/>
          <w:color w:val="000000"/>
          <w:sz w:val="22"/>
        </w:rPr>
        <w:t xml:space="preserve"> to the buyer (or consecutive)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Annually by April 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 date mutually agreed upon by the seller and the purchaser and specifically included in a contract between the parties.</w:t>
      </w:r>
    </w:p>
    <w:p>
      <w:pPr>
        <w:spacing w:before="0" w:after="0"/>
        <w:ind w:left="120"/>
        <w:jc w:val="both"/>
      </w:pPr>
      <w:r>
        <w:rPr>
          <w:rFonts w:ascii="Times New Roman" w:hAnsi="Times New Roman"/>
          <w:b w:val="false"/>
          <w:i w:val="false"/>
          <w:color w:val="000000"/>
          <w:sz w:val="22"/>
        </w:rPr>
        <w:t xml:space="preserve">When a consecutive system sells water to another CWS, the seller must provide all applicable information in </w:t>
      </w:r>
      <w:hyperlink r:id="rId152">
        <w:r>
          <w:rPr>
            <w:rStyle w:val="Hyperlink"/>
            <w:rFonts w:ascii="Times New Roman" w:hAnsi="Times New Roman"/>
            <w:b w:val="false"/>
            <w:i w:val="false"/>
            <w:color w:val="000000"/>
            <w:sz w:val="22"/>
          </w:rPr>
          <w:t>40.3(7)</w:t>
        </w:r>
      </w:hyperlink>
      <w:r>
        <w:rPr>
          <w:rFonts w:ascii="Times New Roman" w:hAnsi="Times New Roman"/>
          <w:b w:val="false"/>
          <w:i w:val="false"/>
          <w:color w:val="000000"/>
          <w:sz w:val="22"/>
        </w:rPr>
        <w:t xml:space="preserve"> to the CWS buying the water from them.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w:t>
      </w:r>
      <w:r>
        <w:rPr>
          <w:rFonts w:ascii="Times New Roman" w:hAnsi="Times New Roman"/>
          <w:b w:val="false"/>
          <w:i w:val="false"/>
          <w:color w:val="000000"/>
          <w:sz w:val="22"/>
        </w:rPr>
        <w:t> </w:t>
      </w:r>
      <w:r>
        <w:rPr>
          <w:rFonts w:ascii="Times New Roman" w:hAnsi="Times New Roman"/>
          <w:b w:val="false"/>
          <w:i/>
          <w:color w:val="000000"/>
          <w:sz w:val="22"/>
        </w:rPr>
        <w:t xml:space="preserve">CCR content—source water identification and definitions. </w:t>
      </w:r>
      <w:r>
        <w:rPr>
          <w:rFonts w:ascii="Times New Roman" w:hAnsi="Times New Roman"/>
          <w:b w:val="false"/>
          <w:i w:val="false"/>
          <w:color w:val="000000"/>
          <w:sz w:val="22"/>
        </w:rPr>
        <w:t>Each annual CCR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 water identification. </w:t>
      </w:r>
      <w:r>
        <w:rPr>
          <w:rFonts w:ascii="Times New Roman" w:hAnsi="Times New Roman"/>
          <w:b w:val="false"/>
          <w:i w:val="false"/>
          <w:color w:val="000000"/>
          <w:sz w:val="22"/>
        </w:rPr>
        <w:t>A CCR must identify the source(s) of water delivered by the CWS,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Type of water (e.g., SW, groundwater (GW), GW purchased from another PWS).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Commonly used name of the aquifer, reservoir, or river (if any) and location of the body(ies)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a source water assessment and the means to obtain it if an assessment has been completed. Systems are encouraged to highlight significant sources of contamination in the source water area if information is available. Where a system has received a source water assessment from the department, the CCR must include a brief summary of the system’s susceptibility to potential sources of contamination using language provided by the department or its designee or written by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Each CCR using any of the following terms must include the applicable definitions of MCL, MCLG, MRDL, and MRDLG from </w:t>
      </w:r>
      <w:r>
        <w:rPr>
          <w:rFonts w:ascii="Times New Roman" w:hAnsi="Times New Roman"/>
          <w:b w:val="false"/>
          <w:i w:val="false"/>
          <w:color w:val="000000"/>
          <w:sz w:val="22"/>
        </w:rPr>
        <w:t>40 CFR §141.153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CCR that contains data on a contaminant for which EPA has set a TT or an AL must include the applicable definitions from </w:t>
      </w:r>
      <w:r>
        <w:rPr>
          <w:rFonts w:ascii="Times New Roman" w:hAnsi="Times New Roman"/>
          <w:b w:val="false"/>
          <w:i w:val="false"/>
          <w:color w:val="000000"/>
          <w:sz w:val="22"/>
        </w:rPr>
        <w:t>40 CFR §141.153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CCR that contains information regarding a Level 1 or Level 2 assessment required under </w:t>
      </w:r>
      <w:hyperlink r:id="rId153">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must include the applicable assessment definitions from </w:t>
      </w:r>
      <w:r>
        <w:rPr>
          <w:rFonts w:ascii="Times New Roman" w:hAnsi="Times New Roman"/>
          <w:b w:val="false"/>
          <w:i w:val="false"/>
          <w:color w:val="000000"/>
          <w:sz w:val="22"/>
        </w:rPr>
        <w:t>40 CFR §141.153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w:t>
      </w:r>
      <w:r>
        <w:rPr>
          <w:rFonts w:ascii="Times New Roman" w:hAnsi="Times New Roman"/>
          <w:b w:val="false"/>
          <w:i w:val="false"/>
          <w:color w:val="000000"/>
          <w:sz w:val="22"/>
        </w:rPr>
        <w:t> </w:t>
      </w:r>
      <w:r>
        <w:rPr>
          <w:rFonts w:ascii="Times New Roman" w:hAnsi="Times New Roman"/>
          <w:b w:val="false"/>
          <w:i/>
          <w:color w:val="000000"/>
          <w:sz w:val="22"/>
        </w:rPr>
        <w:t xml:space="preserve">CCR content—information on detected contaminants. </w:t>
      </w:r>
      <w:r>
        <w:rPr>
          <w:rFonts w:ascii="Times New Roman" w:hAnsi="Times New Roman"/>
          <w:b w:val="false"/>
          <w:i w:val="false"/>
          <w:color w:val="000000"/>
          <w:sz w:val="22"/>
        </w:rPr>
        <w:t xml:space="preserve">This subrule specifies the information required in each CCR for contaminants subject to mandatory monitoring as follows: regulated contaminants subject to an MCL, AL, MRDL, or TT; contaminants for which monitoring is required by either </w:t>
      </w:r>
      <w:r>
        <w:rPr>
          <w:rFonts w:ascii="Times New Roman" w:hAnsi="Times New Roman"/>
          <w:b w:val="false"/>
          <w:i w:val="false"/>
          <w:color w:val="000000"/>
          <w:sz w:val="22"/>
        </w:rPr>
        <w:t>40 CFR §141.40</w:t>
      </w:r>
      <w:r>
        <w:rPr>
          <w:rFonts w:ascii="Times New Roman" w:hAnsi="Times New Roman"/>
          <w:b w:val="false"/>
          <w:i w:val="false"/>
          <w:color w:val="000000"/>
          <w:sz w:val="22"/>
        </w:rPr>
        <w:t xml:space="preserve"> (unregulated contaminants), </w:t>
      </w:r>
      <w:hyperlink r:id="rId154">
        <w:r>
          <w:rPr>
            <w:rStyle w:val="Hyperlink"/>
            <w:rFonts w:ascii="Times New Roman" w:hAnsi="Times New Roman"/>
            <w:b w:val="false"/>
            <w:i w:val="false"/>
            <w:color w:val="000000"/>
            <w:sz w:val="22"/>
          </w:rPr>
          <w:t>567—subrule 41.9(1)</w:t>
        </w:r>
      </w:hyperlink>
      <w:r>
        <w:rPr>
          <w:rFonts w:ascii="Times New Roman" w:hAnsi="Times New Roman"/>
          <w:b w:val="false"/>
          <w:i w:val="false"/>
          <w:color w:val="000000"/>
          <w:sz w:val="22"/>
        </w:rPr>
        <w:t xml:space="preserve"> (sodium), or </w:t>
      </w:r>
      <w:hyperlink r:id="rId155">
        <w:r>
          <w:rPr>
            <w:rStyle w:val="Hyperlink"/>
            <w:rFonts w:ascii="Times New Roman" w:hAnsi="Times New Roman"/>
            <w:b w:val="false"/>
            <w:i w:val="false"/>
            <w:color w:val="000000"/>
            <w:sz w:val="22"/>
          </w:rPr>
          <w:t>567—41.11</w:t>
        </w:r>
      </w:hyperlink>
      <w:r>
        <w:rPr>
          <w:rFonts w:ascii="Times New Roman" w:hAnsi="Times New Roman"/>
          <w:b w:val="false"/>
          <w:i w:val="false"/>
          <w:color w:val="000000"/>
          <w:sz w:val="22"/>
        </w:rPr>
        <w:t xml:space="preserve">(455B) (other contaminants); and, except as provided under </w:t>
      </w:r>
      <w:hyperlink r:id="rId156">
        <w:r>
          <w:rPr>
            <w:rStyle w:val="Hyperlink"/>
            <w:rFonts w:ascii="Times New Roman" w:hAnsi="Times New Roman"/>
            <w:b w:val="false"/>
            <w:i w:val="false"/>
            <w:color w:val="000000"/>
            <w:sz w:val="22"/>
          </w:rPr>
          <w:t>40.7(6)</w:t>
        </w:r>
      </w:hyperlink>
      <w:r>
        <w:rPr>
          <w:rFonts w:ascii="Times New Roman" w:hAnsi="Times New Roman"/>
          <w:b w:val="false"/>
          <w:i/>
          <w:color w:val="000000"/>
          <w:sz w:val="22"/>
        </w:rPr>
        <w:t>“a,”</w:t>
      </w:r>
      <w:r>
        <w:rPr>
          <w:rFonts w:ascii="Times New Roman" w:hAnsi="Times New Roman"/>
          <w:b w:val="false"/>
          <w:i w:val="false"/>
          <w:color w:val="000000"/>
          <w:sz w:val="22"/>
        </w:rPr>
        <w:t xml:space="preserve"> contaminants with department-required monitoring that are detected in the finished water (disinfection byproducts (DBPs) or microbial contaminants), and Cryptosporidium. Ammonia monitoring conducted pursuant to </w:t>
      </w:r>
      <w:hyperlink r:id="rId157">
        <w:r>
          <w:rPr>
            <w:rStyle w:val="Hyperlink"/>
            <w:rFonts w:ascii="Times New Roman" w:hAnsi="Times New Roman"/>
            <w:b w:val="false"/>
            <w:i w:val="false"/>
            <w:color w:val="000000"/>
            <w:sz w:val="22"/>
          </w:rPr>
          <w:t>567—subrule 41.9(2)</w:t>
        </w:r>
      </w:hyperlink>
      <w:r>
        <w:rPr>
          <w:rFonts w:ascii="Times New Roman" w:hAnsi="Times New Roman"/>
          <w:b w:val="false"/>
          <w:i w:val="false"/>
          <w:color w:val="000000"/>
          <w:sz w:val="22"/>
        </w:rPr>
        <w:t xml:space="preserve"> is not subject to this paragraph. For the purposes of this subrule, “detected” means at or above the levels prescribed as follows: inorganic contaminants in </w:t>
      </w:r>
      <w:hyperlink r:id="rId158">
        <w:r>
          <w:rPr>
            <w:rStyle w:val="Hyperlink"/>
            <w:rFonts w:ascii="Times New Roman" w:hAnsi="Times New Roman"/>
            <w:b w:val="false"/>
            <w:i w:val="false"/>
            <w:color w:val="000000"/>
            <w:sz w:val="22"/>
          </w:rPr>
          <w:t>567—subparagraph 41.3(1)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VOCs and SOCs in </w:t>
      </w:r>
      <w:hyperlink r:id="rId159">
        <w:r>
          <w:rPr>
            <w:rStyle w:val="Hyperlink"/>
            <w:rFonts w:ascii="Times New Roman" w:hAnsi="Times New Roman"/>
            <w:b w:val="false"/>
            <w:i w:val="false"/>
            <w:color w:val="000000"/>
            <w:sz w:val="22"/>
          </w:rPr>
          <w:t>567—paragraph 41.5(1)</w:t>
        </w:r>
      </w:hyperlink>
      <w:r>
        <w:rPr>
          <w:rFonts w:ascii="Times New Roman" w:hAnsi="Times New Roman"/>
          <w:b w:val="false"/>
          <w:i/>
          <w:color w:val="000000"/>
          <w:sz w:val="22"/>
        </w:rPr>
        <w:t>“b”</w:t>
      </w:r>
      <w:r>
        <w:rPr>
          <w:rFonts w:ascii="Times New Roman" w:hAnsi="Times New Roman"/>
          <w:b w:val="false"/>
          <w:i w:val="false"/>
          <w:color w:val="000000"/>
          <w:sz w:val="22"/>
        </w:rPr>
        <w:t xml:space="preserve">; radionuclide contaminants in </w:t>
      </w:r>
      <w:hyperlink r:id="rId160">
        <w:r>
          <w:rPr>
            <w:rStyle w:val="Hyperlink"/>
            <w:rFonts w:ascii="Times New Roman" w:hAnsi="Times New Roman"/>
            <w:b w:val="false"/>
            <w:i w:val="false"/>
            <w:color w:val="000000"/>
            <w:sz w:val="22"/>
          </w:rPr>
          <w:t>567—paragraph 41.8(1)</w:t>
        </w:r>
      </w:hyperlink>
      <w:r>
        <w:rPr>
          <w:rFonts w:ascii="Times New Roman" w:hAnsi="Times New Roman"/>
          <w:b w:val="false"/>
          <w:i/>
          <w:color w:val="000000"/>
          <w:sz w:val="22"/>
        </w:rPr>
        <w:t>“c”</w:t>
      </w:r>
      <w:r>
        <w:rPr>
          <w:rFonts w:ascii="Times New Roman" w:hAnsi="Times New Roman"/>
          <w:b w:val="false"/>
          <w:i w:val="false"/>
          <w:color w:val="000000"/>
          <w:sz w:val="22"/>
        </w:rPr>
        <w:t xml:space="preserve">; DBPs in </w:t>
      </w:r>
      <w:hyperlink r:id="rId161">
        <w:r>
          <w:rPr>
            <w:rStyle w:val="Hyperlink"/>
            <w:rFonts w:ascii="Times New Roman" w:hAnsi="Times New Roman"/>
            <w:b w:val="false"/>
            <w:i w:val="false"/>
            <w:color w:val="000000"/>
            <w:sz w:val="22"/>
          </w:rPr>
          <w:t>567—paragraph 41.6(1)</w:t>
        </w:r>
      </w:hyperlink>
      <w:r>
        <w:rPr>
          <w:rFonts w:ascii="Times New Roman" w:hAnsi="Times New Roman"/>
          <w:b w:val="false"/>
          <w:i/>
          <w:color w:val="000000"/>
          <w:sz w:val="22"/>
        </w:rPr>
        <w:t>“b”</w:t>
      </w:r>
      <w:r>
        <w:rPr>
          <w:rFonts w:ascii="Times New Roman" w:hAnsi="Times New Roman"/>
          <w:b w:val="false"/>
          <w:i w:val="false"/>
          <w:color w:val="000000"/>
          <w:sz w:val="22"/>
        </w:rPr>
        <w:t>(1); and other contaminants with HAs, as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Contaminant data must be displayed in one or more tables. Any additional monitoring results that a CWS chooses to include in its CCR must be displayed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Contaminant data must be derived from data collected to comply with departmental monitoring and analytical requirements. Where a system is allowed to monitor for contaminants less often than once a year, the CCR table(s) must include the results, the most recent sampling date, and a brief statement indicating that the data in the CCR are from the most recent testing done in accordance with the regulations. No data older than five years need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detected regulated contaminants listed in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 the table(s)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contaminant MCL, expressed as a number equal to or greater than 1.0 (as provided in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contaminant MCLG, expressed in the same units as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there is no MCL for a detected contaminant, the table(s) must indicate that there is a TT, or specify the AL applicable to that contaminant, and the CCR must include the definition for TT or AL,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contaminants subject to an MCL, except turbidity and </w:t>
      </w:r>
      <w:r>
        <w:rPr>
          <w:rFonts w:ascii="Times New Roman" w:hAnsi="Times New Roman"/>
          <w:b w:val="false"/>
          <w:i/>
          <w:color w:val="000000"/>
          <w:sz w:val="22"/>
        </w:rPr>
        <w:t>E. coli</w:t>
      </w:r>
      <w:r>
        <w:rPr>
          <w:rFonts w:ascii="Times New Roman" w:hAnsi="Times New Roman"/>
          <w:b w:val="false"/>
          <w:i w:val="false"/>
          <w:color w:val="000000"/>
          <w:sz w:val="22"/>
        </w:rPr>
        <w:t>, the table(s) must contain the highest contaminant level used to determine compliance with a primary drinking water standard and the range of detected levels, expressed in the same units as the MCL,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MCL compliance is determined annually or less frequently: the highest detected level at any sampling point and the range of detected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MCL compliance is determined by calculating a running annual average (RAA) of all samples taken at a sampling point: the highest average of any of the sampling points and the range of all sampling points. For TTHM and HAA5 MCLs, systems must include the highest locational running annual average (LRAA) for TTHM and HAA5 and the range of individual sample results for all monitoring locations. If more than one location exceeds the TTHM or HAA5 MCL, the system must include the LRAAs for all locations that exceed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MCL compliance is determined on a systemwide basis by calculating an RAA of all samples at all sampling points: the average and range of detection. When rounding of results to determine MCL compliance is allowed by the regulations, rounding should be done prior to multiplying the results by the factor in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turbidity: The highest single measurement and the lowest monthly percentage of samples meeting the turbidity limits specified in </w:t>
      </w:r>
      <w:hyperlink r:id="rId162">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w:t>
      </w:r>
      <w:hyperlink r:id="rId163">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or </w:t>
      </w:r>
      <w:hyperlink r:id="rId164">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(455B) for the filtration technology being used when turbidity is being reported pursuant to the cited rules. The CCR should include an explanation of the reasons for measuring turbidity.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lead and copper: the 90th percentile value of the most recent round of sampling and the number of sampling sites exceeding the 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results under </w:t>
      </w:r>
      <w:hyperlink r:id="rId165">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the total number of positive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likely source(s) of detected contaminants to the best of the owner’s or operator’s knowledge. If specific contaminant information is in sanitary surveys or source water assessments, it should be used. If the owner or operator lacks specific information on the likely contaminant source, the CCR must include one or more of the typical contaminant sources (from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 that are most applicable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 CWS distributes water to its customers from multiple hydraulically independent distribution systems that are fed by different raw water sources, the CCR should identify each separate distribution system and the table(s) should contain a separate column for each service area. Alternatively, systems may produce separate CCRs tailored to include data for each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table(s) must clearly identify any data indicating MCL, MRDL, or TT violations, and the CCR must contain a clear and readily understandable explanation of the violation,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potential adverse health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Actions taken by the system to address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language from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 describing the potential health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detected unregulated contaminants for which monitoring is required, except </w:t>
      </w:r>
      <w:r>
        <w:rPr>
          <w:rFonts w:ascii="Times New Roman" w:hAnsi="Times New Roman"/>
          <w:b w:val="false"/>
          <w:i/>
          <w:color w:val="000000"/>
          <w:sz w:val="22"/>
        </w:rPr>
        <w:t>Cryptosporidium</w:t>
      </w:r>
      <w:r>
        <w:rPr>
          <w:rFonts w:ascii="Times New Roman" w:hAnsi="Times New Roman"/>
          <w:b w:val="false"/>
          <w:i w:val="false"/>
          <w:color w:val="000000"/>
          <w:sz w:val="22"/>
        </w:rPr>
        <w:t>, the table(s) must contain the average and range at which the contaminant was detected. The CCR may include a brief explanation of the reasons for monitoring for unregulated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CWSs may list the most recent results of the special sodium monitoring requirement, according to </w:t>
      </w:r>
      <w:hyperlink r:id="rId166">
        <w:r>
          <w:rPr>
            <w:rStyle w:val="Hyperlink"/>
            <w:rFonts w:ascii="Times New Roman" w:hAnsi="Times New Roman"/>
            <w:b w:val="false"/>
            <w:i w:val="false"/>
            <w:color w:val="000000"/>
            <w:sz w:val="22"/>
          </w:rPr>
          <w:t>567—subrule 41.11(1)</w:t>
        </w:r>
      </w:hyperlink>
      <w:r>
        <w:rPr>
          <w:rFonts w:ascii="Times New Roman" w:hAnsi="Times New Roman"/>
          <w:b w:val="false"/>
          <w:i w:val="false"/>
          <w:color w:val="000000"/>
          <w:sz w:val="22"/>
        </w:rPr>
        <w:t>, in the CCR instead of providing a separate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a contaminant that does not have an MCL, MRDL, TT, or AL is detected in the water, the PWS must contact the department for the specific health effects language, health advisory level (HAL), and contamination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monitoring indicates that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may be present in the source water or the finished water, or that radon may be present in the finished water, the CCR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of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radon monitoring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results’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system has performed additional monitoring that indicates the presence of other contaminants in the finished water, it must report any results that may indicate a health concern. To determine if results may indicate a health concern, a CWS can inquire about a current or proposed MCL, MRDL, TT, AL, or HA by contacting the department or by calling the National Safe Drinking Water Hotline (800.426.4791). The department considers the detection of a contaminant above a proposed MCL or HAL to indicate possible health concerns. For such contaminants, the CCR should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monitoring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results’ significance, noting the existence of an HA or a proposed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system was required to comply with the federal Information Collection Rule pursuant to </w:t>
      </w:r>
      <w:r>
        <w:rPr>
          <w:rFonts w:ascii="Times New Roman" w:hAnsi="Times New Roman"/>
          <w:b w:val="false"/>
          <w:i w:val="false"/>
          <w:color w:val="000000"/>
          <w:sz w:val="22"/>
        </w:rPr>
        <w:t>40 CFR Part 141</w:t>
      </w:r>
      <w:r>
        <w:rPr>
          <w:rFonts w:ascii="Times New Roman" w:hAnsi="Times New Roman"/>
          <w:b w:val="false"/>
          <w:i w:val="false"/>
          <w:color w:val="000000"/>
          <w:sz w:val="22"/>
        </w:rPr>
        <w:t xml:space="preserve">, it must include the results of monitoring in compliance with </w:t>
      </w:r>
      <w:r>
        <w:rPr>
          <w:rFonts w:ascii="Times New Roman" w:hAnsi="Times New Roman"/>
          <w:b w:val="false"/>
          <w:i w:val="false"/>
          <w:color w:val="000000"/>
          <w:sz w:val="22"/>
        </w:rPr>
        <w:t>40 CFR Part 141</w:t>
      </w:r>
      <w:r>
        <w:rPr>
          <w:rFonts w:ascii="Times New Roman" w:hAnsi="Times New Roman"/>
          <w:b w:val="false"/>
          <w:i w:val="false"/>
          <w:color w:val="000000"/>
          <w:sz w:val="22"/>
        </w:rPr>
        <w:t>. These results need only be included for five years from the date of the sample or until any of the detected contaminants become regulated and subject to routine monitoring requirements,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w:t>
      </w:r>
      <w:r>
        <w:rPr>
          <w:rFonts w:ascii="Times New Roman" w:hAnsi="Times New Roman"/>
          <w:b w:val="false"/>
          <w:i w:val="false"/>
          <w:color w:val="000000"/>
          <w:sz w:val="22"/>
        </w:rPr>
        <w:t> </w:t>
      </w:r>
      <w:r>
        <w:rPr>
          <w:rFonts w:ascii="Times New Roman" w:hAnsi="Times New Roman"/>
          <w:b w:val="false"/>
          <w:i/>
          <w:color w:val="000000"/>
          <w:sz w:val="22"/>
        </w:rPr>
        <w:t xml:space="preserve">CCR content—compliance with 567—Chapters 41 and 43. </w:t>
      </w:r>
      <w:r>
        <w:rPr>
          <w:rFonts w:ascii="Times New Roman" w:hAnsi="Times New Roman"/>
          <w:b w:val="false"/>
          <w:i w:val="false"/>
          <w:color w:val="000000"/>
          <w:sz w:val="22"/>
        </w:rPr>
        <w:t xml:space="preserve">In addition to the requirements of </w:t>
      </w:r>
      <w:hyperlink r:id="rId167">
        <w:r>
          <w:rPr>
            <w:rStyle w:val="Hyperlink"/>
            <w:rFonts w:ascii="Times New Roman" w:hAnsi="Times New Roman"/>
            <w:b w:val="false"/>
            <w:i w:val="false"/>
            <w:color w:val="000000"/>
            <w:sz w:val="22"/>
          </w:rPr>
          <w:t>40.7(4)</w:t>
        </w:r>
      </w:hyperlink>
      <w:r>
        <w:rPr>
          <w:rFonts w:ascii="Times New Roman" w:hAnsi="Times New Roman"/>
          <w:b w:val="false"/>
          <w:i/>
          <w:color w:val="000000"/>
          <w:sz w:val="22"/>
        </w:rPr>
        <w:t>“a”</w:t>
      </w:r>
      <w:r>
        <w:rPr>
          <w:rFonts w:ascii="Times New Roman" w:hAnsi="Times New Roman"/>
          <w:b w:val="false"/>
          <w:i w:val="false"/>
          <w:color w:val="000000"/>
          <w:sz w:val="22"/>
        </w:rPr>
        <w:t>(8), the CCR must note any violation of a requirement listed below that occurred during the year covered by the report and include a clear and readily understandable explanation of the violation, any potential adverse health effects, and the steps the system has taken to correct the violation. The system must note any violation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and reporting of compliance data pursuant to 567—Chapters </w:t>
      </w:r>
      <w:hyperlink r:id="rId16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16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including any contaminant with a MCL, TT, AL, or HA;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TTs: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Filtration and disinfection prescribed by </w:t>
      </w:r>
      <w:hyperlink r:id="rId170">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(455B). For systems that have failed to install adequate filtration or disinfection equipment or processes, or have had a failure of such equipment or processes that constitutes a violation, the CCR must include the following statement with the explanation of potential adverse health effects:</w:t>
      </w:r>
    </w:p>
    <w:p>
      <w:pPr>
        <w:spacing w:before="0" w:after="0"/>
        <w:ind w:left="120"/>
        <w:jc w:val="both"/>
      </w:pPr>
      <w:r>
        <w:rPr>
          <w:rFonts w:ascii="Times New Roman" w:hAnsi="Times New Roman"/>
          <w:b w:val="false"/>
          <w:i w:val="false"/>
          <w:color w:val="000000"/>
          <w:sz w:val="22"/>
        </w:rPr>
        <w:t xml:space="preserve">“Inadequately treated water may contain disease-causing organisms. These organisms include bacteria, viruses, and parasites which can cause symptoms such as nausea, cramps, diarrhea, and associated headaches.”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Lead and copper control requirements. For systems that fail to take one or more actions prescribed by 567—Chapters </w:t>
      </w:r>
      <w:hyperlink r:id="rId171">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pertaining to lead and copper, the CCR must include the relevant language from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Acrylamide and epichlorohydrin control technologies. Systems in violation of </w:t>
      </w:r>
      <w:hyperlink r:id="rId173">
        <w:r>
          <w:rPr>
            <w:rStyle w:val="Hyperlink"/>
            <w:rFonts w:ascii="Times New Roman" w:hAnsi="Times New Roman"/>
            <w:b w:val="false"/>
            <w:i w:val="false"/>
            <w:color w:val="000000"/>
            <w:sz w:val="22"/>
          </w:rPr>
          <w:t>567—subparagraph 41.5(1)</w:t>
        </w:r>
      </w:hyperlink>
      <w:r>
        <w:rPr>
          <w:rFonts w:ascii="Times New Roman" w:hAnsi="Times New Roman"/>
          <w:b w:val="false"/>
          <w:i/>
          <w:color w:val="000000"/>
          <w:sz w:val="22"/>
        </w:rPr>
        <w:t>“b”</w:t>
      </w:r>
      <w:r>
        <w:rPr>
          <w:rFonts w:ascii="Times New Roman" w:hAnsi="Times New Roman"/>
          <w:b w:val="false"/>
          <w:i w:val="false"/>
          <w:color w:val="000000"/>
          <w:sz w:val="22"/>
        </w:rPr>
        <w:t xml:space="preserve">(3) must include the relevant language from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 in their CCR.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Recordkeeping of compliance data pursuant to 567—Chapters </w:t>
      </w:r>
      <w:hyperlink r:id="rId174">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17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monitoring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Violation of an operation permit compliance schedule, administrative order, or judicial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40.7(6)</w:t>
      </w:r>
      <w:r>
        <w:rPr>
          <w:rFonts w:ascii="Times New Roman" w:hAnsi="Times New Roman"/>
          <w:b w:val="false"/>
          <w:i w:val="false"/>
          <w:color w:val="000000"/>
          <w:sz w:val="22"/>
        </w:rPr>
        <w:t> </w:t>
      </w:r>
      <w:r>
        <w:rPr>
          <w:rFonts w:ascii="Times New Roman" w:hAnsi="Times New Roman"/>
          <w:b w:val="false"/>
          <w:i/>
          <w:color w:val="000000"/>
          <w:sz w:val="22"/>
        </w:rPr>
        <w:t xml:space="preserve">CCR content—operation permit or administrative order with a compliance schedule. </w:t>
      </w:r>
      <w:r>
        <w:rPr>
          <w:rFonts w:ascii="Times New Roman" w:hAnsi="Times New Roman"/>
          <w:b w:val="false"/>
          <w:i w:val="false"/>
          <w:color w:val="000000"/>
          <w:sz w:val="22"/>
        </w:rPr>
        <w:t>If a system has been issued a compliance schedule with an extension for compliance, the CCR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reasons for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on which the extension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status report on the steps the system is taking to install treatment, find alternative sources of water, or otherwise comply with the compliance schedule;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notice of any opportunity for public input in the review or renewal of the compliance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40.7(7)</w:t>
      </w:r>
      <w:r>
        <w:rPr>
          <w:rFonts w:ascii="Times New Roman" w:hAnsi="Times New Roman"/>
          <w:b w:val="false"/>
          <w:i w:val="false"/>
          <w:color w:val="000000"/>
          <w:sz w:val="22"/>
        </w:rPr>
        <w:t> </w:t>
      </w:r>
      <w:r>
        <w:rPr>
          <w:rFonts w:ascii="Times New Roman" w:hAnsi="Times New Roman"/>
          <w:b w:val="false"/>
          <w:i/>
          <w:color w:val="000000"/>
          <w:sz w:val="22"/>
        </w:rPr>
        <w:t xml:space="preserve">CCR content—mandatory CCR language explaining contaminant occurrence. </w:t>
      </w:r>
      <w:r>
        <w:rPr>
          <w:rFonts w:ascii="Times New Roman" w:hAnsi="Times New Roman"/>
          <w:b w:val="false"/>
          <w:i w:val="false"/>
          <w:color w:val="000000"/>
          <w:sz w:val="22"/>
        </w:rPr>
        <w:t xml:space="preserve">CCRs must contain a brief explanation regarding contaminants that may reasonably be expected to be found in drinking water, including bottled water. This explanation may include the statements in </w:t>
      </w:r>
      <w:hyperlink r:id="rId176">
        <w:r>
          <w:rPr>
            <w:rStyle w:val="Hyperlink"/>
            <w:rFonts w:ascii="Times New Roman" w:hAnsi="Times New Roman"/>
            <w:b w:val="false"/>
            <w:i w:val="false"/>
            <w:color w:val="000000"/>
            <w:sz w:val="22"/>
          </w:rPr>
          <w:t>40.7(7)</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177">
        <w:r>
          <w:rPr>
            <w:rStyle w:val="Hyperlink"/>
            <w:rFonts w:ascii="Times New Roman" w:hAnsi="Times New Roman"/>
            <w:b w:val="false"/>
            <w:i w:val="false"/>
            <w:color w:val="000000"/>
            <w:sz w:val="22"/>
          </w:rPr>
          <w:t>40.7(7)</w:t>
        </w:r>
      </w:hyperlink>
      <w:r>
        <w:rPr>
          <w:rFonts w:ascii="Times New Roman" w:hAnsi="Times New Roman"/>
          <w:b w:val="false"/>
          <w:i/>
          <w:color w:val="000000"/>
          <w:sz w:val="22"/>
        </w:rPr>
        <w:t>“c.”</w:t>
      </w:r>
      <w:r>
        <w:rPr>
          <w:rFonts w:ascii="Times New Roman" w:hAnsi="Times New Roman"/>
          <w:b w:val="false"/>
          <w:i w:val="false"/>
          <w:color w:val="000000"/>
          <w:sz w:val="22"/>
        </w:rPr>
        <w:t xml:space="preserve"> Paragraph </w:t>
      </w:r>
      <w:hyperlink r:id="rId178">
        <w:r>
          <w:rPr>
            <w:rStyle w:val="Hyperlink"/>
            <w:rFonts w:ascii="Times New Roman" w:hAnsi="Times New Roman"/>
            <w:b w:val="false"/>
            <w:i w:val="false"/>
            <w:color w:val="000000"/>
            <w:sz w:val="22"/>
          </w:rPr>
          <w:t>40.7(7)</w:t>
        </w:r>
      </w:hyperlink>
      <w:r>
        <w:rPr>
          <w:rFonts w:ascii="Times New Roman" w:hAnsi="Times New Roman"/>
          <w:b w:val="false"/>
          <w:i/>
          <w:color w:val="000000"/>
          <w:sz w:val="22"/>
        </w:rPr>
        <w:t>“d”</w:t>
      </w:r>
      <w:r>
        <w:rPr>
          <w:rFonts w:ascii="Times New Roman" w:hAnsi="Times New Roman"/>
          <w:b w:val="false"/>
          <w:i w:val="false"/>
          <w:color w:val="000000"/>
          <w:sz w:val="22"/>
        </w:rPr>
        <w:t xml:space="preserve"> is provided as a minimal alternative to </w:t>
      </w:r>
      <w:hyperlink r:id="rId179">
        <w:r>
          <w:rPr>
            <w:rStyle w:val="Hyperlink"/>
            <w:rFonts w:ascii="Times New Roman" w:hAnsi="Times New Roman"/>
            <w:b w:val="false"/>
            <w:i w:val="false"/>
            <w:color w:val="000000"/>
            <w:sz w:val="22"/>
          </w:rPr>
          <w:t>40.7(7)</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180">
        <w:r>
          <w:rPr>
            <w:rStyle w:val="Hyperlink"/>
            <w:rFonts w:ascii="Times New Roman" w:hAnsi="Times New Roman"/>
            <w:b w:val="false"/>
            <w:i w:val="false"/>
            <w:color w:val="000000"/>
            <w:sz w:val="22"/>
          </w:rPr>
          <w:t>40.7(7)</w:t>
        </w:r>
      </w:hyperlink>
      <w:r>
        <w:rPr>
          <w:rFonts w:ascii="Times New Roman" w:hAnsi="Times New Roman"/>
          <w:b w:val="false"/>
          <w:i/>
          <w:color w:val="000000"/>
          <w:sz w:val="22"/>
        </w:rPr>
        <w:t>“c”</w:t>
      </w:r>
      <w:r>
        <w:rPr>
          <w:rFonts w:ascii="Times New Roman" w:hAnsi="Times New Roman"/>
          <w:b w:val="false"/>
          <w:i w:val="false"/>
          <w:color w:val="000000"/>
          <w:sz w:val="22"/>
        </w:rPr>
        <w:t xml:space="preserve">(3). Systems may also develop their own comparable language. A CCR must include the language of </w:t>
      </w:r>
      <w:hyperlink r:id="rId181">
        <w:r>
          <w:rPr>
            <w:rStyle w:val="Hyperlink"/>
            <w:rFonts w:ascii="Times New Roman" w:hAnsi="Times New Roman"/>
            <w:b w:val="false"/>
            <w:i w:val="false"/>
            <w:color w:val="000000"/>
            <w:sz w:val="22"/>
          </w:rPr>
          <w:t>40.7(8)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sources of drinking water (both tap water and bottled water) include rivers, lakes, streams, ponds, reservoirs, springs, and wells. As water travels over the surface of the land or through the ground, it dissolves naturally occurring minerals and radioactive material, and can pick up substances resulting from the presence of animals or from human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“Contaminants that may be present in source water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“Microbial contaminants, such as viruses and bacteria, which may come from sewage treatment plants, septic systems, agricultural livestock operations, and wildlife.”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“Inorganic contaminants, such as salts and metals, which can be naturally occurring or result from urban storm runoff, industrial or domestic wastewater discharges, oil and gas production, mining, or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“Pesticides and herbicides, which may come from a variety of sources such as agriculture, storm water runoff, and residential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“Organic chemical contaminants, including synthetic and volatile organics, which are byproducts of industrial processes and petroleum production, and can also come from gas stations, urban storm water runoff and septic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“Radioactive contaminants, which can be naturally occurring or be the result of oil and gas production and mining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tap water is safe to drink, the department prescribes regulations which limit the amount of certain contaminants in water provided by public water systems. The U.S. Food and Drug Administration (FDA) regulations establish limits for contaminants in bottled water which must provide the same protection for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“Drinking water, including bottled water, may reasonably be expected to contain at least small amounts of some contaminants. The presence of contaminants does not necessarily indicate that water poses a health risk. More information about contaminants and potential health effects can be obtained by calling the National Safe Drinking Water Hotline ((800)426-4791).”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40.7(8)</w:t>
      </w:r>
      <w:r>
        <w:rPr>
          <w:rFonts w:ascii="Times New Roman" w:hAnsi="Times New Roman"/>
          <w:b w:val="false"/>
          <w:i w:val="false"/>
          <w:color w:val="000000"/>
          <w:sz w:val="22"/>
        </w:rPr>
        <w:t> </w:t>
      </w:r>
      <w:r>
        <w:rPr>
          <w:rFonts w:ascii="Times New Roman" w:hAnsi="Times New Roman"/>
          <w:b w:val="false"/>
          <w:i/>
          <w:color w:val="000000"/>
          <w:sz w:val="22"/>
        </w:rPr>
        <w:t xml:space="preserve">Required additional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CCRs must prominently display the following statement:</w:t>
      </w:r>
    </w:p>
    <w:p>
      <w:pPr>
        <w:spacing w:before="0" w:after="0"/>
        <w:ind w:left="120"/>
        <w:jc w:val="both"/>
      </w:pPr>
      <w:r>
        <w:rPr>
          <w:rFonts w:ascii="Times New Roman" w:hAnsi="Times New Roman"/>
          <w:b w:val="false"/>
          <w:i w:val="false"/>
          <w:color w:val="000000"/>
          <w:sz w:val="22"/>
        </w:rPr>
        <w:t>“Some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The EPA/CDC guidelines on appropriate means to lessen the risk of infection by Cryptosporidium and other microbial contaminants are available from the national Safe Drinking Water Hotline ((800)426-4791).”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may write their own educational statements for arsenic in </w:t>
      </w:r>
      <w:hyperlink r:id="rId182">
        <w:r>
          <w:rPr>
            <w:rStyle w:val="Hyperlink"/>
            <w:rFonts w:ascii="Times New Roman" w:hAnsi="Times New Roman"/>
            <w:b w:val="false"/>
            <w:i w:val="false"/>
            <w:color w:val="000000"/>
            <w:sz w:val="22"/>
          </w:rPr>
          <w:t>40.7(8)</w:t>
        </w:r>
      </w:hyperlink>
      <w:r>
        <w:rPr>
          <w:rFonts w:ascii="Times New Roman" w:hAnsi="Times New Roman"/>
          <w:b w:val="false"/>
          <w:i/>
          <w:color w:val="000000"/>
          <w:sz w:val="22"/>
        </w:rPr>
        <w:t>“b”</w:t>
      </w:r>
      <w:r>
        <w:rPr>
          <w:rFonts w:ascii="Times New Roman" w:hAnsi="Times New Roman"/>
          <w:b w:val="false"/>
          <w:i w:val="false"/>
          <w:color w:val="000000"/>
          <w:sz w:val="22"/>
        </w:rPr>
        <w:t xml:space="preserve">(1), nitrates in </w:t>
      </w:r>
      <w:hyperlink r:id="rId183">
        <w:r>
          <w:rPr>
            <w:rStyle w:val="Hyperlink"/>
            <w:rFonts w:ascii="Times New Roman" w:hAnsi="Times New Roman"/>
            <w:b w:val="false"/>
            <w:i w:val="false"/>
            <w:color w:val="000000"/>
            <w:sz w:val="22"/>
          </w:rPr>
          <w:t>40.7(8)</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lead in </w:t>
      </w:r>
      <w:hyperlink r:id="rId184">
        <w:r>
          <w:rPr>
            <w:rStyle w:val="Hyperlink"/>
            <w:rFonts w:ascii="Times New Roman" w:hAnsi="Times New Roman"/>
            <w:b w:val="false"/>
            <w:i w:val="false"/>
            <w:color w:val="000000"/>
            <w:sz w:val="22"/>
          </w:rPr>
          <w:t>40.7(8)</w:t>
        </w:r>
      </w:hyperlink>
      <w:r>
        <w:rPr>
          <w:rFonts w:ascii="Times New Roman" w:hAnsi="Times New Roman"/>
          <w:b w:val="false"/>
          <w:i/>
          <w:color w:val="000000"/>
          <w:sz w:val="22"/>
        </w:rPr>
        <w:t>“d”</w:t>
      </w:r>
      <w:r>
        <w:rPr>
          <w:rFonts w:ascii="Times New Roman" w:hAnsi="Times New Roman"/>
          <w:b w:val="false"/>
          <w:i w:val="false"/>
          <w:color w:val="000000"/>
          <w:sz w:val="22"/>
        </w:rPr>
        <w:t xml:space="preserve"> but only in consultation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Arsenic.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CWS that detects arsenic at levels above 0.005 mg/L and less than or equal to 0.010 mg/L must include in its CCR a short information statement about arsenic, using language such as:</w:t>
      </w:r>
    </w:p>
    <w:p>
      <w:pPr>
        <w:spacing w:before="0" w:after="0"/>
        <w:ind w:left="120"/>
        <w:jc w:val="both"/>
      </w:pPr>
      <w:r>
        <w:rPr>
          <w:rFonts w:ascii="Times New Roman" w:hAnsi="Times New Roman"/>
          <w:b w:val="false"/>
          <w:i w:val="false"/>
          <w:color w:val="000000"/>
          <w:sz w:val="22"/>
        </w:rPr>
        <w:t>“While your drinking water meets EPA’s standard for arsenic, it does contain low levels of arsenic. EPA’s standard balances the current understanding of arsenic’s possible health effects against the costs of removing arsenic from drinking water. EPA continues to research the health effects of low levels of arsenic, which is a mineral known to cause cancer in humans at high concentrations and is linked to other health effects such as skin damage and circulatory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CWS that detects arsenic above 0.010 mg/L and less than or equal to 0.05 mg/L must include in its CCR the arsenic health effects language in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Nitrates.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that detects nitrate at levels above 5.0 mg/L (half the MCL) but below the MCL must include in its CCR a short informational statement about the impacts of nitrate on children, using language such as: </w:t>
      </w:r>
    </w:p>
    <w:p>
      <w:pPr>
        <w:spacing w:before="0" w:after="0"/>
        <w:ind w:left="120"/>
        <w:jc w:val="both"/>
      </w:pPr>
      <w:r>
        <w:rPr>
          <w:rFonts w:ascii="Times New Roman" w:hAnsi="Times New Roman"/>
          <w:b w:val="false"/>
          <w:i w:val="false"/>
          <w:color w:val="000000"/>
          <w:sz w:val="22"/>
        </w:rPr>
        <w:t>“Nitrate in drinking water at levels above 10 ppm is a health risk for infants of less than six months of age. High nitrate levels in drinking water can cause blue baby syndrome. Nitrate levels may rise quickly for short periods of time because of rainfall or agricultural activity. If you are caring for an infant you should ask advice from your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that detects nitrite at levels above 0.50 mg/L (half the MCL) but below the MCL must include in its CCR a short informational statement about the impacts of nitrite on children, using language such as:</w:t>
      </w:r>
    </w:p>
    <w:p>
      <w:pPr>
        <w:spacing w:before="0" w:after="0"/>
        <w:ind w:left="120"/>
        <w:jc w:val="both"/>
      </w:pPr>
      <w:r>
        <w:rPr>
          <w:rFonts w:ascii="Times New Roman" w:hAnsi="Times New Roman"/>
          <w:b w:val="false"/>
          <w:i w:val="false"/>
          <w:color w:val="000000"/>
          <w:sz w:val="22"/>
        </w:rPr>
        <w:t xml:space="preserve">“Nitrite in drinking water at levels above 1 ppm is a health risk for infants of less than six months of age. High nitrite levels in drinking water can cause blue baby syndrome. If you are caring for an infant you should ask advice from your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Lead. </w:t>
      </w:r>
      <w:r>
        <w:rPr>
          <w:rFonts w:ascii="Times New Roman" w:hAnsi="Times New Roman"/>
          <w:b w:val="false"/>
          <w:i w:val="false"/>
          <w:color w:val="000000"/>
          <w:sz w:val="22"/>
        </w:rPr>
        <w:t>All systems must include in their CCR a short informational statement about lead in drinking water and the effects it has on children, using language such as:</w:t>
      </w:r>
    </w:p>
    <w:p>
      <w:pPr>
        <w:spacing w:before="0" w:after="0"/>
        <w:ind w:left="120"/>
        <w:jc w:val="both"/>
      </w:pPr>
      <w:r>
        <w:rPr>
          <w:rFonts w:ascii="Times New Roman" w:hAnsi="Times New Roman"/>
          <w:b w:val="false"/>
          <w:i w:val="false"/>
          <w:color w:val="000000"/>
          <w:sz w:val="22"/>
        </w:rPr>
        <w:t xml:space="preserve">“If present, elevated levels of lead can cause serious health problems, especially for pregnant women and young children. Lead in drinking water is primarily from material and components associated with service lines and home plumbing. [insert name of system] is responsible for providing high quality drinking water, but cannot control the variety of materials used in plumbing components. When your water has been sitting for several hours, you can minimize the potential for lead exposure by flushing your tap for 30 seconds to 2 minutes before using water for drinking or cooking. If you are concerned about lead in your water, you may wish to have your water tested. Information on lead in drinking water, testing methods, and steps you can take to minimize exposure is available from the National Safe Drinking Water Hotline (800)426-4791 or at </w:t>
      </w:r>
      <w:hyperlink r:id="rId185">
        <w:r>
          <w:rPr>
            <w:rStyle w:val="Hyperlink"/>
            <w:rFonts w:ascii="Times New Roman" w:hAnsi="Times New Roman"/>
            <w:b w:val="false"/>
            <w:i w:val="false"/>
            <w:color w:val="000000"/>
            <w:sz w:val="22"/>
            <w:u w:val="single"/>
          </w:rPr>
          <w:t>www.epa.gov/safewater/lead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Total trihalomethanes (TTHMSs). </w:t>
      </w:r>
      <w:r>
        <w:rPr>
          <w:rFonts w:ascii="Times New Roman" w:hAnsi="Times New Roman"/>
          <w:b w:val="false"/>
          <w:i w:val="false"/>
          <w:color w:val="000000"/>
          <w:sz w:val="22"/>
        </w:rPr>
        <w:t xml:space="preserve">A CWS that detects TTHMs above 0.080 mg/L but below the MCL in </w:t>
      </w:r>
      <w:hyperlink r:id="rId186">
        <w:r>
          <w:rPr>
            <w:rStyle w:val="Hyperlink"/>
            <w:rFonts w:ascii="Times New Roman" w:hAnsi="Times New Roman"/>
            <w:b w:val="false"/>
            <w:i w:val="false"/>
            <w:color w:val="000000"/>
            <w:sz w:val="22"/>
          </w:rPr>
          <w:t>567—subrule 41.6(1)</w:t>
        </w:r>
      </w:hyperlink>
      <w:r>
        <w:rPr>
          <w:rFonts w:ascii="Times New Roman" w:hAnsi="Times New Roman"/>
          <w:b w:val="false"/>
          <w:i/>
          <w:color w:val="000000"/>
          <w:sz w:val="22"/>
        </w:rPr>
        <w:t>“b”</w:t>
      </w:r>
      <w:r>
        <w:rPr>
          <w:rFonts w:ascii="Times New Roman" w:hAnsi="Times New Roman"/>
          <w:b w:val="false"/>
          <w:i w:val="false"/>
          <w:color w:val="000000"/>
          <w:sz w:val="22"/>
        </w:rPr>
        <w:t xml:space="preserve">(1) as an annual average, monitored and calculated under the provisions of </w:t>
      </w:r>
      <w:hyperlink r:id="rId187">
        <w:r>
          <w:rPr>
            <w:rStyle w:val="Hyperlink"/>
            <w:rFonts w:ascii="Times New Roman" w:hAnsi="Times New Roman"/>
            <w:b w:val="false"/>
            <w:i w:val="false"/>
            <w:color w:val="000000"/>
            <w:sz w:val="22"/>
          </w:rPr>
          <w:t>567—paragraph 41.6(1)</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include in its CCR the health effects language for total trihalomethanes listed in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40.7(9)</w:t>
      </w:r>
      <w:r>
        <w:rPr>
          <w:rFonts w:ascii="Times New Roman" w:hAnsi="Times New Roman"/>
          <w:b w:val="false"/>
          <w:i w:val="false"/>
          <w:color w:val="000000"/>
          <w:sz w:val="22"/>
        </w:rPr>
        <w:t> </w:t>
      </w:r>
      <w:r>
        <w:rPr>
          <w:rFonts w:ascii="Times New Roman" w:hAnsi="Times New Roman"/>
          <w:b w:val="false"/>
          <w:i/>
          <w:color w:val="000000"/>
          <w:sz w:val="22"/>
        </w:rPr>
        <w:t xml:space="preserve">Additional mandatory CCR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CCR must include the telephone number of the owner, operator, or designee of the CWS as a source of additional information concerning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communities with a large proportion of non-English speaking residents, as determined by the department, the CCR must contain information regarding the importance of the CCR in the appropriate language(s) or contain a telephone number or address where such residents may contact the system to obtain a translated copy of the report or assistance in the appropriate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CCR must include information (e.g., time and place of regular board meetings) about opportunities for public participation in decisions that may affect the quality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Systems may include such additional information as they deem necessary for the PE, consistent with, and not detracting from, the purpose of the CCR.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Systems required to comply with the GW rule (</w:t>
      </w:r>
      <w:hyperlink r:id="rId188">
        <w:r>
          <w:rPr>
            <w:rStyle w:val="Hyperlink"/>
            <w:rFonts w:ascii="Times New Roman" w:hAnsi="Times New Roman"/>
            <w:b w:val="false"/>
            <w:i w:val="false"/>
            <w:color w:val="000000"/>
            <w:sz w:val="22"/>
          </w:rPr>
          <w:t>567—41.7</w:t>
        </w:r>
      </w:hyperlink>
      <w:r>
        <w:rPr>
          <w:rFonts w:ascii="Times New Roman" w:hAnsi="Times New Roman"/>
          <w:b w:val="false"/>
          <w:i w:val="false"/>
          <w:color w:val="000000"/>
          <w:sz w:val="22"/>
        </w:rPr>
        <w:t>(455B)) must include the following in the CCR,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GW system that receives notice from the department of a significant deficiency must inform its customers of any significant deficiency that is uncorrected at the time of the next CCR. The system must continue to inform the public annually until the department determines that particular deficiency is corrected. Each CCR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particular significant deficiency and the date the deficiency was identified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significant deficiency, the department-approved plan and schedule for correction, including interim measures, progress to date, and any interim measures completed.</w:t>
      </w:r>
    </w:p>
    <w:p>
      <w:pPr>
        <w:spacing w:before="0" w:after="0"/>
        <w:ind w:left="120"/>
        <w:jc w:val="both"/>
      </w:pPr>
      <w:r>
        <w:rPr>
          <w:rFonts w:ascii="Times New Roman" w:hAnsi="Times New Roman"/>
          <w:b w:val="false"/>
          <w:i w:val="false"/>
          <w:color w:val="000000"/>
          <w:sz w:val="22"/>
        </w:rPr>
        <w:t xml:space="preserve">If directed by the department, a system with one or more significant deficiencies that have been corrected before the next CCR must inform its customers of the deficiencies, how the deficiencies were corrected, and the date(s) of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GW system that receives notice from the department or laboratory of a fecal indicator-positive GW source sample that is not invalidated under </w:t>
      </w:r>
      <w:hyperlink r:id="rId189">
        <w:r>
          <w:rPr>
            <w:rStyle w:val="Hyperlink"/>
            <w:rFonts w:ascii="Times New Roman" w:hAnsi="Times New Roman"/>
            <w:b w:val="false"/>
            <w:i w:val="false"/>
            <w:color w:val="000000"/>
            <w:sz w:val="22"/>
          </w:rPr>
          <w:t>567—paragraph 41.7(3)</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inform its customers of such a sample in the next CCR. The system must continue to inform the public annually until the department determines that the fecal contamination in the GW source is addressed under </w:t>
      </w:r>
      <w:hyperlink r:id="rId190">
        <w:r>
          <w:rPr>
            <w:rStyle w:val="Hyperlink"/>
            <w:rFonts w:ascii="Times New Roman" w:hAnsi="Times New Roman"/>
            <w:b w:val="false"/>
            <w:i w:val="false"/>
            <w:color w:val="000000"/>
            <w:sz w:val="22"/>
          </w:rPr>
          <w:t>567—paragraph 41.7(4)</w:t>
        </w:r>
      </w:hyperlink>
      <w:r>
        <w:rPr>
          <w:rFonts w:ascii="Times New Roman" w:hAnsi="Times New Roman"/>
          <w:b w:val="false"/>
          <w:i/>
          <w:color w:val="000000"/>
          <w:sz w:val="22"/>
        </w:rPr>
        <w:t>“a.”</w:t>
      </w:r>
      <w:r>
        <w:rPr>
          <w:rFonts w:ascii="Times New Roman" w:hAnsi="Times New Roman"/>
          <w:b w:val="false"/>
          <w:i w:val="false"/>
          <w:color w:val="000000"/>
          <w:sz w:val="22"/>
        </w:rPr>
        <w:t xml:space="preserve"> Each CCR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fecal contamination source (if known) and the dates of the fecal indicator-positive GW source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fecal contamination in the GW source has been addressed under </w:t>
      </w:r>
      <w:hyperlink r:id="rId191">
        <w:r>
          <w:rPr>
            <w:rStyle w:val="Hyperlink"/>
            <w:rFonts w:ascii="Times New Roman" w:hAnsi="Times New Roman"/>
            <w:b w:val="false"/>
            <w:i w:val="false"/>
            <w:color w:val="000000"/>
            <w:sz w:val="22"/>
          </w:rPr>
          <w:t>567—paragraph 41.7(4)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date of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fecal contamination in the GW source that has not been addressed under </w:t>
      </w:r>
      <w:hyperlink r:id="rId192">
        <w:r>
          <w:rPr>
            <w:rStyle w:val="Hyperlink"/>
            <w:rFonts w:ascii="Times New Roman" w:hAnsi="Times New Roman"/>
            <w:b w:val="false"/>
            <w:i w:val="false"/>
            <w:color w:val="000000"/>
            <w:sz w:val="22"/>
          </w:rPr>
          <w:t>567—paragraph 41.7(4)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department-approved plan and schedule for correction, including interim measures, progress to date, and any interim measures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potential health effects, using the “Fecal coliform or </w:t>
      </w:r>
      <w:r>
        <w:rPr>
          <w:rFonts w:ascii="Times New Roman" w:hAnsi="Times New Roman"/>
          <w:b w:val="false"/>
          <w:i/>
          <w:color w:val="000000"/>
          <w:sz w:val="22"/>
        </w:rPr>
        <w:t>E. coli</w:t>
      </w:r>
      <w:r>
        <w:rPr>
          <w:rFonts w:ascii="Times New Roman" w:hAnsi="Times New Roman"/>
          <w:b w:val="false"/>
          <w:i w:val="false"/>
          <w:color w:val="000000"/>
          <w:sz w:val="22"/>
        </w:rPr>
        <w:t xml:space="preserve">” or “Fecal Indicators (enterococci or coliphage)” health effects language in Appendix A to </w:t>
      </w:r>
      <w:r>
        <w:rPr>
          <w:rFonts w:ascii="Times New Roman" w:hAnsi="Times New Roman"/>
          <w:b w:val="false"/>
          <w:i w:val="false"/>
          <w:color w:val="000000"/>
          <w:sz w:val="22"/>
        </w:rPr>
        <w:t>40 CFR Part 141</w:t>
      </w:r>
      <w:r>
        <w:rPr>
          <w:rFonts w:ascii="Times New Roman" w:hAnsi="Times New Roman"/>
          <w:b w:val="false"/>
          <w:i w:val="false"/>
          <w:color w:val="000000"/>
          <w:sz w:val="22"/>
        </w:rPr>
        <w:t>, Subpart 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193">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any system required to conduct a Level 1 or Level 2 assessment that is not due to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must include in the CCR the statements below in </w:t>
      </w:r>
      <w:hyperlink r:id="rId194">
        <w:r>
          <w:rPr>
            <w:rStyle w:val="Hyperlink"/>
            <w:rFonts w:ascii="Times New Roman" w:hAnsi="Times New Roman"/>
            <w:b w:val="false"/>
            <w:i w:val="false"/>
            <w:color w:val="000000"/>
            <w:sz w:val="22"/>
          </w:rPr>
          <w:t>40.7(9)</w:t>
        </w:r>
      </w:hyperlink>
      <w:r>
        <w:rPr>
          <w:rFonts w:ascii="Times New Roman" w:hAnsi="Times New Roman"/>
          <w:b w:val="false"/>
          <w:i/>
          <w:color w:val="000000"/>
          <w:sz w:val="22"/>
        </w:rPr>
        <w:t>“f”</w:t>
      </w:r>
      <w:r>
        <w:rPr>
          <w:rFonts w:ascii="Times New Roman" w:hAnsi="Times New Roman"/>
          <w:b w:val="false"/>
          <w:i w:val="false"/>
          <w:color w:val="000000"/>
          <w:sz w:val="22"/>
        </w:rPr>
        <w:t xml:space="preserve">(1) through </w:t>
      </w:r>
      <w:hyperlink r:id="rId195">
        <w:r>
          <w:rPr>
            <w:rStyle w:val="Hyperlink"/>
            <w:rFonts w:ascii="Times New Roman" w:hAnsi="Times New Roman"/>
            <w:b w:val="false"/>
            <w:i w:val="false"/>
            <w:color w:val="000000"/>
            <w:sz w:val="22"/>
          </w:rPr>
          <w:t>40.7(9)</w:t>
        </w:r>
      </w:hyperlink>
      <w:r>
        <w:rPr>
          <w:rFonts w:ascii="Times New Roman" w:hAnsi="Times New Roman"/>
          <w:b w:val="false"/>
          <w:i/>
          <w:color w:val="000000"/>
          <w:sz w:val="22"/>
        </w:rPr>
        <w:t>“f”</w:t>
      </w:r>
      <w:r>
        <w:rPr>
          <w:rFonts w:ascii="Times New Roman" w:hAnsi="Times New Roman"/>
          <w:b w:val="false"/>
          <w:i w:val="false"/>
          <w:color w:val="000000"/>
          <w:sz w:val="22"/>
        </w:rPr>
        <w:t xml:space="preserve">(3), as appropriate, filling in the blanks accordingly and including the appropriate statements in </w:t>
      </w:r>
      <w:hyperlink r:id="rId196">
        <w:r>
          <w:rPr>
            <w:rStyle w:val="Hyperlink"/>
            <w:rFonts w:ascii="Times New Roman" w:hAnsi="Times New Roman"/>
            <w:b w:val="false"/>
            <w:i w:val="false"/>
            <w:color w:val="000000"/>
            <w:sz w:val="22"/>
          </w:rPr>
          <w:t>40.7(9)</w:t>
        </w:r>
      </w:hyperlink>
      <w:r>
        <w:rPr>
          <w:rFonts w:ascii="Times New Roman" w:hAnsi="Times New Roman"/>
          <w:b w:val="false"/>
          <w:i/>
          <w:color w:val="000000"/>
          <w:sz w:val="22"/>
        </w:rPr>
        <w:t>“f”</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“Coliforms are bacteria that are naturally present in the environment and are used as an indicator that other, potentially harmful, waterborne pathogens may be present or that the potential pathway exists through which contamination may enter the drinking water distribution system. We found coliforms indicating the need to look for potential problems in water treatment or distribution. When this occurs, we are required to conduct assessment(s) to identify problems and to correct any problems that were found during these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past year, we were required to conduct [</w:t>
      </w:r>
      <w:r>
        <w:rPr>
          <w:rFonts w:ascii="Times New Roman" w:hAnsi="Times New Roman"/>
          <w:b w:val="false"/>
          <w:i/>
          <w:color w:val="000000"/>
          <w:sz w:val="22"/>
        </w:rPr>
        <w:t>insert number of required Level 1 assessments</w:t>
      </w:r>
      <w:r>
        <w:rPr>
          <w:rFonts w:ascii="Times New Roman" w:hAnsi="Times New Roman"/>
          <w:b w:val="false"/>
          <w:i w:val="false"/>
          <w:color w:val="000000"/>
          <w:sz w:val="22"/>
        </w:rPr>
        <w:t>] Level 1 assessment(s). [</w:t>
      </w:r>
      <w:r>
        <w:rPr>
          <w:rFonts w:ascii="Times New Roman" w:hAnsi="Times New Roman"/>
          <w:b w:val="false"/>
          <w:i/>
          <w:color w:val="000000"/>
          <w:sz w:val="22"/>
        </w:rPr>
        <w:t>Insert number of completed Level 1 assessments</w:t>
      </w:r>
      <w:r>
        <w:rPr>
          <w:rFonts w:ascii="Times New Roman" w:hAnsi="Times New Roman"/>
          <w:b w:val="false"/>
          <w:i w:val="false"/>
          <w:color w:val="000000"/>
          <w:sz w:val="22"/>
        </w:rPr>
        <w:t>] Level 1 assessment(s) were completed. In addition, we were required to take [</w:t>
      </w:r>
      <w:r>
        <w:rPr>
          <w:rFonts w:ascii="Times New Roman" w:hAnsi="Times New Roman"/>
          <w:b w:val="false"/>
          <w:i/>
          <w:color w:val="000000"/>
          <w:sz w:val="22"/>
        </w:rPr>
        <w:t>insert number of required corrective actions</w:t>
      </w:r>
      <w:r>
        <w:rPr>
          <w:rFonts w:ascii="Times New Roman" w:hAnsi="Times New Roman"/>
          <w:b w:val="false"/>
          <w:i w:val="false"/>
          <w:color w:val="000000"/>
          <w:sz w:val="22"/>
        </w:rPr>
        <w:t>] corrective actions, and we completed [</w:t>
      </w:r>
      <w:r>
        <w:rPr>
          <w:rFonts w:ascii="Times New Roman" w:hAnsi="Times New Roman"/>
          <w:b w:val="false"/>
          <w:i/>
          <w:color w:val="000000"/>
          <w:sz w:val="22"/>
        </w:rPr>
        <w:t>insert number of completed corrective actions</w:t>
      </w:r>
      <w:r>
        <w:rPr>
          <w:rFonts w:ascii="Times New Roman" w:hAnsi="Times New Roman"/>
          <w:b w:val="false"/>
          <w:i w:val="false"/>
          <w:color w:val="000000"/>
          <w:sz w:val="22"/>
        </w:rPr>
        <w:t>] of these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past year, [</w:t>
      </w:r>
      <w:r>
        <w:rPr>
          <w:rFonts w:ascii="Times New Roman" w:hAnsi="Times New Roman"/>
          <w:b w:val="false"/>
          <w:i/>
          <w:color w:val="000000"/>
          <w:sz w:val="22"/>
        </w:rPr>
        <w:t>insert number of required Level 2 assessments</w:t>
      </w:r>
      <w:r>
        <w:rPr>
          <w:rFonts w:ascii="Times New Roman" w:hAnsi="Times New Roman"/>
          <w:b w:val="false"/>
          <w:i w:val="false"/>
          <w:color w:val="000000"/>
          <w:sz w:val="22"/>
        </w:rPr>
        <w:t>] Level 2 assessments were required to be completed for our water system. [</w:t>
      </w:r>
      <w:r>
        <w:rPr>
          <w:rFonts w:ascii="Times New Roman" w:hAnsi="Times New Roman"/>
          <w:b w:val="false"/>
          <w:i/>
          <w:color w:val="000000"/>
          <w:sz w:val="22"/>
        </w:rPr>
        <w:t>Insert number of completed Level 2 assessments</w:t>
      </w:r>
      <w:r>
        <w:rPr>
          <w:rFonts w:ascii="Times New Roman" w:hAnsi="Times New Roman"/>
          <w:b w:val="false"/>
          <w:i w:val="false"/>
          <w:color w:val="000000"/>
          <w:sz w:val="22"/>
        </w:rPr>
        <w:t>] Level 2 assessment(s) were completed. In addition, we were required to take [</w:t>
      </w:r>
      <w:r>
        <w:rPr>
          <w:rFonts w:ascii="Times New Roman" w:hAnsi="Times New Roman"/>
          <w:b w:val="false"/>
          <w:i/>
          <w:color w:val="000000"/>
          <w:sz w:val="22"/>
        </w:rPr>
        <w:t>insert number of required corrective actions</w:t>
      </w:r>
      <w:r>
        <w:rPr>
          <w:rFonts w:ascii="Times New Roman" w:hAnsi="Times New Roman"/>
          <w:b w:val="false"/>
          <w:i w:val="false"/>
          <w:color w:val="000000"/>
          <w:sz w:val="22"/>
        </w:rPr>
        <w:t>] corrective actions, and we completed [</w:t>
      </w:r>
      <w:r>
        <w:rPr>
          <w:rFonts w:ascii="Times New Roman" w:hAnsi="Times New Roman"/>
          <w:b w:val="false"/>
          <w:i/>
          <w:color w:val="000000"/>
          <w:sz w:val="22"/>
        </w:rPr>
        <w:t>insert number of completed corrective actions</w:t>
      </w:r>
      <w:r>
        <w:rPr>
          <w:rFonts w:ascii="Times New Roman" w:hAnsi="Times New Roman"/>
          <w:b w:val="false"/>
          <w:i w:val="false"/>
          <w:color w:val="000000"/>
          <w:sz w:val="22"/>
        </w:rPr>
        <w:t>] of these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system that has failed to complete all the required assessments or correct all identified sanitary defects is in violation of the TT requirement and must also include one or both of the following statements in its CCR,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the past year, we failed to conduct all of the required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past year, we failed to correct all identified defects that were found during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197">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any system required to conduct a Level 2 assessment due to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must include the statements in </w:t>
      </w:r>
      <w:hyperlink r:id="rId198">
        <w:r>
          <w:rPr>
            <w:rStyle w:val="Hyperlink"/>
            <w:rFonts w:ascii="Times New Roman" w:hAnsi="Times New Roman"/>
            <w:b w:val="false"/>
            <w:i w:val="false"/>
            <w:color w:val="000000"/>
            <w:sz w:val="22"/>
          </w:rPr>
          <w:t>40.7(9)</w:t>
        </w:r>
      </w:hyperlink>
      <w:r>
        <w:rPr>
          <w:rFonts w:ascii="Times New Roman" w:hAnsi="Times New Roman"/>
          <w:b w:val="false"/>
          <w:i/>
          <w:color w:val="000000"/>
          <w:sz w:val="22"/>
        </w:rPr>
        <w:t>“g”</w:t>
      </w:r>
      <w:r>
        <w:rPr>
          <w:rFonts w:ascii="Times New Roman" w:hAnsi="Times New Roman"/>
          <w:b w:val="false"/>
          <w:i w:val="false"/>
          <w:color w:val="000000"/>
          <w:sz w:val="22"/>
        </w:rPr>
        <w:t xml:space="preserve">(1) and </w:t>
      </w:r>
      <w:hyperlink r:id="rId199">
        <w:r>
          <w:rPr>
            <w:rStyle w:val="Hyperlink"/>
            <w:rFonts w:ascii="Times New Roman" w:hAnsi="Times New Roman"/>
            <w:b w:val="false"/>
            <w:i w:val="false"/>
            <w:color w:val="000000"/>
            <w:sz w:val="22"/>
          </w:rPr>
          <w:t>40.7(9)</w:t>
        </w:r>
      </w:hyperlink>
      <w:r>
        <w:rPr>
          <w:rFonts w:ascii="Times New Roman" w:hAnsi="Times New Roman"/>
          <w:b w:val="false"/>
          <w:i/>
          <w:color w:val="000000"/>
          <w:sz w:val="22"/>
        </w:rPr>
        <w:t>“g”</w:t>
      </w:r>
      <w:r>
        <w:rPr>
          <w:rFonts w:ascii="Times New Roman" w:hAnsi="Times New Roman"/>
          <w:b w:val="false"/>
          <w:i w:val="false"/>
          <w:color w:val="000000"/>
          <w:sz w:val="22"/>
        </w:rPr>
        <w:t xml:space="preserve">(2) in its CCR as appropriate, filling in the blanks accordingly and including the appropriate text in </w:t>
      </w:r>
      <w:hyperlink r:id="rId200">
        <w:r>
          <w:rPr>
            <w:rStyle w:val="Hyperlink"/>
            <w:rFonts w:ascii="Times New Roman" w:hAnsi="Times New Roman"/>
            <w:b w:val="false"/>
            <w:i w:val="false"/>
            <w:color w:val="000000"/>
            <w:sz w:val="22"/>
          </w:rPr>
          <w:t>40.7(9)</w:t>
        </w:r>
      </w:hyperlink>
      <w:r>
        <w:rPr>
          <w:rFonts w:ascii="Times New Roman" w:hAnsi="Times New Roman"/>
          <w:b w:val="false"/>
          <w:i/>
          <w:color w:val="000000"/>
          <w:sz w:val="22"/>
        </w:rPr>
        <w:t>“g”</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t>
      </w:r>
      <w:r>
        <w:rPr>
          <w:rFonts w:ascii="Times New Roman" w:hAnsi="Times New Roman"/>
          <w:b w:val="false"/>
          <w:i/>
          <w:color w:val="000000"/>
          <w:sz w:val="22"/>
        </w:rPr>
        <w:t>E. coli</w:t>
      </w:r>
      <w:r>
        <w:rPr>
          <w:rFonts w:ascii="Times New Roman" w:hAnsi="Times New Roman"/>
          <w:b w:val="false"/>
          <w:i w:val="false"/>
          <w:color w:val="000000"/>
          <w:sz w:val="22"/>
        </w:rPr>
        <w:t xml:space="preserve"> are bacteria whose presence indicates that the water may be contaminated with human or animal wastes. Human pathogens in these wastes can cause short-term effects, such as diarrhea, cramps, nausea, headaches, or other symptoms. They may pose a greater health risk for infants, young children, the elderly, and people with severely compromised immune systems. We found </w:t>
      </w:r>
      <w:r>
        <w:rPr>
          <w:rFonts w:ascii="Times New Roman" w:hAnsi="Times New Roman"/>
          <w:b w:val="false"/>
          <w:i/>
          <w:color w:val="000000"/>
          <w:sz w:val="22"/>
        </w:rPr>
        <w:t>E. coli</w:t>
      </w:r>
      <w:r>
        <w:rPr>
          <w:rFonts w:ascii="Times New Roman" w:hAnsi="Times New Roman"/>
          <w:b w:val="false"/>
          <w:i w:val="false"/>
          <w:color w:val="000000"/>
          <w:sz w:val="22"/>
        </w:rPr>
        <w:t xml:space="preserve"> bacteria, indicating the need to look for potential problems in water treatment or distribution. When this occurs, we are required to conduct assessment(s) to identify problems and to correct any problems that were found during these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“We were required to complete a Level 2 assessment because we found </w:t>
      </w:r>
      <w:r>
        <w:rPr>
          <w:rFonts w:ascii="Times New Roman" w:hAnsi="Times New Roman"/>
          <w:b w:val="false"/>
          <w:i/>
          <w:color w:val="000000"/>
          <w:sz w:val="22"/>
        </w:rPr>
        <w:t>E. coli</w:t>
      </w:r>
      <w:r>
        <w:rPr>
          <w:rFonts w:ascii="Times New Roman" w:hAnsi="Times New Roman"/>
          <w:b w:val="false"/>
          <w:i w:val="false"/>
          <w:color w:val="000000"/>
          <w:sz w:val="22"/>
        </w:rPr>
        <w:t xml:space="preserve"> bacteria in our water system. In addition, we were required to take [</w:t>
      </w:r>
      <w:r>
        <w:rPr>
          <w:rFonts w:ascii="Times New Roman" w:hAnsi="Times New Roman"/>
          <w:b w:val="false"/>
          <w:i/>
          <w:color w:val="000000"/>
          <w:sz w:val="22"/>
        </w:rPr>
        <w:t>insert number of required corrective actions</w:t>
      </w:r>
      <w:r>
        <w:rPr>
          <w:rFonts w:ascii="Times New Roman" w:hAnsi="Times New Roman"/>
          <w:b w:val="false"/>
          <w:i w:val="false"/>
          <w:color w:val="000000"/>
          <w:sz w:val="22"/>
        </w:rPr>
        <w:t>] corrective actions, and we completed [</w:t>
      </w:r>
      <w:r>
        <w:rPr>
          <w:rFonts w:ascii="Times New Roman" w:hAnsi="Times New Roman"/>
          <w:b w:val="false"/>
          <w:i/>
          <w:color w:val="000000"/>
          <w:sz w:val="22"/>
        </w:rPr>
        <w:t>insert number of completed corrective actions</w:t>
      </w:r>
      <w:r>
        <w:rPr>
          <w:rFonts w:ascii="Times New Roman" w:hAnsi="Times New Roman"/>
          <w:b w:val="false"/>
          <w:i w:val="false"/>
          <w:color w:val="000000"/>
          <w:sz w:val="22"/>
        </w:rPr>
        <w:t>] of these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system that has failed to complete the required assessment or correct all identified sanitary defects is in violation of the TT requirement and must also include one or both of the following statements in its CCR,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 failed to conduct the required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 failed to correct all sanitary defects that were identified during the assessment that we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201">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if a system detects </w:t>
      </w:r>
      <w:r>
        <w:rPr>
          <w:rFonts w:ascii="Times New Roman" w:hAnsi="Times New Roman"/>
          <w:b w:val="false"/>
          <w:i/>
          <w:color w:val="000000"/>
          <w:sz w:val="22"/>
        </w:rPr>
        <w:t>E. coli</w:t>
      </w:r>
      <w:r>
        <w:rPr>
          <w:rFonts w:ascii="Times New Roman" w:hAnsi="Times New Roman"/>
          <w:b w:val="false"/>
          <w:i w:val="false"/>
          <w:color w:val="000000"/>
          <w:sz w:val="22"/>
        </w:rPr>
        <w:t xml:space="preserve"> and has violated the </w:t>
      </w:r>
      <w:r>
        <w:rPr>
          <w:rFonts w:ascii="Times New Roman" w:hAnsi="Times New Roman"/>
          <w:b w:val="false"/>
          <w:i/>
          <w:color w:val="000000"/>
          <w:sz w:val="22"/>
        </w:rPr>
        <w:t>E. coli</w:t>
      </w:r>
      <w:r>
        <w:rPr>
          <w:rFonts w:ascii="Times New Roman" w:hAnsi="Times New Roman"/>
          <w:b w:val="false"/>
          <w:i w:val="false"/>
          <w:color w:val="000000"/>
          <w:sz w:val="22"/>
        </w:rPr>
        <w:t xml:space="preserve"> MCL, in addition to completing the CCR table(s) as required in </w:t>
      </w:r>
      <w:r>
        <w:rPr>
          <w:rFonts w:ascii="Times New Roman" w:hAnsi="Times New Roman"/>
          <w:b w:val="false"/>
          <w:i w:val="false"/>
          <w:color w:val="000000"/>
          <w:sz w:val="22"/>
        </w:rPr>
        <w:t>40.7(4)</w:t>
      </w:r>
      <w:r>
        <w:rPr>
          <w:rFonts w:ascii="Times New Roman" w:hAnsi="Times New Roman"/>
          <w:b w:val="false"/>
          <w:i w:val="false"/>
          <w:color w:val="000000"/>
          <w:sz w:val="22"/>
        </w:rPr>
        <w:t>, the system must include in its CCR one or more of the following statements to describe any noncompliance,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“We had an </w:t>
      </w:r>
      <w:r>
        <w:rPr>
          <w:rFonts w:ascii="Times New Roman" w:hAnsi="Times New Roman"/>
          <w:b w:val="false"/>
          <w:i/>
          <w:color w:val="000000"/>
          <w:sz w:val="22"/>
        </w:rPr>
        <w:t>E. coli</w:t>
      </w:r>
      <w:r>
        <w:rPr>
          <w:rFonts w:ascii="Times New Roman" w:hAnsi="Times New Roman"/>
          <w:b w:val="false"/>
          <w:i w:val="false"/>
          <w:color w:val="000000"/>
          <w:sz w:val="22"/>
        </w:rPr>
        <w:t>-positive repeat sample following a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“We had a total coliform-positive repeat sample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“We failed to take all required repeat samples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“We failed to test for </w:t>
      </w:r>
      <w:r>
        <w:rPr>
          <w:rFonts w:ascii="Times New Roman" w:hAnsi="Times New Roman"/>
          <w:b w:val="false"/>
          <w:i/>
          <w:color w:val="000000"/>
          <w:sz w:val="22"/>
        </w:rPr>
        <w:t>E. coli</w:t>
      </w:r>
      <w:r>
        <w:rPr>
          <w:rFonts w:ascii="Times New Roman" w:hAnsi="Times New Roman"/>
          <w:b w:val="false"/>
          <w:i w:val="false"/>
          <w:color w:val="000000"/>
          <w:sz w:val="22"/>
        </w:rPr>
        <w:t xml:space="preserve"> when any repeat sample tested positive for total coliform.”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202">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if a system detects </w:t>
      </w:r>
      <w:r>
        <w:rPr>
          <w:rFonts w:ascii="Times New Roman" w:hAnsi="Times New Roman"/>
          <w:b w:val="false"/>
          <w:i/>
          <w:color w:val="000000"/>
          <w:sz w:val="22"/>
        </w:rPr>
        <w:t>E. coli</w:t>
      </w:r>
      <w:r>
        <w:rPr>
          <w:rFonts w:ascii="Times New Roman" w:hAnsi="Times New Roman"/>
          <w:b w:val="false"/>
          <w:i w:val="false"/>
          <w:color w:val="000000"/>
          <w:sz w:val="22"/>
        </w:rPr>
        <w:t xml:space="preserve"> and has not violated the </w:t>
      </w:r>
      <w:r>
        <w:rPr>
          <w:rFonts w:ascii="Times New Roman" w:hAnsi="Times New Roman"/>
          <w:b w:val="false"/>
          <w:i/>
          <w:color w:val="000000"/>
          <w:sz w:val="22"/>
        </w:rPr>
        <w:t>E. coli</w:t>
      </w:r>
      <w:r>
        <w:rPr>
          <w:rFonts w:ascii="Times New Roman" w:hAnsi="Times New Roman"/>
          <w:b w:val="false"/>
          <w:i w:val="false"/>
          <w:color w:val="000000"/>
          <w:sz w:val="22"/>
        </w:rPr>
        <w:t xml:space="preserve"> MCL, in addition to completing the CCR table(s) as required in </w:t>
      </w:r>
      <w:hyperlink r:id="rId203">
        <w:r>
          <w:rPr>
            <w:rStyle w:val="Hyperlink"/>
            <w:rFonts w:ascii="Times New Roman" w:hAnsi="Times New Roman"/>
            <w:b w:val="false"/>
            <w:i w:val="false"/>
            <w:color w:val="000000"/>
            <w:sz w:val="22"/>
          </w:rPr>
          <w:t>40.7(4)</w:t>
        </w:r>
      </w:hyperlink>
      <w:r>
        <w:rPr>
          <w:rFonts w:ascii="Times New Roman" w:hAnsi="Times New Roman"/>
          <w:b w:val="false"/>
          <w:i w:val="false"/>
          <w:color w:val="000000"/>
          <w:sz w:val="22"/>
        </w:rPr>
        <w:t xml:space="preserve">, the system may include in its CCR a statement that explains that although the system has detected </w:t>
      </w:r>
      <w:r>
        <w:rPr>
          <w:rFonts w:ascii="Times New Roman" w:hAnsi="Times New Roman"/>
          <w:b w:val="false"/>
          <w:i/>
          <w:color w:val="000000"/>
          <w:sz w:val="22"/>
        </w:rPr>
        <w:t>E. coli</w:t>
      </w:r>
      <w:r>
        <w:rPr>
          <w:rFonts w:ascii="Times New Roman" w:hAnsi="Times New Roman"/>
          <w:b w:val="false"/>
          <w:i w:val="false"/>
          <w:color w:val="000000"/>
          <w:sz w:val="22"/>
        </w:rPr>
        <w:t xml:space="preserve">, the system is not in violation of the </w:t>
      </w:r>
      <w:r>
        <w:rPr>
          <w:rFonts w:ascii="Times New Roman" w:hAnsi="Times New Roman"/>
          <w:b w:val="false"/>
          <w:i/>
          <w:color w:val="000000"/>
          <w:sz w:val="22"/>
        </w:rPr>
        <w:t>E. coli</w:t>
      </w:r>
      <w:r>
        <w:rPr>
          <w:rFonts w:ascii="Times New Roman" w:hAnsi="Times New Roman"/>
          <w:b w:val="false"/>
          <w:i w:val="false"/>
          <w:color w:val="000000"/>
          <w:sz w:val="22"/>
        </w:rPr>
        <w:t xml:space="preserve"> MCL.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40.7(10)</w:t>
      </w:r>
      <w:r>
        <w:rPr>
          <w:rFonts w:ascii="Times New Roman" w:hAnsi="Times New Roman"/>
          <w:b w:val="false"/>
          <w:i w:val="false"/>
          <w:color w:val="000000"/>
          <w:sz w:val="22"/>
        </w:rPr>
        <w:t> </w:t>
      </w:r>
      <w:r>
        <w:rPr>
          <w:rFonts w:ascii="Times New Roman" w:hAnsi="Times New Roman"/>
          <w:b w:val="false"/>
          <w:i/>
          <w:color w:val="000000"/>
          <w:sz w:val="22"/>
        </w:rPr>
        <w:t xml:space="preserve">CCR 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CCR recipients. </w:t>
      </w:r>
      <w:r>
        <w:rPr>
          <w:rFonts w:ascii="Times New Roman" w:hAnsi="Times New Roman"/>
          <w:b w:val="false"/>
          <w:i w:val="false"/>
          <w:color w:val="000000"/>
          <w:sz w:val="22"/>
        </w:rPr>
        <w:t>Each CWS must mail or otherwise directly deliver one copy of the CCR to each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make a good-faith effort to reach consumers who do not get water bills, using department-recommended means. An adequate good-faith effort will be tailored to the consumers who are served by the system but are not bill-paying customers. A good-faith effort would include a mix of methods appropriate to the particular system. Reports could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Posted on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Mailed to postal patrons in metropolitan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Advertised in the news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Published in a local newspaper;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Posted in public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Delivered for distribution by single-billed customers such as apartment buildings or large private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Delivered to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later than the date the system is required to distribute the CCR to its customers, each CWS must provide the CCR to the department, followed within three months by a certification that the CCR has been distributed to customers and that it is correct and consistent with the previously submitted compliance monitoring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later than the date the system is required to distribute the CCR to its customers, each CWS must deliver the report to any other agency or clearinghouse identified by the department, such as the Iowa department of health and human services or county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CCR availability. </w:t>
      </w:r>
      <w:r>
        <w:rPr>
          <w:rFonts w:ascii="Times New Roman" w:hAnsi="Times New Roman"/>
          <w:b w:val="false"/>
          <w:i w:val="false"/>
          <w:color w:val="000000"/>
          <w:sz w:val="22"/>
        </w:rPr>
        <w:t>Each CWS must make its CCR available to the public upon request. Each CWS serving 100,000 or more persons must post its current year’s CCR to a publicly accessible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CCR mailing requirement waiver for systems serving 10,000 or fewer in population. </w:t>
      </w:r>
      <w:r>
        <w:rPr>
          <w:rFonts w:ascii="Times New Roman" w:hAnsi="Times New Roman"/>
          <w:b w:val="false"/>
          <w:i w:val="false"/>
          <w:color w:val="000000"/>
          <w:sz w:val="22"/>
        </w:rPr>
        <w:t xml:space="preserve">All CWSs serving fewer than 10,000 persons will qualify for a mailing waiver, except for those systems that have one or more exceedances of a MCL, TT, AL, or HA; an administrative order; a court order; significant noncompliance with monitoring or reporting requirements; or an extended compliance schedule in an operation permit. Even if a PWS qualifies for a mailing waiver,  </w:t>
      </w:r>
      <w:hyperlink r:id="rId204">
        <w:r>
          <w:rPr>
            <w:rStyle w:val="Hyperlink"/>
            <w:rFonts w:ascii="Times New Roman" w:hAnsi="Times New Roman"/>
            <w:b w:val="false"/>
            <w:i w:val="false"/>
            <w:color w:val="000000"/>
            <w:sz w:val="22"/>
          </w:rPr>
          <w:t>40.7(10)</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still apply to all CWSs. A mailing waiver is not allowed for the CCR covering the year during which one of the previously listed exceptions occurred. Systems qualifying for a mailing waiver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Publish their CCR in one or more local newspapers serving the area where the system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customers that their CCR will not be mailed, either in the newspapers in which the CCR is published or by other department-approved means;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their CCR available to the public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CCR mailing requirements waiver for systems serving 500 or fewer in population. </w:t>
      </w:r>
      <w:r>
        <w:rPr>
          <w:rFonts w:ascii="Times New Roman" w:hAnsi="Times New Roman"/>
          <w:b w:val="false"/>
          <w:i w:val="false"/>
          <w:color w:val="000000"/>
          <w:sz w:val="22"/>
        </w:rPr>
        <w:t xml:space="preserve">All CWSs serving 500 or fewer persons will qualify for a mailing waiver, except for those systems that have one or more exceedances of an MCL, TT, AL, or HA; an administrative order; a court order; significant noncompliance with monitoring or reporting requirements; or an extended compliance schedule in an operation permit. Systems serving 500 or fewer persons that qualify for the waiver may forego the requirements of </w:t>
      </w:r>
      <w:r>
        <w:rPr>
          <w:rFonts w:ascii="Times New Roman" w:hAnsi="Times New Roman"/>
          <w:b w:val="false"/>
          <w:i w:val="false"/>
          <w:color w:val="000000"/>
          <w:sz w:val="22"/>
        </w:rPr>
        <w:t>40.7(10)</w:t>
      </w:r>
      <w:r>
        <w:rPr>
          <w:rFonts w:ascii="Times New Roman" w:hAnsi="Times New Roman"/>
          <w:b w:val="false"/>
          <w:i/>
          <w:color w:val="000000"/>
          <w:sz w:val="22"/>
        </w:rPr>
        <w:t>“c”</w:t>
      </w:r>
      <w:r>
        <w:rPr>
          <w:rFonts w:ascii="Times New Roman" w:hAnsi="Times New Roman"/>
          <w:b w:val="false"/>
          <w:i w:val="false"/>
          <w:color w:val="000000"/>
          <w:sz w:val="22"/>
        </w:rPr>
        <w:t xml:space="preserve">(1) and </w:t>
      </w:r>
      <w:r>
        <w:rPr>
          <w:rFonts w:ascii="Times New Roman" w:hAnsi="Times New Roman"/>
          <w:b w:val="false"/>
          <w:i w:val="false"/>
          <w:color w:val="000000"/>
          <w:sz w:val="22"/>
        </w:rPr>
        <w:t>40.7(10)</w:t>
      </w:r>
      <w:r>
        <w:rPr>
          <w:rFonts w:ascii="Times New Roman" w:hAnsi="Times New Roman"/>
          <w:b w:val="false"/>
          <w:i/>
          <w:color w:val="000000"/>
          <w:sz w:val="22"/>
        </w:rPr>
        <w:t>“c”</w:t>
      </w:r>
      <w:r>
        <w:rPr>
          <w:rFonts w:ascii="Times New Roman" w:hAnsi="Times New Roman"/>
          <w:b w:val="false"/>
          <w:i w:val="false"/>
          <w:color w:val="000000"/>
          <w:sz w:val="22"/>
        </w:rPr>
        <w:t xml:space="preserve">(2) if they provide notice at least once per year to their customers that the CCR is available upon request, by mail, door-to-door delivery, or by posting in conspicuous places within the service area acceptable to the department. A mailing waiver is not allowed for the CCR covering the year during which one of the previously listed exceptions occurred. Even if a PWS serving 500 or fewer persons qualifies for a mailing waiver, </w:t>
      </w:r>
      <w:hyperlink r:id="rId205">
        <w:r>
          <w:rPr>
            <w:rStyle w:val="Hyperlink"/>
            <w:rFonts w:ascii="Times New Roman" w:hAnsi="Times New Roman"/>
            <w:b w:val="false"/>
            <w:i w:val="false"/>
            <w:color w:val="000000"/>
            <w:sz w:val="22"/>
          </w:rPr>
          <w:t>40.7(10)</w:t>
        </w:r>
      </w:hyperlink>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206">
        <w:r>
          <w:rPr>
            <w:rStyle w:val="Hyperlink"/>
            <w:rFonts w:ascii="Times New Roman" w:hAnsi="Times New Roman"/>
            <w:b w:val="false"/>
            <w:i w:val="false"/>
            <w:color w:val="000000"/>
            <w:sz w:val="22"/>
          </w:rPr>
          <w:t>40.7(10)</w:t>
        </w:r>
        <w:r>
          <w:rPr>
            <w:rFonts w:ascii="Times New Roman" w:hAnsi="Times New Roman"/>
            <w:b w:val="false"/>
            <w:i/>
            <w:color w:val="000000"/>
            <w:sz w:val="22"/>
          </w:rPr>
          <w:t>“b”</w:t>
        </w:r>
      </w:hyperlink>
      <w:r>
        <w:rPr>
          <w:rFonts w:ascii="Times New Roman" w:hAnsi="Times New Roman"/>
          <w:b w:val="false"/>
          <w:i w:val="false"/>
          <w:color w:val="000000"/>
          <w:sz w:val="22"/>
        </w:rPr>
        <w:t xml:space="preserve"> still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567—40.8</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other than for lead and copper.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required by the department, a PWS shall report to the department within ten days following a test, measurement, or analysis required by this chapter and 567—Chapters </w:t>
      </w:r>
      <w:hyperlink r:id="rId20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the results of that test, measurement, or analysis in the form and manner prescribed by the department. This shall include reporting of all positive detects within the same specific analytical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where a different reporting period is specified in this rule or 567—Chapters </w:t>
      </w:r>
      <w:hyperlink r:id="rId209">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1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 PWS shall report to the department within 48 hours after any failure to comply with the monitoring requirements in 567—Chapters </w:t>
      </w:r>
      <w:hyperlink r:id="rId211">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The PWS shall also notify the department within 48 hours of failure to comply with any primary drinking water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PWS, within ten days of completion of each initial and repeat PNs required in </w:t>
      </w:r>
      <w:hyperlink r:id="rId213">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 shall submit to the department a certification that it has fully complied with the PN rules. The certification must include a representative copy of each type of notice distributed, published, posted, or made available to the persons served by the system or to the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reporting requirements for the GW rule are listed in </w:t>
      </w:r>
      <w:hyperlink r:id="rId214">
        <w:r>
          <w:rPr>
            <w:rStyle w:val="Hyperlink"/>
            <w:rFonts w:ascii="Times New Roman" w:hAnsi="Times New Roman"/>
            <w:b w:val="false"/>
            <w:i w:val="false"/>
            <w:color w:val="000000"/>
            <w:sz w:val="22"/>
          </w:rPr>
          <w:t>567—paragraph 41.7(6)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reporting requirements for the coliform rule are listed in </w:t>
      </w:r>
      <w:hyperlink r:id="rId215">
        <w:r>
          <w:rPr>
            <w:rStyle w:val="Hyperlink"/>
            <w:rFonts w:ascii="Times New Roman" w:hAnsi="Times New Roman"/>
            <w:b w:val="false"/>
            <w:i w:val="false"/>
            <w:color w:val="000000"/>
            <w:sz w:val="22"/>
          </w:rPr>
          <w:t>567—paragraph 41.2(1)</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w:t>
      </w:r>
      <w:r>
        <w:rPr>
          <w:rFonts w:ascii="Times New Roman" w:hAnsi="Times New Roman"/>
          <w:b w:val="false"/>
          <w:i w:val="false"/>
          <w:color w:val="000000"/>
          <w:sz w:val="22"/>
        </w:rPr>
        <w:t> </w:t>
      </w:r>
      <w:r>
        <w:rPr>
          <w:rFonts w:ascii="Times New Roman" w:hAnsi="Times New Roman"/>
          <w:b w:val="false"/>
          <w:i/>
          <w:color w:val="000000"/>
          <w:sz w:val="22"/>
        </w:rPr>
        <w:t xml:space="preserve">Lead and copper reporting requirements. </w:t>
      </w:r>
      <w:r>
        <w:rPr>
          <w:rFonts w:ascii="Times New Roman" w:hAnsi="Times New Roman"/>
          <w:b w:val="false"/>
          <w:i w:val="false"/>
          <w:color w:val="000000"/>
          <w:sz w:val="22"/>
        </w:rPr>
        <w:t>All PWSs shall report all of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for tap water monitoring and water quality parameter (WQP)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below in </w:t>
      </w:r>
      <w:hyperlink r:id="rId216">
        <w:r>
          <w:rPr>
            <w:rStyle w:val="Hyperlink"/>
            <w:rFonts w:ascii="Times New Roman" w:hAnsi="Times New Roman"/>
            <w:b w:val="false"/>
            <w:i w:val="false"/>
            <w:color w:val="000000"/>
            <w:sz w:val="22"/>
          </w:rPr>
          <w:t>40.8(2)</w:t>
        </w:r>
      </w:hyperlink>
      <w:r>
        <w:rPr>
          <w:rFonts w:ascii="Times New Roman" w:hAnsi="Times New Roman"/>
          <w:b w:val="false"/>
          <w:i/>
          <w:color w:val="000000"/>
          <w:sz w:val="22"/>
        </w:rPr>
        <w:t>“a”</w:t>
      </w:r>
      <w:r>
        <w:rPr>
          <w:rFonts w:ascii="Times New Roman" w:hAnsi="Times New Roman"/>
          <w:b w:val="false"/>
          <w:i w:val="false"/>
          <w:color w:val="000000"/>
          <w:sz w:val="22"/>
        </w:rPr>
        <w:t xml:space="preserve">(1)“6,” a system shall report the information specified below for all tap water samples specified in </w:t>
      </w:r>
      <w:hyperlink r:id="rId217">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all WQP samples specified in </w:t>
      </w:r>
      <w:hyperlink r:id="rId218">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the first ten days following the end of each applicable monitoring period specified in </w:t>
      </w:r>
      <w:hyperlink r:id="rId219">
        <w:r>
          <w:rPr>
            <w:rStyle w:val="Hyperlink"/>
            <w:rFonts w:ascii="Times New Roman" w:hAnsi="Times New Roman"/>
            <w:b w:val="false"/>
            <w:i w:val="false"/>
            <w:color w:val="000000"/>
            <w:sz w:val="22"/>
          </w:rPr>
          <w:t>567—41.4</w:t>
        </w:r>
      </w:hyperlink>
      <w:r>
        <w:rPr>
          <w:rFonts w:ascii="Times New Roman" w:hAnsi="Times New Roman"/>
          <w:b w:val="false"/>
          <w:i w:val="false"/>
          <w:color w:val="000000"/>
          <w:sz w:val="22"/>
        </w:rPr>
        <w:t>(455B). For monitoring periods with a duration of less than six months, the end of the monitoring period is the last date samples can be collected during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results of all tap samples for lead and copper, including the location of each site and the site selection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for each tap water lead or copper sample for which the system requests invalidation pursuant to </w:t>
      </w:r>
      <w:hyperlink r:id="rId220">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90th percentile lead and copper concentrations measured from among all lead and copper tap water samples collected during each monitoring period (calculated in accordance with </w:t>
      </w:r>
      <w:hyperlink r:id="rId221">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initial tap sampling conducted pursuant to </w:t>
      </w:r>
      <w:hyperlink r:id="rId222">
        <w:r>
          <w:rPr>
            <w:rStyle w:val="Hyperlink"/>
            <w:rFonts w:ascii="Times New Roman" w:hAnsi="Times New Roman"/>
            <w:b w:val="false"/>
            <w:i w:val="false"/>
            <w:color w:val="000000"/>
            <w:sz w:val="22"/>
          </w:rPr>
          <w:t>567—paragraph 41.4(1)</w:t>
        </w:r>
        <w:r>
          <w:rPr>
            <w:rFonts w:ascii="Times New Roman" w:hAnsi="Times New Roman"/>
            <w:b w:val="false"/>
            <w:i/>
            <w:color w:val="000000"/>
            <w:sz w:val="22"/>
          </w:rPr>
          <w:t>“c”</w:t>
        </w:r>
        <w:r>
          <w:rPr>
            <w:rFonts w:ascii="Times New Roman" w:hAnsi="Times New Roman"/>
            <w:b w:val="false"/>
            <w:i w:val="false"/>
            <w:color w:val="000000"/>
            <w:sz w:val="22"/>
          </w:rPr>
          <w:t>(4)“1,”</w:t>
        </w:r>
      </w:hyperlink>
      <w:r>
        <w:rPr>
          <w:rFonts w:ascii="Times New Roman" w:hAnsi="Times New Roman"/>
          <w:b w:val="false"/>
          <w:i w:val="false"/>
          <w:color w:val="000000"/>
          <w:sz w:val="22"/>
        </w:rPr>
        <w:t xml:space="preserve"> the system shall designate any site that was not sampled during previous monitoring periods and include an explanation of why sampling sites have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 For samples collected under 567—subparagraphs </w:t>
      </w:r>
      <w:hyperlink r:id="rId223">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through </w:t>
      </w:r>
      <w:r>
        <w:rPr>
          <w:rFonts w:ascii="Times New Roman" w:hAnsi="Times New Roman"/>
          <w:b w:val="false"/>
          <w:i/>
          <w:color w:val="000000"/>
          <w:sz w:val="22"/>
        </w:rPr>
        <w:t>“d”</w:t>
      </w:r>
      <w:r>
        <w:rPr>
          <w:rFonts w:ascii="Times New Roman" w:hAnsi="Times New Roman"/>
          <w:b w:val="false"/>
          <w:i w:val="false"/>
          <w:color w:val="000000"/>
          <w:sz w:val="22"/>
        </w:rPr>
        <w:t xml:space="preserve">(5), tap sample results for pH; where applicable, alkalinity, calcium, conductivity, temperature, and orthophosphate or silica; and SEP sample results for applicable WQPs;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all WQP samples collected under 567—subparagraphs </w:t>
      </w:r>
      <w:hyperlink r:id="rId224">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(3) through </w:t>
      </w:r>
      <w:r>
        <w:rPr>
          <w:rFonts w:ascii="Times New Roman" w:hAnsi="Times New Roman"/>
          <w:b w:val="false"/>
          <w:i/>
          <w:color w:val="000000"/>
          <w:sz w:val="22"/>
        </w:rPr>
        <w:t>“d”</w:t>
      </w:r>
      <w:r>
        <w:rPr>
          <w:rFonts w:ascii="Times New Roman" w:hAnsi="Times New Roman"/>
          <w:b w:val="false"/>
          <w:i w:val="false"/>
          <w:color w:val="000000"/>
          <w:sz w:val="22"/>
        </w:rPr>
        <w:t xml:space="preserve">(6) during each six-month monitoring period in </w:t>
      </w:r>
      <w:hyperlink r:id="rId225">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“d”</w:t>
      </w:r>
      <w:r>
        <w:rPr>
          <w:rFonts w:ascii="Times New Roman" w:hAnsi="Times New Roman"/>
          <w:b w:val="false"/>
          <w:i w:val="false"/>
          <w:color w:val="000000"/>
          <w:sz w:val="22"/>
        </w:rPr>
        <w:t>(4) within the first ten days following the end of the monitoring period unless the department has specified a more frequent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systems that do not have enough taps that can provide first-draw samples and that have met the six-hour stand time criteria, such as an NTNC with 24-hour operation or a CWS meeting the criteria of </w:t>
      </w:r>
      <w:hyperlink r:id="rId226">
        <w:r>
          <w:rPr>
            <w:rStyle w:val="Hyperlink"/>
            <w:rFonts w:ascii="Times New Roman" w:hAnsi="Times New Roman"/>
            <w:b w:val="false"/>
            <w:i w:val="false"/>
            <w:color w:val="000000"/>
            <w:sz w:val="22"/>
          </w:rPr>
          <w:t>40.6(2)</w:t>
        </w:r>
      </w:hyperlink>
      <w:r>
        <w:rPr>
          <w:rFonts w:ascii="Times New Roman" w:hAnsi="Times New Roman"/>
          <w:b w:val="false"/>
          <w:i/>
          <w:color w:val="000000"/>
          <w:sz w:val="22"/>
        </w:rPr>
        <w:t>“d”</w:t>
      </w:r>
      <w:r>
        <w:rPr>
          <w:rFonts w:ascii="Times New Roman" w:hAnsi="Times New Roman"/>
          <w:b w:val="false"/>
          <w:i w:val="false"/>
          <w:color w:val="000000"/>
          <w:sz w:val="22"/>
        </w:rPr>
        <w:t>(2), must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has not approved the non-first-draw sample sites, provide written documentation to the department identifying stand times and locations for enough non-first-draw samples to make up its sampling pool under </w:t>
      </w:r>
      <w:hyperlink r:id="rId227">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(2)“5” by July 1, 2003;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has already approved the non-first-draw sample sites, identify each site that did not meet the six-hour minimum stand time and the length of stand time for that particular substitute sample (collected pursuant to </w:t>
      </w:r>
      <w:hyperlink r:id="rId228">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(2)“5.”) Certain systems already include this information in writing with the lead and copper tap sample results required by </w:t>
      </w:r>
      <w:hyperlink r:id="rId229">
        <w:r>
          <w:rPr>
            <w:rStyle w:val="Hyperlink"/>
            <w:rFonts w:ascii="Times New Roman" w:hAnsi="Times New Roman"/>
            <w:b w:val="false"/>
            <w:i w:val="false"/>
            <w:color w:val="000000"/>
            <w:sz w:val="22"/>
          </w:rPr>
          <w:t>567—paragraph 41.4(1)</w:t>
        </w:r>
        <w:r>
          <w:rPr>
            <w:rFonts w:ascii="Times New Roman" w:hAnsi="Times New Roman"/>
            <w:b w:val="false"/>
            <w:i/>
            <w:color w:val="000000"/>
            <w:sz w:val="22"/>
          </w:rPr>
          <w:t>“d”</w:t>
        </w:r>
        <w:r>
          <w:rPr>
            <w:rFonts w:ascii="Times New Roman" w:hAnsi="Times New Roman"/>
            <w:b w:val="false"/>
            <w:i w:val="false"/>
            <w:color w:val="000000"/>
            <w:sz w:val="22"/>
          </w:rPr>
          <w:t>(1)“1.”</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a time specified by the department or, if no specific time is specified, then as early as possible prior to the addition of a new source or any long-term change in water treatment, a system subject to this subparagraph shall send written documentation to the department describing the addition or change. The department must review and approve the addition or change before it is implemented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subject to this subparagraph are those that have optimized corrosion control under </w:t>
      </w:r>
      <w:hyperlink r:id="rId230">
        <w:r>
          <w:rPr>
            <w:rStyle w:val="Hyperlink"/>
            <w:rFonts w:ascii="Times New Roman" w:hAnsi="Times New Roman"/>
            <w:b w:val="false"/>
            <w:i w:val="false"/>
            <w:color w:val="000000"/>
            <w:sz w:val="22"/>
          </w:rPr>
          <w:t>567—subparagraph 43.7(1)</w:t>
        </w:r>
      </w:hyperlink>
      <w:r>
        <w:rPr>
          <w:rFonts w:ascii="Times New Roman" w:hAnsi="Times New Roman"/>
          <w:b w:val="false"/>
          <w:i/>
          <w:color w:val="000000"/>
          <w:sz w:val="22"/>
        </w:rPr>
        <w:t>“b”</w:t>
      </w:r>
      <w:r>
        <w:rPr>
          <w:rFonts w:ascii="Times New Roman" w:hAnsi="Times New Roman"/>
          <w:b w:val="false"/>
          <w:i w:val="false"/>
          <w:color w:val="000000"/>
          <w:sz w:val="22"/>
        </w:rPr>
        <w:t xml:space="preserve">(3), are subject to reduced monitoring pursuant to </w:t>
      </w:r>
      <w:hyperlink r:id="rId231">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or are subject to a monitoring waiver pursuant to </w:t>
      </w:r>
      <w:hyperlink r:id="rId232">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“c”</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Examples of long-term treatment changes include the addition of a new treatment process or modification of an existing process. Long-term changes can include dose changes to existing chemicals but do not include chemical dose fluctuations associated with daily water quality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Examples of modifications include the switching of secondary disinfectants, coagulants, or corrosion inhibitor products. In those instances where prior department approval of a new source addition or long-term treatment change is not required, systems are encouraged to provide notification to the department beforehand to minimize the risk that the new source addition or treatment change will adversely affect optimal corrosion control (OCC).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small system applying for or subject to a monitoring waiver under </w:t>
      </w:r>
      <w:hyperlink r:id="rId233">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“c”</w:t>
      </w:r>
      <w:r>
        <w:rPr>
          <w:rFonts w:ascii="Times New Roman" w:hAnsi="Times New Roman"/>
          <w:b w:val="false"/>
          <w:i w:val="false"/>
          <w:color w:val="000000"/>
          <w:sz w:val="22"/>
        </w:rPr>
        <w:t>(7) shall provide the following information to the department in writing by the specified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start of the first applicable monitoring period in </w:t>
      </w:r>
      <w:hyperlink r:id="rId234">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any small system applying for a monitoring waiver shall provide documentation demonstrating that it meets the waiver criteria of 567—paragraphs </w:t>
      </w:r>
      <w:hyperlink r:id="rId23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nine years after the monitoring previously conducted pursuant to </w:t>
      </w:r>
      <w:hyperlink r:id="rId236">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(7)“2” or </w:t>
      </w:r>
      <w:hyperlink r:id="rId23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(7)“4,” first bulleted paragraph, each small system desiring to maintain its monitoring waiver shall provide the information required by </w:t>
      </w:r>
      <w:hyperlink r:id="rId238">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(7)“4,” first and second bulleted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later than 60 days after the system becomes aware that it is no longer free of lead- or copper-containing materials, as appropriate, each small system with a monitoring waiver shall provide written notification, setting forth the circumstances resulting in the lead- or copper-containing materials being introduced into the system and what corrective action, if any, the system plans to remove these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GW system that limits WQP monitoring to a subset of entry points under </w:t>
      </w:r>
      <w:hyperlink r:id="rId239">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“d”</w:t>
      </w:r>
      <w:r>
        <w:rPr>
          <w:rFonts w:ascii="Times New Roman" w:hAnsi="Times New Roman"/>
          <w:b w:val="false"/>
          <w:i w:val="false"/>
          <w:color w:val="000000"/>
          <w:sz w:val="22"/>
        </w:rPr>
        <w:t>(3)“3” shall provide, by the commencement of such monitoring, written correspondence to the department that identifies the selected entry points and includes information sufficient to demonstrate that the sites are representative of water quality and treatment conditions throughout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Source water monitoring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shall report the sampling results for all source water samples collected within the first ten days following the end of each source water monitoring period in accordance with </w:t>
      </w:r>
      <w:hyperlink r:id="rId240">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the first round of source water sampling conducted pursuant to </w:t>
      </w:r>
      <w:hyperlink r:id="rId241">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“e”</w:t>
      </w:r>
      <w:r>
        <w:rPr>
          <w:rFonts w:ascii="Times New Roman" w:hAnsi="Times New Roman"/>
          <w:b w:val="false"/>
          <w:i w:val="false"/>
          <w:color w:val="000000"/>
          <w:sz w:val="22"/>
        </w:rPr>
        <w:t>(2), the system shall specify any site that was not sampled during previous monitoring periods and include an explanation of why the sampling point has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Corrosion control treatment (CCT) reporting. </w:t>
      </w:r>
      <w:r>
        <w:rPr>
          <w:rFonts w:ascii="Times New Roman" w:hAnsi="Times New Roman"/>
          <w:b w:val="false"/>
          <w:i w:val="false"/>
          <w:color w:val="000000"/>
          <w:sz w:val="22"/>
        </w:rPr>
        <w:t xml:space="preserve">By the applicable dates in </w:t>
      </w:r>
      <w:hyperlink r:id="rId242">
        <w:r>
          <w:rPr>
            <w:rStyle w:val="Hyperlink"/>
            <w:rFonts w:ascii="Times New Roman" w:hAnsi="Times New Roman"/>
            <w:b w:val="false"/>
            <w:i w:val="false"/>
            <w:color w:val="000000"/>
            <w:sz w:val="22"/>
          </w:rPr>
          <w:t>567—subrule 43.7(1)</w:t>
        </w:r>
      </w:hyperlink>
      <w:r>
        <w:rPr>
          <w:rFonts w:ascii="Times New Roman" w:hAnsi="Times New Roman"/>
          <w:b w:val="false"/>
          <w:i w:val="false"/>
          <w:color w:val="000000"/>
          <w:sz w:val="22"/>
        </w:rPr>
        <w:t>, systems shall report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demonstrating that they have already optimized corrosion control, information required in </w:t>
      </w:r>
      <w:hyperlink r:id="rId243">
        <w:r>
          <w:rPr>
            <w:rStyle w:val="Hyperlink"/>
            <w:rFonts w:ascii="Times New Roman" w:hAnsi="Times New Roman"/>
            <w:b w:val="false"/>
            <w:i w:val="false"/>
            <w:color w:val="000000"/>
            <w:sz w:val="22"/>
          </w:rPr>
          <w:t>567—subparagraph 43.7(1)</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required to optimize corrosion control, their recommendation regarding optimal corrosion control treatment (OCCT) under </w:t>
      </w:r>
      <w:hyperlink r:id="rId244">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required to evaluate the effectiveness of CCTs under </w:t>
      </w:r>
      <w:hyperlink r:id="rId245">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information required by that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required to install OCC designated by the department under </w:t>
      </w:r>
      <w:hyperlink r:id="rId246">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“d,”</w:t>
      </w:r>
      <w:r>
        <w:rPr>
          <w:rFonts w:ascii="Times New Roman" w:hAnsi="Times New Roman"/>
          <w:b w:val="false"/>
          <w:i w:val="false"/>
          <w:color w:val="000000"/>
          <w:sz w:val="22"/>
        </w:rPr>
        <w:t xml:space="preserve"> a letter certifying that the system has completed installing that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Source water treatment reporting. </w:t>
      </w:r>
      <w:r>
        <w:rPr>
          <w:rFonts w:ascii="Times New Roman" w:hAnsi="Times New Roman"/>
          <w:b w:val="false"/>
          <w:i w:val="false"/>
          <w:color w:val="000000"/>
          <w:sz w:val="22"/>
        </w:rPr>
        <w:t xml:space="preserve">By the applicable dates in </w:t>
      </w:r>
      <w:hyperlink r:id="rId247">
        <w:r>
          <w:rPr>
            <w:rStyle w:val="Hyperlink"/>
            <w:rFonts w:ascii="Times New Roman" w:hAnsi="Times New Roman"/>
            <w:b w:val="false"/>
            <w:i w:val="false"/>
            <w:color w:val="000000"/>
            <w:sz w:val="22"/>
          </w:rPr>
          <w:t>567—paragraph 43.7(3)</w:t>
        </w:r>
      </w:hyperlink>
      <w:r>
        <w:rPr>
          <w:rFonts w:ascii="Times New Roman" w:hAnsi="Times New Roman"/>
          <w:b w:val="false"/>
          <w:i/>
          <w:color w:val="000000"/>
          <w:sz w:val="22"/>
        </w:rPr>
        <w:t>“a,”</w:t>
      </w:r>
      <w:r>
        <w:rPr>
          <w:rFonts w:ascii="Times New Roman" w:hAnsi="Times New Roman"/>
          <w:b w:val="false"/>
          <w:i w:val="false"/>
          <w:color w:val="000000"/>
          <w:sz w:val="22"/>
        </w:rPr>
        <w:t xml:space="preserve"> systems shall provide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required under </w:t>
      </w:r>
      <w:hyperlink r:id="rId248">
        <w:r>
          <w:rPr>
            <w:rStyle w:val="Hyperlink"/>
            <w:rFonts w:ascii="Times New Roman" w:hAnsi="Times New Roman"/>
            <w:b w:val="false"/>
            <w:i w:val="false"/>
            <w:color w:val="000000"/>
            <w:sz w:val="22"/>
          </w:rPr>
          <w:t>567—subparagraph 43.7(3)</w:t>
        </w:r>
      </w:hyperlink>
      <w:r>
        <w:rPr>
          <w:rFonts w:ascii="Times New Roman" w:hAnsi="Times New Roman"/>
          <w:b w:val="false"/>
          <w:i/>
          <w:color w:val="000000"/>
          <w:sz w:val="22"/>
        </w:rPr>
        <w:t>“b”</w:t>
      </w:r>
      <w:r>
        <w:rPr>
          <w:rFonts w:ascii="Times New Roman" w:hAnsi="Times New Roman"/>
          <w:b w:val="false"/>
          <w:i w:val="false"/>
          <w:color w:val="000000"/>
          <w:sz w:val="22"/>
        </w:rPr>
        <w:t>(1), their recommendation regarding source water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required to install source water treatment under </w:t>
      </w:r>
      <w:hyperlink r:id="rId249">
        <w:r>
          <w:rPr>
            <w:rStyle w:val="Hyperlink"/>
            <w:rFonts w:ascii="Times New Roman" w:hAnsi="Times New Roman"/>
            <w:b w:val="false"/>
            <w:i w:val="false"/>
            <w:color w:val="000000"/>
            <w:sz w:val="22"/>
          </w:rPr>
          <w:t>567—subparagraph 43.7(3)</w:t>
        </w:r>
      </w:hyperlink>
      <w:r>
        <w:rPr>
          <w:rFonts w:ascii="Times New Roman" w:hAnsi="Times New Roman"/>
          <w:b w:val="false"/>
          <w:i/>
          <w:color w:val="000000"/>
          <w:sz w:val="22"/>
        </w:rPr>
        <w:t>“b”</w:t>
      </w:r>
      <w:r>
        <w:rPr>
          <w:rFonts w:ascii="Times New Roman" w:hAnsi="Times New Roman"/>
          <w:b w:val="false"/>
          <w:i w:val="false"/>
          <w:color w:val="000000"/>
          <w:sz w:val="22"/>
        </w:rPr>
        <w:t>(1), a letter certifying that the system has completed installing the designated treatment within 24 months of the department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replacement (LSLR) reporting. </w:t>
      </w:r>
      <w:r>
        <w:rPr>
          <w:rFonts w:ascii="Times New Roman" w:hAnsi="Times New Roman"/>
          <w:b w:val="false"/>
          <w:i w:val="false"/>
          <w:color w:val="000000"/>
          <w:sz w:val="22"/>
        </w:rPr>
        <w:t xml:space="preserve">Systems shall report the following to the department to demonstrate compliance with </w:t>
      </w:r>
      <w:hyperlink r:id="rId250">
        <w:r>
          <w:rPr>
            <w:rStyle w:val="Hyperlink"/>
            <w:rFonts w:ascii="Times New Roman" w:hAnsi="Times New Roman"/>
            <w:b w:val="false"/>
            <w:i w:val="false"/>
            <w:color w:val="000000"/>
            <w:sz w:val="22"/>
          </w:rPr>
          <w:t>567—subrule 43.7(4)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12 months after the end of a monitoring period in which a system exceeds the lead AL when sampling pursuant to </w:t>
      </w:r>
      <w:hyperlink r:id="rId251">
        <w:r>
          <w:rPr>
            <w:rStyle w:val="Hyperlink"/>
            <w:rFonts w:ascii="Times New Roman" w:hAnsi="Times New Roman"/>
            <w:b w:val="false"/>
            <w:i w:val="false"/>
            <w:color w:val="000000"/>
            <w:sz w:val="22"/>
          </w:rPr>
          <w:t>567—paragraph 43.7(4)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system must submit written documentation of the material evaluation pursuant to </w:t>
      </w:r>
      <w:hyperlink r:id="rId252">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“c”</w:t>
      </w:r>
      <w:r>
        <w:rPr>
          <w:rFonts w:ascii="Times New Roman" w:hAnsi="Times New Roman"/>
          <w:b w:val="false"/>
          <w:i w:val="false"/>
          <w:color w:val="000000"/>
          <w:sz w:val="22"/>
        </w:rPr>
        <w:t>(1), identify the initial number of lead service lines (LSLs) in its distribution system at the time it exceeds the lead AL, and provide its schedule for replacing annually at least 7 percent of the initial number of LSLs in its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12 months after the end of a monitoring period in which a system exceeds the lead AL when sampling pursuant to </w:t>
      </w:r>
      <w:hyperlink r:id="rId253">
        <w:r>
          <w:rPr>
            <w:rStyle w:val="Hyperlink"/>
            <w:rFonts w:ascii="Times New Roman" w:hAnsi="Times New Roman"/>
            <w:b w:val="false"/>
            <w:i w:val="false"/>
            <w:color w:val="000000"/>
            <w:sz w:val="22"/>
          </w:rPr>
          <w:t>567—paragraph 43.7(4)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every 12 months thereafter, the system shall demonstrate in writing that it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Replaced in the previous 12 months at least 7 percent of the initial LSLs (or a greater number of lines specified by the department under </w:t>
      </w:r>
      <w:hyperlink r:id="rId254">
        <w:r>
          <w:rPr>
            <w:rStyle w:val="Hyperlink"/>
            <w:rFonts w:ascii="Times New Roman" w:hAnsi="Times New Roman"/>
            <w:b w:val="false"/>
            <w:i w:val="false"/>
            <w:color w:val="000000"/>
            <w:sz w:val="22"/>
          </w:rPr>
          <w:t>567—paragraph 43.7(4)</w:t>
        </w:r>
      </w:hyperlink>
      <w:r>
        <w:rPr>
          <w:rFonts w:ascii="Times New Roman" w:hAnsi="Times New Roman"/>
          <w:b w:val="false"/>
          <w:i/>
          <w:color w:val="000000"/>
          <w:sz w:val="22"/>
        </w:rPr>
        <w:t>“e”</w:t>
      </w:r>
      <w:r>
        <w:rPr>
          <w:rFonts w:ascii="Times New Roman" w:hAnsi="Times New Roman"/>
          <w:b w:val="false"/>
          <w:i w:val="false"/>
          <w:color w:val="000000"/>
          <w:sz w:val="22"/>
        </w:rPr>
        <w:t xml:space="preserve"> in its distribution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Conducted sampling that demonstrates that the lead concentration in all service line samples from individual line(s), taken pursuant to </w:t>
      </w:r>
      <w:hyperlink r:id="rId255">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(2)“3,” is less than or equal to 0.015 mg/L. In such cases, the total number of lines replaced plus those lines meeting the criteria in </w:t>
      </w:r>
      <w:hyperlink r:id="rId256">
        <w:r>
          <w:rPr>
            <w:rStyle w:val="Hyperlink"/>
            <w:rFonts w:ascii="Times New Roman" w:hAnsi="Times New Roman"/>
            <w:b w:val="false"/>
            <w:i w:val="false"/>
            <w:color w:val="000000"/>
            <w:sz w:val="22"/>
          </w:rPr>
          <w:t>567—paragraph 43.7(4)</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either equal at least 7 percent of the initial number of lead lines identified under </w:t>
      </w:r>
      <w:hyperlink r:id="rId257">
        <w:r>
          <w:rPr>
            <w:rStyle w:val="Hyperlink"/>
            <w:rFonts w:ascii="Times New Roman" w:hAnsi="Times New Roman"/>
            <w:b w:val="false"/>
            <w:i w:val="false"/>
            <w:color w:val="000000"/>
            <w:sz w:val="22"/>
          </w:rPr>
          <w:t>40.8(2)</w:t>
        </w:r>
      </w:hyperlink>
      <w:r>
        <w:rPr>
          <w:rFonts w:ascii="Times New Roman" w:hAnsi="Times New Roman"/>
          <w:b w:val="false"/>
          <w:i/>
          <w:color w:val="000000"/>
          <w:sz w:val="22"/>
        </w:rPr>
        <w:t>“e”</w:t>
      </w:r>
      <w:r>
        <w:rPr>
          <w:rFonts w:ascii="Times New Roman" w:hAnsi="Times New Roman"/>
          <w:b w:val="false"/>
          <w:i w:val="false"/>
          <w:color w:val="000000"/>
          <w:sz w:val="22"/>
        </w:rPr>
        <w:t>(1) above or equal the percentage specified by the department under 567—paragraph 43.7(4)</w:t>
      </w:r>
      <w:r>
        <w:rPr>
          <w:rFonts w:ascii="Times New Roman" w:hAnsi="Times New Roman"/>
          <w:b w:val="false"/>
          <w:i/>
          <w:color w:val="000000"/>
          <w:sz w:val="22"/>
        </w:rPr>
        <w:t>“e.”</w:t>
      </w:r>
      <w:r>
        <w:rPr>
          <w:rFonts w:ascii="Times New Roman" w:hAnsi="Times New Roman"/>
          <w:b w:val="false"/>
          <w:i w:val="false"/>
          <w:color w:val="000000"/>
          <w:sz w:val="22"/>
        </w:rPr>
        <w:t xml:space="preserve"> An LSL meeting the criteria of </w:t>
      </w:r>
      <w:hyperlink r:id="rId258">
        <w:r>
          <w:rPr>
            <w:rStyle w:val="Hyperlink"/>
            <w:rFonts w:ascii="Times New Roman" w:hAnsi="Times New Roman"/>
            <w:b w:val="false"/>
            <w:i w:val="false"/>
            <w:color w:val="000000"/>
            <w:sz w:val="22"/>
          </w:rPr>
          <w:t>567—paragraph 43.7(4)</w:t>
        </w:r>
        <w:r>
          <w:rPr>
            <w:rFonts w:ascii="Times New Roman" w:hAnsi="Times New Roman"/>
            <w:b w:val="false"/>
            <w:i/>
            <w:color w:val="000000"/>
            <w:sz w:val="22"/>
          </w:rPr>
          <w:t>“c”</w:t>
        </w:r>
      </w:hyperlink>
      <w:r>
        <w:rPr>
          <w:rFonts w:ascii="Times New Roman" w:hAnsi="Times New Roman"/>
          <w:b w:val="false"/>
          <w:i w:val="false"/>
          <w:color w:val="000000"/>
          <w:sz w:val="22"/>
        </w:rPr>
        <w:t xml:space="preserve"> may only be used to comply with the 7-percent criteria for a specific year and may not be used again to calculate compliance with the 7-percent criteria in future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letter submitted under </w:t>
      </w:r>
      <w:hyperlink r:id="rId259">
        <w:r>
          <w:rPr>
            <w:rStyle w:val="Hyperlink"/>
            <w:rFonts w:ascii="Times New Roman" w:hAnsi="Times New Roman"/>
            <w:b w:val="false"/>
            <w:i w:val="false"/>
            <w:color w:val="000000"/>
            <w:sz w:val="22"/>
          </w:rPr>
          <w:t>40.8(2)</w:t>
        </w:r>
      </w:hyperlink>
      <w:r>
        <w:rPr>
          <w:rFonts w:ascii="Times New Roman" w:hAnsi="Times New Roman"/>
          <w:b w:val="false"/>
          <w:i/>
          <w:color w:val="000000"/>
          <w:sz w:val="22"/>
        </w:rPr>
        <w:t>“e”</w:t>
      </w:r>
      <w:r>
        <w:rPr>
          <w:rFonts w:ascii="Times New Roman" w:hAnsi="Times New Roman"/>
          <w:b w:val="false"/>
          <w:i w:val="false"/>
          <w:color w:val="000000"/>
          <w:sz w:val="22"/>
        </w:rPr>
        <w:t>(2) above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LSLs scheduled to be replaced during the previous year of the system’s replacement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and location of each LSL replaced during the previous year of the system’s replacement schedule;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measured, the water lead concentration and location of each LSL sampled, the sampling method, and the sampling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that collects LSL samples following partial LSL replacement required by </w:t>
      </w:r>
      <w:hyperlink r:id="rId260">
        <w:r>
          <w:rPr>
            <w:rStyle w:val="Hyperlink"/>
            <w:rFonts w:ascii="Times New Roman" w:hAnsi="Times New Roman"/>
            <w:b w:val="false"/>
            <w:i w:val="false"/>
            <w:color w:val="000000"/>
            <w:sz w:val="22"/>
          </w:rPr>
          <w:t>567—subrule 43.7(4)</w:t>
        </w:r>
      </w:hyperlink>
      <w:r>
        <w:rPr>
          <w:rFonts w:ascii="Times New Roman" w:hAnsi="Times New Roman"/>
          <w:b w:val="false"/>
          <w:i w:val="false"/>
          <w:color w:val="000000"/>
          <w:sz w:val="22"/>
        </w:rPr>
        <w:t xml:space="preserve"> shall report the results within the first ten days of the month following the month in which the system receives the laboratory results or as specified by the department. Systems shall also submit any additional requested information in a time and manner prescribed by the department to verify that all partial LSL replacement activities have taken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PE program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subject to the PE requirements in </w:t>
      </w:r>
      <w:hyperlink r:id="rId261">
        <w:r>
          <w:rPr>
            <w:rStyle w:val="Hyperlink"/>
            <w:rFonts w:ascii="Times New Roman" w:hAnsi="Times New Roman"/>
            <w:b w:val="false"/>
            <w:i w:val="false"/>
            <w:color w:val="000000"/>
            <w:sz w:val="22"/>
          </w:rPr>
          <w:t>40.6(2)</w:t>
        </w:r>
      </w:hyperlink>
      <w:r>
        <w:rPr>
          <w:rFonts w:ascii="Times New Roman" w:hAnsi="Times New Roman"/>
          <w:b w:val="false"/>
          <w:i w:val="false"/>
          <w:color w:val="000000"/>
          <w:sz w:val="22"/>
        </w:rPr>
        <w:t xml:space="preserve"> shall, within ten days after the end of each period in which the system is required to perform PE, send written documentation to the department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demonstration that the system has delivered the PE materials that meet the content and delivery requirements in </w:t>
      </w:r>
      <w:hyperlink r:id="rId262">
        <w:r>
          <w:rPr>
            <w:rStyle w:val="Hyperlink"/>
            <w:rFonts w:ascii="Times New Roman" w:hAnsi="Times New Roman"/>
            <w:b w:val="false"/>
            <w:i w:val="false"/>
            <w:color w:val="000000"/>
            <w:sz w:val="22"/>
          </w:rPr>
          <w:t>40.6(2)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all the newspapers, radio stations, television stations, facilities, and organizations to which the system delivered PE materials during the PE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required by the department, a system that previously submitted the information required by </w:t>
      </w:r>
      <w:hyperlink r:id="rId263">
        <w:r>
          <w:rPr>
            <w:rStyle w:val="Hyperlink"/>
            <w:rFonts w:ascii="Times New Roman" w:hAnsi="Times New Roman"/>
            <w:b w:val="false"/>
            <w:i w:val="false"/>
            <w:color w:val="000000"/>
            <w:sz w:val="22"/>
          </w:rPr>
          <w:t>40.8(2)</w:t>
        </w:r>
      </w:hyperlink>
      <w:r>
        <w:rPr>
          <w:rFonts w:ascii="Times New Roman" w:hAnsi="Times New Roman"/>
          <w:b w:val="false"/>
          <w:i/>
          <w:color w:val="000000"/>
          <w:sz w:val="22"/>
        </w:rPr>
        <w:t>“f”</w:t>
      </w:r>
      <w:r>
        <w:rPr>
          <w:rFonts w:ascii="Times New Roman" w:hAnsi="Times New Roman"/>
          <w:b w:val="false"/>
          <w:i w:val="false"/>
          <w:color w:val="000000"/>
          <w:sz w:val="22"/>
        </w:rPr>
        <w:t>(1)“2” need not resubmit the same information, provided there have been no changes in the distribution list and the system certifies that the PE materials were distributed to the same list previously submitted. This certification is due within ten days after the end of each period in which the system is required to perform 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three months following the end of the monitoring period, each system must mail a sample copy of the consumer notice of tap results to the department along with a certification that the notice has been distributed in a manner consistent with </w:t>
      </w:r>
      <w:hyperlink r:id="rId264">
        <w:r>
          <w:rPr>
            <w:rStyle w:val="Hyperlink"/>
            <w:rFonts w:ascii="Times New Roman" w:hAnsi="Times New Roman"/>
            <w:b w:val="false"/>
            <w:i w:val="false"/>
            <w:color w:val="000000"/>
            <w:sz w:val="22"/>
          </w:rPr>
          <w:t>40.6(1)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Additional monitoring data reporting. </w:t>
      </w:r>
      <w:r>
        <w:rPr>
          <w:rFonts w:ascii="Times New Roman" w:hAnsi="Times New Roman"/>
          <w:b w:val="false"/>
          <w:i w:val="false"/>
          <w:color w:val="000000"/>
          <w:sz w:val="22"/>
        </w:rPr>
        <w:t xml:space="preserve">A system that collects sampling data in addition to that required by 567—Chapters </w:t>
      </w:r>
      <w:hyperlink r:id="rId265">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6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shall report the results to the department within the first ten days following the end of the applicable monitoring period under 567—paragraphs </w:t>
      </w:r>
      <w:hyperlink r:id="rId26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during which the samples are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40.8(3)</w:t>
      </w:r>
      <w:r>
        <w:rPr>
          <w:rFonts w:ascii="Times New Roman" w:hAnsi="Times New Roman"/>
          <w:b w:val="false"/>
          <w:i w:val="false"/>
          <w:color w:val="000000"/>
          <w:sz w:val="22"/>
        </w:rPr>
        <w:t> </w:t>
      </w:r>
      <w:r>
        <w:rPr>
          <w:rFonts w:ascii="Times New Roman" w:hAnsi="Times New Roman"/>
          <w:b w:val="false"/>
          <w:i/>
          <w:color w:val="000000"/>
          <w:sz w:val="22"/>
        </w:rPr>
        <w:t xml:space="preserve">PWS operation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operation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Monthly operation records (MORs) shall be completed by all PWSs on forms provided by the department or on similar forms unless a PWS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Supplies an annual average of not more than 25,000 gpd or serves no more than an average of 250 individuals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a CWS and does not provide any type of treatment, or is a NCWS (NTNC or TNC) that has only a cation-exchange softening or iron/manganese removal treatment unit, and meets the requirements of </w:t>
      </w:r>
      <w:hyperlink r:id="rId268">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Does not utilize either a SW or an IGW, either in whole or in part, as a water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Does not use a TT such as blending to achieve compliance with an MCL, TT, AL, or HA.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MORs shall be completed as described in </w:t>
      </w:r>
      <w:hyperlink r:id="rId269">
        <w:r>
          <w:rPr>
            <w:rStyle w:val="Hyperlink"/>
            <w:rFonts w:ascii="Times New Roman" w:hAnsi="Times New Roman"/>
            <w:b w:val="false"/>
            <w:i w:val="false"/>
            <w:color w:val="000000"/>
            <w:sz w:val="22"/>
          </w:rPr>
          <w:t>40.8(3)</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submitted to the department within ten days after the end of each month the system serves water to the public, and maintained at the facility for department inspection for a period of five years. For CWSs and NTNCs, the MOR must be signed by the certified operator in charge. For TNCs, the MOR, if required by the department, must be signed by the owner or the owner’s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this paragraph, all PWSs using a SW or IGW source must also comply with the applicable recordkeeping requirements in </w:t>
      </w:r>
      <w:hyperlink r:id="rId270">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MORs shall be completed as follows. Daily monitoring is seven days a week unless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Pumpage or flow. NCWS shall measure and record the total water used each week. Daily measurement and recording is recommended. CWS shall measure and record the total water used each day. Pumpage or flow reporting may be required in an operation permit where needed to verify MCL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treatment effectiveness. Where treatment is practiced, the intended effect of the treatment shall be measured and recorded at locations and by methods which best indicate effectiveness of the treatment process, at a frequency specified in Appendix A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standard treatment effectiveness. Where the raw water quality does not meet the requirements of 567—Chapters </w:t>
      </w:r>
      <w:hyperlink r:id="rId271">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72">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treatment is practiced to comply with an MCL, AL, TT, or HA, the primary standard constituent or an appropriate department-designated indicator constituent shall be measured and recorded daily. Reporting of these results will be required in the operation permit to verify MCL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Secondary standard treatment effectiveness. Where treatment is practiced to achieve the recommended level of any constituent designated in the federal secondary standards, measurements shall be conducted and recorded at a frequency specified in Appendix A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Chemical application. Chemicals, such as fluoride, iodine, bromine, and chlorine, that are potentially toxic in excessive concentration shall be measured and recorded daily. Recording shall include the amount of chemical applied each day. Where the PWS is attempting to maintain a residual of the chemical throughout the system, the residual in the system shall be measured and recorded daily. The quantity of all other chemicals applied shall be measured and recorded at least once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Static and pumping water levels must be measured and recorded once per month for all GW sources. More or less frequent measurements may be approved by the department where historical data justifies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NCWS are exempt from the self-monitoring requirements for cation-exchange softening and iron/manganese removal if the treatment unit: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commercially available “off-the-shelf” unit designed for home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self-contained, requiring only a piping connection for installation;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Operates throughout a range of 35 to 80 psi;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not been installed to remove a contaminant that has an MCL, TT, AL, or HA.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Chemical quality and application. </w:t>
      </w:r>
      <w:r>
        <w:rPr>
          <w:rFonts w:ascii="Times New Roman" w:hAnsi="Times New Roman"/>
          <w:b w:val="false"/>
          <w:i w:val="false"/>
          <w:color w:val="000000"/>
          <w:sz w:val="22"/>
        </w:rPr>
        <w:t>Any chemical added to raw, partially treated, or finished water must be suitable for the intended use in a potable water system. The chemical must be certified by an ANSI-accredited third party for conformance with the ANSI/NSF Standard 60, if such certification exists for the particular product, unless certified chemicals are not reasonably available for use, in accordance with department guidelines. If the chemical is not certified for conformance with the ANSI/NSF Standard 60 or no certification is available, the person seeking to supply or use the chemical must prove to the department’s satisfaction that the chemical is not toxic or otherwise a potential hazard in a potable PWS.</w:t>
      </w:r>
    </w:p>
    <w:p>
      <w:pPr>
        <w:spacing w:before="0" w:after="0"/>
        <w:ind w:left="120"/>
        <w:jc w:val="both"/>
      </w:pPr>
      <w:r>
        <w:rPr>
          <w:rFonts w:ascii="Times New Roman" w:hAnsi="Times New Roman"/>
          <w:b w:val="false"/>
          <w:i w:val="false"/>
          <w:color w:val="000000"/>
          <w:sz w:val="22"/>
        </w:rPr>
        <w:t xml:space="preserve">PWSs shall keep a record of all chemicals used. This record should include a clear identification of the chemical by brand or generic name and the dosage rate. When chemical treatment is applied with the intent of obtaining an in-system residual, the residuals will be monitored regularly. When chemical treatment is applied and in-system residuals are not expected, the treatment effectiveness will be monitored through an appropriate indicative parameter.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required. Continuous disinfection must be provided at all PWSs, except for GW supplies that either have no treatment facilities or have only fluoride, sodium hydroxide, or soda ash addition; meet the bacterial standards in </w:t>
      </w:r>
      <w:hyperlink r:id="rId273">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and do not show other actual or potential hazardous contamination by microorganisms. For an NCWS that only uses a cation-exchange softening unit meeting the requirements of </w:t>
      </w:r>
      <w:hyperlink r:id="rId274">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(4)“7,” this requirement is based on both the system’s history of coliform bacteria detection and its compliance with the coliform bacteria monitoring requirements in </w:t>
      </w:r>
      <w:hyperlink r:id="rId275">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Chlorine is the preferred disinfecting agent. Chlorination may be accomplished with liquid chlorine, calcium or sodium hypochlorites, or chlorine dioxide. Other disinfecting agents will be considered, provided a residual can be maintained in the distribution system, reliable application equipment is available, and residual testing procedures are recognized in the Standard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Chlorine residual. A minimum free available chlorine residual of 0.3 mg/L or a minimum total available chlorine residual of 1.5 mg/L must be continuously maintained throughout the distribution system, except for those points in the distribution system that terminate as dead ends or areas that represent very low use when compared to usage throughout the rest of the distribution system, as determined by the department. All systems using water to which chlorine has been added must monitor daily in the distribution system to ensure the minimum disinfectant residual concentration is met, including both wholesale systems and consecutive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Measurement. Chlorine may be measured by a test kit or an online analyzer meeting the specifications in </w:t>
      </w:r>
      <w:hyperlink r:id="rId276">
        <w:r>
          <w:rPr>
            <w:rStyle w:val="Hyperlink"/>
            <w:rFonts w:ascii="Times New Roman" w:hAnsi="Times New Roman"/>
            <w:b w:val="false"/>
            <w:i w:val="false"/>
            <w:color w:val="000000"/>
            <w:sz w:val="22"/>
          </w:rPr>
          <w:t>40.8(3)</w:t>
        </w:r>
      </w:hyperlink>
      <w:r>
        <w:rPr>
          <w:rFonts w:ascii="Times New Roman" w:hAnsi="Times New Roman"/>
          <w:b w:val="false"/>
          <w:i/>
          <w:color w:val="000000"/>
          <w:sz w:val="22"/>
        </w:rPr>
        <w:t>“b”</w:t>
      </w:r>
      <w:r>
        <w:rPr>
          <w:rFonts w:ascii="Times New Roman" w:hAnsi="Times New Roman"/>
          <w:b w:val="false"/>
          <w:i w:val="false"/>
          <w:color w:val="000000"/>
          <w:sz w:val="22"/>
        </w:rPr>
        <w:t>(1)“5”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Test kit. A test kit capable of measuring free and combined chlorine residuals in increments no greater than 0.1 mg/L in the range below 0.5 mg/L, in increments no greater than 0.2 mg/L in the range from 0.5 mg/L to 1.0 mg/L, and in increments no greater than 0.3 mg/L in the range from 1.0 mg/L to 2.0 mg/L must be provided at all chlorination facilities. The test kit must use an analysis method recognized in the Standard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Online analyzer. Free and total chlorine may be measured continuously by adapting a specified chlorine residual method for use with a continuous monitoring instrument provided the chemistry, accuracy, and precision remain the same. Continuous monitoring instruments must be verified with a grab sample measurement at least every seven days. The analyzer concentration must be within plus or minus 0.1 mg/L or plus or minus 15 percent (whichever is larger) of the grab sample measurement. If the verification is not within this range, immediate actions must be taken to resolve the issue and another verification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Leak detection, control, and operator protection. A bottle of at least 56 percent ammonium hydroxide must be provided at all gas chlorination installations for leak detection. Leak repair kits must be available where ton chlorine cylinders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disinfectant residuals. If an alternative disinfecting agent is approved by the department, the residual levels and test kit type will be assigned by the department in accordance with and based upon the analytical methods in the Standard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Phosphate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phosphate compounds are added to any PWS that uses iron or manganese removal or ion-exchange softening, the compounds must be applied after the iron or manganese removal or ion-exchange softening treatment units unless the department has approved an engineering report demonstrating the suitability for addition prior to these units in accordance with </w:t>
      </w:r>
      <w:hyperlink r:id="rId277">
        <w:r>
          <w:rPr>
            <w:rStyle w:val="Hyperlink"/>
            <w:rFonts w:ascii="Times New Roman" w:hAnsi="Times New Roman"/>
            <w:b w:val="false"/>
            <w:i w:val="false"/>
            <w:color w:val="000000"/>
            <w:sz w:val="22"/>
          </w:rPr>
          <w:t>567—subrule 43.3(2)</w:t>
        </w:r>
      </w:hyperlink>
      <w:r>
        <w:rPr>
          <w:rFonts w:ascii="Times New Roman" w:hAnsi="Times New Roman"/>
          <w:b w:val="false"/>
          <w:i w:val="false"/>
          <w:color w:val="000000"/>
          <w:sz w:val="22"/>
        </w:rPr>
        <w:t>. The department may require the discontinuance of phosphate addition where it interferes with other treatment processes or system operation or if there is a significant increase in microorganism populations associated with phosphate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phosphate concentration in finished water must not exceed 10 mg/L as PO</w:t>
      </w:r>
      <w:r>
        <w:rPr>
          <w:rFonts w:ascii="Times New Roman" w:hAnsi="Times New Roman"/>
          <w:b w:val="false"/>
          <w:i w:val="false"/>
          <w:color w:val="000000"/>
          <w:sz w:val="18"/>
          <w:vertAlign w:val="subscript"/>
        </w:rPr>
        <w:t>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Chlorine shall be applied to the phosphate solution in sufficient quantity to give an initial concentration of 10 mg/L in the phosphate solution. A chlorine residual must be maintained in the phosphate solution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 kits capable of measuring polyphosphate and orthophosphate in a range from 0.0 to 10.0 mg/L in increments no greater than 0.1 mg/L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Continuous application or injection of phosphate compounds directly into a well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Fluorosilicic acid. Where fluorosilicic acid (H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SiF</w:t>
      </w:r>
      <w:r>
        <w:rPr>
          <w:rFonts w:ascii="Times New Roman" w:hAnsi="Times New Roman"/>
          <w:b w:val="false"/>
          <w:i w:val="false"/>
          <w:color w:val="000000"/>
          <w:sz w:val="18"/>
          <w:vertAlign w:val="subscript"/>
        </w:rPr>
        <w:t>6</w:t>
      </w:r>
      <w:r>
        <w:rPr>
          <w:rFonts w:ascii="Times New Roman" w:hAnsi="Times New Roman"/>
          <w:b w:val="false"/>
          <w:i w:val="false"/>
          <w:color w:val="000000"/>
          <w:sz w:val="22"/>
        </w:rPr>
        <w:t>, also called hydrofluosilicic acid) is added to a PWS, a fluoride test kit with a minimum range of from 0.0 to 2.0 mg/L in increments no greater than 0.1 mg/L must be provided. Distilled water and standard fluoride solutions of 0.2 mg/L and 1.0 mg/L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requirements for systems using surface water (SW) and groundwater under the direct influence of surface water (IGW). </w:t>
      </w:r>
      <w:r>
        <w:rPr>
          <w:rFonts w:ascii="Times New Roman" w:hAnsi="Times New Roman"/>
          <w:b w:val="false"/>
          <w:i w:val="false"/>
          <w:color w:val="000000"/>
          <w:sz w:val="22"/>
        </w:rPr>
        <w:t xml:space="preserve">In addition to the monitoring requirements in </w:t>
      </w:r>
      <w:hyperlink r:id="rId278">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 PWS that uses a SW or IGW source must report monthly to the department the information specified in this subrule when filtration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Turbidity measurements required by </w:t>
      </w:r>
      <w:hyperlink r:id="rId279">
        <w:r>
          <w:rPr>
            <w:rStyle w:val="Hyperlink"/>
            <w:rFonts w:ascii="Times New Roman" w:hAnsi="Times New Roman"/>
            <w:b w:val="false"/>
            <w:i w:val="false"/>
            <w:color w:val="000000"/>
            <w:sz w:val="22"/>
          </w:rPr>
          <w:t>567—subrule 43.5(3)</w:t>
        </w:r>
      </w:hyperlink>
      <w:r>
        <w:rPr>
          <w:rFonts w:ascii="Times New Roman" w:hAnsi="Times New Roman"/>
          <w:b w:val="false"/>
          <w:i w:val="false"/>
          <w:color w:val="000000"/>
          <w:sz w:val="22"/>
        </w:rPr>
        <w:t xml:space="preserve"> must be reported within ten days after the end of each month the system serves water to the public. The following information must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number of filtered water turbidity measurements taken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and percentage of filtered water turbidity measurements taken during the month that are less than or equal to the turbidity limits in 567—paragraphs </w:t>
      </w:r>
      <w:hyperlink r:id="rId280">
        <w:r>
          <w:rPr>
            <w:rStyle w:val="Hyperlink"/>
            <w:rFonts w:ascii="Times New Roman" w:hAnsi="Times New Roman"/>
            <w:b w:val="false"/>
            <w:i w:val="false"/>
            <w:color w:val="000000"/>
            <w:sz w:val="22"/>
          </w:rPr>
          <w:t>43.5(3)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for the filtration technology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and value of any turbidity measurements taken during the month that exceed 1 NTU. If at any time the turbidity exceeds 1 NTU, the system must inform the department as soon as possible, but no later than 24 hours after the exceedance is known, in accordance with the PN requirements in </w:t>
      </w:r>
      <w:r>
        <w:rPr>
          <w:rFonts w:ascii="Times New Roman" w:hAnsi="Times New Roman"/>
          <w:b w:val="false"/>
          <w:i w:val="false"/>
          <w:color w:val="000000"/>
          <w:sz w:val="22"/>
        </w:rPr>
        <w:t>40.5(2)</w:t>
      </w:r>
      <w:r>
        <w:rPr>
          <w:rFonts w:ascii="Times New Roman" w:hAnsi="Times New Roman"/>
          <w:b w:val="false"/>
          <w:i w:val="false"/>
          <w:color w:val="000000"/>
          <w:sz w:val="22"/>
        </w:rPr>
        <w:t xml:space="preserve">. This is in addition to the monthly reporting requirement, pursuant to </w:t>
      </w:r>
      <w:hyperlink r:id="rId281">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disinfection information in 567—subrule </w:t>
      </w:r>
      <w:hyperlink r:id="rId282">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and </w:t>
      </w:r>
      <w:hyperlink r:id="rId283">
        <w:r>
          <w:rPr>
            <w:rStyle w:val="Hyperlink"/>
            <w:rFonts w:ascii="Times New Roman" w:hAnsi="Times New Roman"/>
            <w:b w:val="false"/>
            <w:i w:val="false"/>
            <w:color w:val="000000"/>
            <w:sz w:val="22"/>
          </w:rPr>
          <w:t>40.8(3)</w:t>
        </w:r>
      </w:hyperlink>
      <w:r>
        <w:rPr>
          <w:rFonts w:ascii="Times New Roman" w:hAnsi="Times New Roman"/>
          <w:b w:val="false"/>
          <w:i/>
          <w:color w:val="000000"/>
          <w:sz w:val="22"/>
        </w:rPr>
        <w:t>“b”</w:t>
      </w:r>
      <w:r>
        <w:rPr>
          <w:rFonts w:ascii="Times New Roman" w:hAnsi="Times New Roman"/>
          <w:b w:val="false"/>
          <w:i w:val="false"/>
          <w:color w:val="000000"/>
          <w:sz w:val="22"/>
        </w:rPr>
        <w:t xml:space="preserve"> above must be reported within ten days after the end of each month the system serves water to the public. The following information must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day, the lowest measurement of residual disinfectant concentration in mg/L in water entering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and duration of each period when the residual disinfectant concentration in water entering the distribution system fell below 0.3 mg/L free residual chlorine or 1.5 mg/L total residual chlorine (TRC) and when the department was notified of the occurrence. If at any time the residual falls below 0.3 mg/L free residual chlorine or 1.5 mg/L TRC in the water entering the distribution system, the system must notify the department as soon as possible but no later than by the end of the next business day. The system also must notify the department by the end of the next business day whether or not the residual was restored to at least 0.3 mg/L free residual chlorine or 1.5 mg/L TRC within four hours. This is in addition to the monthly reporting requirement in </w:t>
      </w:r>
      <w:hyperlink r:id="rId284">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on the samples taken in the distribution system in conjunction with the total coliform monitoring in </w:t>
      </w:r>
      <w:hyperlink r:id="rId285">
        <w:r>
          <w:rPr>
            <w:rStyle w:val="Hyperlink"/>
            <w:rFonts w:ascii="Times New Roman" w:hAnsi="Times New Roman"/>
            <w:b w:val="false"/>
            <w:i w:val="false"/>
            <w:color w:val="000000"/>
            <w:sz w:val="22"/>
          </w:rPr>
          <w:t>567—paragraph 43.5(2)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pursuant to </w:t>
      </w:r>
      <w:hyperlink r:id="rId286">
        <w:r>
          <w:rPr>
            <w:rStyle w:val="Hyperlink"/>
            <w:rFonts w:ascii="Times New Roman" w:hAnsi="Times New Roman"/>
            <w:b w:val="false"/>
            <w:i w:val="false"/>
            <w:color w:val="000000"/>
            <w:sz w:val="22"/>
          </w:rPr>
          <w:t>567—subparagraph 41.2(1)</w:t>
        </w:r>
      </w:hyperlink>
      <w:r>
        <w:rPr>
          <w:rFonts w:ascii="Times New Roman" w:hAnsi="Times New Roman"/>
          <w:b w:val="false"/>
          <w:i/>
          <w:color w:val="000000"/>
          <w:sz w:val="22"/>
        </w:rPr>
        <w:t>“c”</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inactivation ratio must be calculated each day the treatment plant is in operation, pursuant to </w:t>
      </w:r>
      <w:hyperlink r:id="rId287">
        <w:r>
          <w:rPr>
            <w:rStyle w:val="Hyperlink"/>
            <w:rFonts w:ascii="Times New Roman" w:hAnsi="Times New Roman"/>
            <w:b w:val="false"/>
            <w:i w:val="false"/>
            <w:color w:val="000000"/>
            <w:sz w:val="22"/>
          </w:rPr>
          <w:t>567—paragraph 43.5(2)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reported on the MOR. If the total inactivation ratio is below 1.0, the system must notify the department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requirements for DPBs, disinfectants, and DBP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monitoring requirements in </w:t>
      </w:r>
      <w:hyperlink r:id="rId288">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 a CWS or NTNC that adds a chemical disinfectant to the water in any part of the treatment process or that provides water containing a chemical disinfectant must report monthly to the department the information specified in the tables in this paragraph by the dates in 567—subparagraphs </w:t>
      </w:r>
      <w:hyperlink r:id="rId289">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290">
        <w:r>
          <w:rPr>
            <w:rStyle w:val="Hyperlink"/>
            <w:rFonts w:ascii="Times New Roman" w:hAnsi="Times New Roman"/>
            <w:b w:val="false"/>
            <w:i w:val="false"/>
            <w:color w:val="000000"/>
            <w:sz w:val="22"/>
          </w:rPr>
          <w:t>43.6(1)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 TNC that adds chlorine dioxide as a disinfectant or oxidant must report monthly to the department the information specified in this paragraph in accordance with </w:t>
      </w:r>
      <w:hyperlink r:id="rId291">
        <w:r>
          <w:rPr>
            <w:rStyle w:val="Hyperlink"/>
            <w:rFonts w:ascii="Times New Roman" w:hAnsi="Times New Roman"/>
            <w:b w:val="false"/>
            <w:i w:val="false"/>
            <w:color w:val="000000"/>
            <w:sz w:val="22"/>
          </w:rPr>
          <w:t>567—paragraph 43.6(1)</w:t>
        </w:r>
      </w:hyperlink>
      <w:r>
        <w:rPr>
          <w:rFonts w:ascii="Times New Roman" w:hAnsi="Times New Roman"/>
          <w:b w:val="false"/>
          <w:i/>
          <w:color w:val="000000"/>
          <w:sz w:val="22"/>
        </w:rPr>
        <w:t>“a”</w:t>
      </w:r>
      <w:r>
        <w:rPr>
          <w:rFonts w:ascii="Times New Roman" w:hAnsi="Times New Roman"/>
          <w:b w:val="false"/>
          <w:i w:val="false"/>
          <w:color w:val="000000"/>
          <w:sz w:val="22"/>
        </w:rPr>
        <w:t>(3)“3.”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required to sample quarterly or more frequently must report to the department within ten days after the end of each quarter in which samples were collected, notwithstanding the PN provisions of </w:t>
      </w:r>
      <w:hyperlink r:id="rId292">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 Systems required to sample less frequently than quarterly must report to the department within ten days after the end of each monitoring period in which samples were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DBPs.</w:t>
      </w:r>
    </w:p>
    <w:p>
      <w:pPr>
        <w:spacing w:before="60" w:after="0"/>
        <w:ind w:left="120"/>
        <w:jc w:val="center"/>
      </w:pPr>
      <w:r>
        <w:rPr>
          <w:rFonts w:ascii="Times New Roman" w:hAnsi="Times New Roman"/>
          <w:b/>
          <w:i w:val="false"/>
          <w:color w:val="000000"/>
          <w:sz w:val="22"/>
        </w:rPr>
        <w:t>DBPs Reporting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If you are a system monitoring for ...</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You must report the following ...</w:t>
            </w:r>
          </w:p>
        </w:tc>
      </w:tr>
      <w:tr>
        <w:trPr>
          <w:trHeight w:val="2010"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TTHMs and HAA5 under </w:t>
            </w:r>
            <w:hyperlink r:id="rId293">
              <w:r>
                <w:rPr>
                  <w:rStyle w:val="Hyperlink"/>
                  <w:rFonts w:ascii="Times New Roman" w:hAnsi="Times New Roman"/>
                  <w:b w:val="false"/>
                  <w:i w:val="false"/>
                  <w:color w:val="000000"/>
                  <w:sz w:val="16"/>
                </w:rPr>
                <w:t>567—subparagraph 41.6(1)</w:t>
              </w:r>
            </w:hyperlink>
            <w:r>
              <w:rPr>
                <w:rFonts w:ascii="Times New Roman" w:hAnsi="Times New Roman"/>
                <w:b w:val="false"/>
                <w:i/>
                <w:color w:val="000000"/>
                <w:sz w:val="16"/>
              </w:rPr>
              <w:t>“c”</w:t>
            </w:r>
            <w:r>
              <w:rPr>
                <w:rFonts w:ascii="Times New Roman" w:hAnsi="Times New Roman"/>
                <w:b w:val="false"/>
                <w:i w:val="false"/>
                <w:color w:val="000000"/>
                <w:sz w:val="16"/>
              </w:rPr>
              <w:t>(4) on a quarterly or more frequent basis</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Number of samples taken during the last quarter.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Location, date, and result of each sample taken during the last quarter.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Arithmetic average of all samples taken in the last quarter. </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 xml:space="preserve">Annual arithmetic average of the quarterly arithmetic averages for the last four quarters.* </w:t>
            </w:r>
          </w:p>
          <w:p>
            <w:pPr>
              <w:spacing w:before="0" w:after="0"/>
              <w:ind w:left="160"/>
              <w:jc w:val="left"/>
            </w:pPr>
            <w:r>
              <w:rPr>
                <w:rFonts w:ascii="Times New Roman" w:hAnsi="Times New Roman"/>
                <w:b w:val="false"/>
                <w:i w:val="false"/>
                <w:color w:val="000000"/>
                <w:sz w:val="16"/>
              </w:rPr>
              <w:t>     5.   </w:t>
            </w:r>
            <w:r>
              <w:rPr>
                <w:rFonts w:ascii="Times New Roman" w:hAnsi="Times New Roman"/>
                <w:b w:val="false"/>
                <w:i w:val="false"/>
                <w:color w:val="000000"/>
                <w:sz w:val="16"/>
              </w:rPr>
              <w:t xml:space="preserve">Whether the MCL was exceeded. </w:t>
            </w:r>
          </w:p>
          <w:p>
            <w:pPr>
              <w:spacing w:before="0" w:after="0"/>
              <w:ind w:left="160"/>
              <w:jc w:val="left"/>
            </w:pPr>
            <w:r>
              <w:rPr>
                <w:rFonts w:ascii="Times New Roman" w:hAnsi="Times New Roman"/>
                <w:b w:val="false"/>
                <w:i w:val="false"/>
                <w:color w:val="000000"/>
                <w:sz w:val="16"/>
              </w:rPr>
              <w:t>     6.   </w:t>
            </w:r>
            <w:r>
              <w:rPr>
                <w:rFonts w:ascii="Times New Roman" w:hAnsi="Times New Roman"/>
                <w:b w:val="false"/>
                <w:i w:val="false"/>
                <w:color w:val="000000"/>
                <w:sz w:val="16"/>
              </w:rPr>
              <w:t>Under Stage 2, any OELs that were exceeded during the quarter, including the location and date and the calculated TTHM and HAA5 levels.</w:t>
            </w:r>
          </w:p>
        </w:tc>
      </w:tr>
      <w:tr>
        <w:trPr>
          <w:trHeight w:val="1290"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TTHMs and HAA5 under </w:t>
            </w:r>
            <w:hyperlink r:id="rId294">
              <w:r>
                <w:rPr>
                  <w:rStyle w:val="Hyperlink"/>
                  <w:rFonts w:ascii="Times New Roman" w:hAnsi="Times New Roman"/>
                  <w:b w:val="false"/>
                  <w:i w:val="false"/>
                  <w:color w:val="000000"/>
                  <w:sz w:val="16"/>
                </w:rPr>
                <w:t>567—subparagraph 41.6(1)</w:t>
              </w:r>
            </w:hyperlink>
            <w:r>
              <w:rPr>
                <w:rFonts w:ascii="Times New Roman" w:hAnsi="Times New Roman"/>
                <w:b w:val="false"/>
                <w:i/>
                <w:color w:val="000000"/>
                <w:sz w:val="16"/>
              </w:rPr>
              <w:t>“c”</w:t>
            </w:r>
            <w:r>
              <w:rPr>
                <w:rFonts w:ascii="Times New Roman" w:hAnsi="Times New Roman"/>
                <w:b w:val="false"/>
                <w:i w:val="false"/>
                <w:color w:val="000000"/>
                <w:sz w:val="16"/>
              </w:rPr>
              <w:t>(4) less frequently than quarterly, but at least annually</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Number of samples taken during the last year.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Location, date, and result of each sample taken during the last monitoring period.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 Arithmetic average of all samples taken over the last year.* </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Whether the MCL was exceeded.</w:t>
            </w:r>
          </w:p>
        </w:tc>
      </w:tr>
      <w:tr>
        <w:trPr>
          <w:trHeight w:val="40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TTHMs and HAA5 under </w:t>
            </w:r>
            <w:hyperlink r:id="rId295">
              <w:r>
                <w:rPr>
                  <w:rStyle w:val="Hyperlink"/>
                  <w:rFonts w:ascii="Times New Roman" w:hAnsi="Times New Roman"/>
                  <w:b w:val="false"/>
                  <w:i w:val="false"/>
                  <w:color w:val="000000"/>
                  <w:sz w:val="16"/>
                </w:rPr>
                <w:t>567—subparagraph 41.6(1)</w:t>
              </w:r>
            </w:hyperlink>
            <w:r>
              <w:rPr>
                <w:rFonts w:ascii="Times New Roman" w:hAnsi="Times New Roman"/>
                <w:b w:val="false"/>
                <w:i/>
                <w:color w:val="000000"/>
                <w:sz w:val="16"/>
              </w:rPr>
              <w:t>“c”</w:t>
            </w:r>
            <w:r>
              <w:rPr>
                <w:rFonts w:ascii="Times New Roman" w:hAnsi="Times New Roman"/>
                <w:b w:val="false"/>
                <w:i w:val="false"/>
                <w:color w:val="000000"/>
                <w:sz w:val="16"/>
              </w:rPr>
              <w:t>(4) less frequently than annually</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Location, date, and result of the last sample taken.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Whether the MCL was exceeded. </w:t>
            </w:r>
          </w:p>
        </w:tc>
      </w:tr>
      <w:tr>
        <w:trPr>
          <w:trHeight w:val="1650"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Chlorite under </w:t>
            </w:r>
            <w:hyperlink r:id="rId296">
              <w:r>
                <w:rPr>
                  <w:rStyle w:val="Hyperlink"/>
                  <w:rFonts w:ascii="Times New Roman" w:hAnsi="Times New Roman"/>
                  <w:b w:val="false"/>
                  <w:i w:val="false"/>
                  <w:color w:val="000000"/>
                  <w:sz w:val="16"/>
                </w:rPr>
                <w:t>567—subparagraph 41.6(1)</w:t>
              </w:r>
            </w:hyperlink>
            <w:r>
              <w:rPr>
                <w:rFonts w:ascii="Times New Roman" w:hAnsi="Times New Roman"/>
                <w:b w:val="false"/>
                <w:i/>
                <w:color w:val="000000"/>
                <w:sz w:val="16"/>
              </w:rPr>
              <w:t>“c”</w:t>
            </w:r>
            <w:r>
              <w:rPr>
                <w:rFonts w:ascii="Times New Roman" w:hAnsi="Times New Roman"/>
                <w:b w:val="false"/>
                <w:i w:val="false"/>
                <w:color w:val="000000"/>
                <w:sz w:val="16"/>
              </w:rPr>
              <w:t>(3)</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Number of samples taken each month for the last three months.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Location, date, and result of each sample taken during the last quarter.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For each month in the reporting period, arithmetic average of all samples taken in each three sample sets taken in the month. </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Whether the MCL was exceeded and in which month it was exceeded.</w:t>
            </w:r>
          </w:p>
        </w:tc>
      </w:tr>
      <w:tr>
        <w:trPr>
          <w:trHeight w:val="11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Bromate under </w:t>
            </w:r>
            <w:hyperlink r:id="rId297">
              <w:r>
                <w:rPr>
                  <w:rStyle w:val="Hyperlink"/>
                  <w:rFonts w:ascii="Times New Roman" w:hAnsi="Times New Roman"/>
                  <w:b w:val="false"/>
                  <w:i w:val="false"/>
                  <w:color w:val="000000"/>
                  <w:sz w:val="16"/>
                </w:rPr>
                <w:t>567—subparagraph 41.6(1)</w:t>
              </w:r>
            </w:hyperlink>
            <w:r>
              <w:rPr>
                <w:rFonts w:ascii="Times New Roman" w:hAnsi="Times New Roman"/>
                <w:b w:val="false"/>
                <w:i/>
                <w:color w:val="000000"/>
                <w:sz w:val="16"/>
              </w:rPr>
              <w:t>“c”</w:t>
            </w:r>
            <w:r>
              <w:rPr>
                <w:rFonts w:ascii="Times New Roman" w:hAnsi="Times New Roman"/>
                <w:b w:val="false"/>
                <w:i w:val="false"/>
                <w:color w:val="000000"/>
                <w:sz w:val="16"/>
              </w:rPr>
              <w:t>(2)</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Number of samples taken during the last quarter.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Location, date, and result of each sample taken during the last quarter.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Arithmetic average of the monthly arithmetic averages of all samples taken in the last year. </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Whether the MCL was exceeded.</w:t>
            </w:r>
          </w:p>
        </w:tc>
      </w:tr>
    </w:tbl>
    <w:p>
      <w:pPr>
        <w:spacing w:before="0" w:after="0"/>
        <w:ind w:left="120"/>
        <w:jc w:val="both"/>
      </w:pPr>
      <w:r>
        <w:rPr>
          <w:rFonts w:ascii="Times New Roman" w:hAnsi="Times New Roman"/>
          <w:b w:val="false"/>
          <w:i w:val="false"/>
          <w:color w:val="000000"/>
          <w:sz w:val="22"/>
        </w:rPr>
        <w:t xml:space="preserve"> *The calculation of the RAA will transition from a systemwide RAA calculation under Stage 1 to an LRAA under Stage 2. The transition will commence according to the system schedule listed in </w:t>
      </w:r>
      <w:hyperlink r:id="rId298">
        <w:r>
          <w:rPr>
            <w:rStyle w:val="Hyperlink"/>
            <w:rFonts w:ascii="Times New Roman" w:hAnsi="Times New Roman"/>
            <w:b w:val="false"/>
            <w:i w:val="false"/>
            <w:color w:val="000000"/>
            <w:sz w:val="22"/>
          </w:rPr>
          <w:t>567—paragraph 41.6(1)</w:t>
        </w:r>
      </w:hyperlink>
      <w:r>
        <w:rPr>
          <w:rFonts w:ascii="Times New Roman" w:hAnsi="Times New Roman"/>
          <w:b w:val="false"/>
          <w:i/>
          <w:color w:val="000000"/>
          <w:sz w:val="22"/>
        </w:rPr>
        <w:t>“b.”</w:t>
      </w:r>
      <w:r>
        <w:rPr>
          <w:rFonts w:ascii="Times New Roman" w:hAnsi="Times New Roman"/>
          <w:b w:val="false"/>
          <w:i w:val="false"/>
          <w:color w:val="000000"/>
          <w:sz w:val="22"/>
        </w:rPr>
        <w:t xml:space="preserve"> Beginning at the end of the fourth calendar quarter that follows the compliance date, and at the end of each subsequent quarter, the system must report the arithmetic average of quarterly results for the last four quarters of each monitoring location. If the calculated LRAA based on fewer than four quarters of data would cause the MCL to be exceeded regardless of the monitoring results of subsequent quarters, the system must report this information to the department no later than the due date of the next compliance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Disinfectants. The reporting in the following table is in addition to the requirements in </w:t>
      </w:r>
      <w:hyperlink r:id="rId299">
        <w:r>
          <w:rPr>
            <w:rStyle w:val="Hyperlink"/>
            <w:rFonts w:ascii="Times New Roman" w:hAnsi="Times New Roman"/>
            <w:b w:val="false"/>
            <w:i w:val="false"/>
            <w:color w:val="000000"/>
            <w:sz w:val="22"/>
          </w:rPr>
          <w:t>567—subparagraph 41.2(1)</w:t>
        </w:r>
      </w:hyperlink>
      <w:r>
        <w:rPr>
          <w:rFonts w:ascii="Times New Roman" w:hAnsi="Times New Roman"/>
          <w:b w:val="false"/>
          <w:i/>
          <w:color w:val="000000"/>
          <w:sz w:val="22"/>
        </w:rPr>
        <w:t>“c”</w:t>
      </w:r>
      <w:r>
        <w:rPr>
          <w:rFonts w:ascii="Times New Roman" w:hAnsi="Times New Roman"/>
          <w:b w:val="false"/>
          <w:i w:val="false"/>
          <w:color w:val="000000"/>
          <w:sz w:val="22"/>
        </w:rPr>
        <w:t>(7).</w:t>
      </w:r>
    </w:p>
    <w:p>
      <w:pPr>
        <w:spacing w:before="60" w:after="0"/>
        <w:ind w:left="120"/>
        <w:jc w:val="center"/>
      </w:pPr>
      <w:r>
        <w:rPr>
          <w:rFonts w:ascii="Times New Roman" w:hAnsi="Times New Roman"/>
          <w:b/>
          <w:i w:val="false"/>
          <w:color w:val="000000"/>
          <w:sz w:val="22"/>
        </w:rPr>
        <w:t>Disinfectants Reporting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If you are a system monitoring for ...</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You must report the following ...</w:t>
            </w:r>
          </w:p>
        </w:tc>
      </w:tr>
      <w:tr>
        <w:trPr>
          <w:trHeight w:val="1290"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Chlorine or chloramines under </w:t>
            </w:r>
            <w:hyperlink r:id="rId300">
              <w:r>
                <w:rPr>
                  <w:rStyle w:val="Hyperlink"/>
                  <w:rFonts w:ascii="Times New Roman" w:hAnsi="Times New Roman"/>
                  <w:b w:val="false"/>
                  <w:i w:val="false"/>
                  <w:color w:val="000000"/>
                  <w:sz w:val="16"/>
                </w:rPr>
                <w:t>567—paragraph 43.6(1)</w:t>
              </w:r>
            </w:hyperlink>
            <w:r>
              <w:rPr>
                <w:rFonts w:ascii="Times New Roman" w:hAnsi="Times New Roman"/>
                <w:b w:val="false"/>
                <w:i/>
                <w:color w:val="000000"/>
                <w:sz w:val="16"/>
              </w:rPr>
              <w:t>“c”</w:t>
            </w:r>
            <w:r>
              <w:rPr>
                <w:rFonts w:ascii="Times New Roman" w:hAnsi="Times New Roman"/>
                <w:b w:val="false"/>
                <w:i w:val="false"/>
                <w:color w:val="000000"/>
                <w:sz w:val="16"/>
              </w:rPr>
              <w:t>(2)</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Number of samples taken during each month of the last quarter.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Monthly arithmetic average of all samples taken in each month for the last 12 months.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Arithmetic average of all monthly averages for the last 12 months. </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Whether the MRDL was exceeded.</w:t>
            </w:r>
          </w:p>
        </w:tc>
      </w:tr>
      <w:tr>
        <w:trPr>
          <w:trHeight w:val="11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Chlorine dioxide under </w:t>
            </w:r>
            <w:hyperlink r:id="rId301">
              <w:r>
                <w:rPr>
                  <w:rStyle w:val="Hyperlink"/>
                  <w:rFonts w:ascii="Times New Roman" w:hAnsi="Times New Roman"/>
                  <w:b w:val="false"/>
                  <w:i w:val="false"/>
                  <w:color w:val="000000"/>
                  <w:sz w:val="16"/>
                </w:rPr>
                <w:t>567—paragraph 43.6(1)</w:t>
              </w:r>
              <w:r>
                <w:rPr>
                  <w:rFonts w:ascii="Times New Roman" w:hAnsi="Times New Roman"/>
                  <w:b w:val="false"/>
                  <w:i/>
                  <w:color w:val="000000"/>
                  <w:sz w:val="16"/>
                </w:rPr>
                <w:t>“c”</w:t>
              </w:r>
              <w:r>
                <w:rPr>
                  <w:rFonts w:ascii="Times New Roman" w:hAnsi="Times New Roman"/>
                  <w:b w:val="false"/>
                  <w:i w:val="false"/>
                  <w:color w:val="000000"/>
                  <w:sz w:val="16"/>
                </w:rPr>
                <w:t>(3)</w:t>
              </w:r>
            </w:hyperlink>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Dates, results, and locations of samples taken during the last quarter.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Whether the MRDL was exceeded.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Whether the MRDL was exceeded in any two consecutive daily samples and whether the resulting violation was acute or nonacute.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DBP precursors and enhanced coagulation or enhanced softening.</w:t>
      </w:r>
    </w:p>
    <w:p>
      <w:pPr>
        <w:spacing w:before="60" w:after="0"/>
        <w:ind w:left="120"/>
        <w:jc w:val="center"/>
      </w:pPr>
      <w:r>
        <w:rPr>
          <w:rFonts w:ascii="Times New Roman" w:hAnsi="Times New Roman"/>
          <w:b/>
          <w:i w:val="false"/>
          <w:color w:val="000000"/>
          <w:sz w:val="22"/>
        </w:rPr>
        <w:t>DBP Precursors and Enhanced Coagulation or Enhanced Softening Reporting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If you are a ...</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You must report the following ...</w:t>
            </w:r>
          </w:p>
        </w:tc>
      </w:tr>
      <w:tr>
        <w:trPr>
          <w:trHeight w:val="259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TOC monthly or quarterly under </w:t>
            </w:r>
            <w:hyperlink r:id="rId302">
              <w:r>
                <w:rPr>
                  <w:rStyle w:val="Hyperlink"/>
                  <w:rFonts w:ascii="Times New Roman" w:hAnsi="Times New Roman"/>
                  <w:b w:val="false"/>
                  <w:i w:val="false"/>
                  <w:color w:val="000000"/>
                  <w:sz w:val="16"/>
                </w:rPr>
                <w:t>567—subparagraph 43.6(2)</w:t>
              </w:r>
            </w:hyperlink>
            <w:r>
              <w:rPr>
                <w:rFonts w:ascii="Times New Roman" w:hAnsi="Times New Roman"/>
                <w:b w:val="false"/>
                <w:i/>
                <w:color w:val="000000"/>
                <w:sz w:val="16"/>
              </w:rPr>
              <w:t>“b”</w:t>
            </w:r>
            <w:r>
              <w:rPr>
                <w:rFonts w:ascii="Times New Roman" w:hAnsi="Times New Roman"/>
                <w:b w:val="false"/>
                <w:i w:val="false"/>
                <w:color w:val="000000"/>
                <w:sz w:val="16"/>
              </w:rPr>
              <w:t xml:space="preserve">(1) and required to meet the enhanced coagulation or enhanced softening requirements in </w:t>
            </w:r>
            <w:hyperlink r:id="rId303">
              <w:r>
                <w:rPr>
                  <w:rStyle w:val="Hyperlink"/>
                  <w:rFonts w:ascii="Times New Roman" w:hAnsi="Times New Roman"/>
                  <w:b w:val="false"/>
                  <w:i w:val="false"/>
                  <w:color w:val="000000"/>
                  <w:sz w:val="16"/>
                </w:rPr>
                <w:t>567—subparagraph 43.6(3)</w:t>
              </w:r>
            </w:hyperlink>
            <w:r>
              <w:rPr>
                <w:rFonts w:ascii="Times New Roman" w:hAnsi="Times New Roman"/>
                <w:b w:val="false"/>
                <w:i/>
                <w:color w:val="000000"/>
                <w:sz w:val="16"/>
              </w:rPr>
              <w:t>“b”</w:t>
            </w:r>
            <w:r>
              <w:rPr>
                <w:rFonts w:ascii="Times New Roman" w:hAnsi="Times New Roman"/>
                <w:b w:val="false"/>
                <w:i w:val="false"/>
                <w:color w:val="000000"/>
                <w:sz w:val="16"/>
              </w:rPr>
              <w:t xml:space="preserve">(2) or </w:t>
            </w:r>
            <w:hyperlink r:id="rId304">
              <w:r>
                <w:rPr>
                  <w:rStyle w:val="Hyperlink"/>
                  <w:rFonts w:ascii="Times New Roman" w:hAnsi="Times New Roman"/>
                  <w:b w:val="false"/>
                  <w:i w:val="false"/>
                  <w:color w:val="000000"/>
                  <w:sz w:val="16"/>
                </w:rPr>
                <w:t>43.6(3)</w:t>
              </w:r>
            </w:hyperlink>
            <w:r>
              <w:rPr>
                <w:rFonts w:ascii="Times New Roman" w:hAnsi="Times New Roman"/>
                <w:b w:val="false"/>
                <w:i/>
                <w:color w:val="000000"/>
                <w:sz w:val="16"/>
              </w:rPr>
              <w:t>“b”</w:t>
            </w:r>
            <w:r>
              <w:rPr>
                <w:rFonts w:ascii="Times New Roman" w:hAnsi="Times New Roman"/>
                <w:b w:val="false"/>
                <w:i w:val="false"/>
                <w:color w:val="000000"/>
                <w:sz w:val="16"/>
              </w:rPr>
              <w:t>(3)</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Number of paired (source water and treated water, prior to continuous disinfection) samples taken during the last quarter.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Location, date, and result of each paired sample and associated alkalinity taken during the last quarter.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For each month in the reporting period that paired samples were taken, arithmetic average of the percent reduction of TOC for each paired sample and the required TOC percent removal. </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 xml:space="preserve">Calculations for determining compliance with TOC percent removal requirements in </w:t>
            </w:r>
            <w:hyperlink r:id="rId305">
              <w:r>
                <w:rPr>
                  <w:rStyle w:val="Hyperlink"/>
                  <w:rFonts w:ascii="Times New Roman" w:hAnsi="Times New Roman"/>
                  <w:b w:val="false"/>
                  <w:i w:val="false"/>
                  <w:color w:val="000000"/>
                  <w:sz w:val="16"/>
                </w:rPr>
                <w:t>567—subparagraph 43.6(3)</w:t>
              </w:r>
            </w:hyperlink>
            <w:r>
              <w:rPr>
                <w:rFonts w:ascii="Times New Roman" w:hAnsi="Times New Roman"/>
                <w:b w:val="false"/>
                <w:i/>
                <w:color w:val="000000"/>
                <w:sz w:val="16"/>
              </w:rPr>
              <w:t>“c”</w:t>
            </w:r>
            <w:r>
              <w:rPr>
                <w:rFonts w:ascii="Times New Roman" w:hAnsi="Times New Roman"/>
                <w:b w:val="false"/>
                <w:i w:val="false"/>
                <w:color w:val="000000"/>
                <w:sz w:val="16"/>
              </w:rPr>
              <w:t xml:space="preserve">(1). </w:t>
            </w:r>
          </w:p>
          <w:p>
            <w:pPr>
              <w:spacing w:before="0" w:after="0"/>
              <w:ind w:left="160"/>
              <w:jc w:val="left"/>
            </w:pPr>
            <w:r>
              <w:rPr>
                <w:rFonts w:ascii="Times New Roman" w:hAnsi="Times New Roman"/>
                <w:b w:val="false"/>
                <w:i w:val="false"/>
                <w:color w:val="000000"/>
                <w:sz w:val="16"/>
              </w:rPr>
              <w:t>     5.   </w:t>
            </w:r>
            <w:r>
              <w:rPr>
                <w:rFonts w:ascii="Times New Roman" w:hAnsi="Times New Roman"/>
                <w:b w:val="false"/>
                <w:i w:val="false"/>
                <w:color w:val="000000"/>
                <w:sz w:val="16"/>
              </w:rPr>
              <w:t xml:space="preserve">Whether the system is in compliance with enhanced coagulation or enhanced softening percent removal requirements in </w:t>
            </w:r>
            <w:hyperlink r:id="rId306">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“b”</w:t>
            </w:r>
            <w:r>
              <w:rPr>
                <w:rFonts w:ascii="Times New Roman" w:hAnsi="Times New Roman"/>
                <w:b w:val="false"/>
                <w:i w:val="false"/>
                <w:color w:val="000000"/>
                <w:sz w:val="16"/>
              </w:rPr>
              <w:t xml:space="preserve"> for the last four quarters.</w:t>
            </w:r>
          </w:p>
        </w:tc>
      </w:tr>
      <w:tr>
        <w:trPr>
          <w:trHeight w:val="4860"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TOC monthly or quarterly under </w:t>
            </w:r>
            <w:hyperlink r:id="rId307">
              <w:r>
                <w:rPr>
                  <w:rStyle w:val="Hyperlink"/>
                  <w:rFonts w:ascii="Times New Roman" w:hAnsi="Times New Roman"/>
                  <w:b w:val="false"/>
                  <w:i w:val="false"/>
                  <w:color w:val="000000"/>
                  <w:sz w:val="16"/>
                </w:rPr>
                <w:t>567—subparagraph 43.6(2)</w:t>
              </w:r>
            </w:hyperlink>
            <w:r>
              <w:rPr>
                <w:rFonts w:ascii="Times New Roman" w:hAnsi="Times New Roman"/>
                <w:b w:val="false"/>
                <w:i/>
                <w:color w:val="000000"/>
                <w:sz w:val="16"/>
              </w:rPr>
              <w:t>“b”</w:t>
            </w:r>
            <w:r>
              <w:rPr>
                <w:rFonts w:ascii="Times New Roman" w:hAnsi="Times New Roman"/>
                <w:b w:val="false"/>
                <w:i w:val="false"/>
                <w:color w:val="000000"/>
                <w:sz w:val="16"/>
              </w:rPr>
              <w:t xml:space="preserve">(1) and meeting one or more of the alternative compliance criteria in </w:t>
            </w:r>
            <w:hyperlink r:id="rId308">
              <w:r>
                <w:rPr>
                  <w:rStyle w:val="Hyperlink"/>
                  <w:rFonts w:ascii="Times New Roman" w:hAnsi="Times New Roman"/>
                  <w:b w:val="false"/>
                  <w:i w:val="false"/>
                  <w:color w:val="000000"/>
                  <w:sz w:val="16"/>
                </w:rPr>
                <w:t>567—subparagraph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(2) or </w:t>
            </w:r>
            <w:hyperlink r:id="rId309">
              <w:r>
                <w:rPr>
                  <w:rStyle w:val="Hyperlink"/>
                  <w:rFonts w:ascii="Times New Roman" w:hAnsi="Times New Roman"/>
                  <w:b w:val="false"/>
                  <w:i w:val="false"/>
                  <w:color w:val="000000"/>
                  <w:sz w:val="16"/>
                </w:rPr>
                <w:t>43.6(3)</w:t>
              </w:r>
            </w:hyperlink>
            <w:r>
              <w:rPr>
                <w:rFonts w:ascii="Times New Roman" w:hAnsi="Times New Roman"/>
                <w:b w:val="false"/>
                <w:i/>
                <w:color w:val="000000"/>
                <w:sz w:val="16"/>
              </w:rPr>
              <w:t>“a”</w:t>
            </w:r>
            <w:r>
              <w:rPr>
                <w:rFonts w:ascii="Times New Roman" w:hAnsi="Times New Roman"/>
                <w:b w:val="false"/>
                <w:i w:val="false"/>
                <w:color w:val="000000"/>
                <w:sz w:val="16"/>
              </w:rPr>
              <w:t>(3)</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Alternative compliance criterion that the system is using.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Number of paired samples taken during the last quarter.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Location, date, and result of each paired sample and associated alkalinity taken during the last quarter. </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 xml:space="preserve">RAA based on monthly averages (or quarterly samples) of source water TOC for systems meeting a criterion in </w:t>
            </w:r>
            <w:hyperlink r:id="rId310">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(2)“1” or “3” or of treated water TOC for systems meeting the criterion in </w:t>
            </w:r>
            <w:hyperlink r:id="rId311">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(2)“2.” </w:t>
            </w:r>
          </w:p>
          <w:p>
            <w:pPr>
              <w:spacing w:before="0" w:after="0"/>
              <w:ind w:left="160"/>
              <w:jc w:val="left"/>
            </w:pPr>
            <w:r>
              <w:rPr>
                <w:rFonts w:ascii="Times New Roman" w:hAnsi="Times New Roman"/>
                <w:b w:val="false"/>
                <w:i w:val="false"/>
                <w:color w:val="000000"/>
                <w:sz w:val="16"/>
              </w:rPr>
              <w:t>     5.   </w:t>
            </w:r>
            <w:r>
              <w:rPr>
                <w:rFonts w:ascii="Times New Roman" w:hAnsi="Times New Roman"/>
                <w:b w:val="false"/>
                <w:i w:val="false"/>
                <w:color w:val="000000"/>
                <w:sz w:val="16"/>
              </w:rPr>
              <w:t xml:space="preserve">RAA based on monthly averages (or quarterly samples) of source water SUVA for systems meeting the criterion in </w:t>
            </w:r>
            <w:hyperlink r:id="rId312">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(2)“5” or of treated water SUVA for systems meeting the criterion in </w:t>
            </w:r>
            <w:hyperlink r:id="rId313">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(2)“6.” </w:t>
            </w:r>
          </w:p>
          <w:p>
            <w:pPr>
              <w:spacing w:before="0" w:after="0"/>
              <w:ind w:left="160"/>
              <w:jc w:val="left"/>
            </w:pPr>
            <w:r>
              <w:rPr>
                <w:rFonts w:ascii="Times New Roman" w:hAnsi="Times New Roman"/>
                <w:b w:val="false"/>
                <w:i w:val="false"/>
                <w:color w:val="000000"/>
                <w:sz w:val="16"/>
              </w:rPr>
              <w:t>     6.   </w:t>
            </w:r>
            <w:r>
              <w:rPr>
                <w:rFonts w:ascii="Times New Roman" w:hAnsi="Times New Roman"/>
                <w:b w:val="false"/>
                <w:i w:val="false"/>
                <w:color w:val="000000"/>
                <w:sz w:val="16"/>
              </w:rPr>
              <w:t xml:space="preserve">RAA of source water alkalinity for systems meeting the criterion in </w:t>
            </w:r>
            <w:hyperlink r:id="rId314">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(2)“3” and of treated water alkalinity for systems meeting the criterion in </w:t>
            </w:r>
            <w:hyperlink r:id="rId315">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(3)“1.” </w:t>
            </w:r>
          </w:p>
          <w:p>
            <w:pPr>
              <w:spacing w:before="0" w:after="0"/>
              <w:ind w:left="160"/>
              <w:jc w:val="left"/>
            </w:pPr>
            <w:r>
              <w:rPr>
                <w:rFonts w:ascii="Times New Roman" w:hAnsi="Times New Roman"/>
                <w:b w:val="false"/>
                <w:i w:val="false"/>
                <w:color w:val="000000"/>
                <w:sz w:val="16"/>
              </w:rPr>
              <w:t>     7.   </w:t>
            </w:r>
            <w:r>
              <w:rPr>
                <w:rFonts w:ascii="Times New Roman" w:hAnsi="Times New Roman"/>
                <w:b w:val="false"/>
                <w:i w:val="false"/>
                <w:color w:val="000000"/>
                <w:sz w:val="16"/>
              </w:rPr>
              <w:t xml:space="preserve">RAA for both TTHM and HAA5 for systems meeting the criterion in </w:t>
            </w:r>
            <w:hyperlink r:id="rId316">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(2)“3” or “4.” </w:t>
            </w:r>
          </w:p>
          <w:p>
            <w:pPr>
              <w:spacing w:before="0" w:after="0"/>
              <w:ind w:left="160"/>
              <w:jc w:val="left"/>
            </w:pPr>
            <w:r>
              <w:rPr>
                <w:rFonts w:ascii="Times New Roman" w:hAnsi="Times New Roman"/>
                <w:b w:val="false"/>
                <w:i w:val="false"/>
                <w:color w:val="000000"/>
                <w:sz w:val="16"/>
              </w:rPr>
              <w:t>     8.   </w:t>
            </w:r>
            <w:r>
              <w:rPr>
                <w:rFonts w:ascii="Times New Roman" w:hAnsi="Times New Roman"/>
                <w:b w:val="false"/>
                <w:i w:val="false"/>
                <w:color w:val="000000"/>
                <w:sz w:val="16"/>
              </w:rPr>
              <w:t xml:space="preserve">RAA for the amount of magnesium hardness removal (as CaCO3, in mg/L) for systems meeting the criterion in </w:t>
            </w:r>
            <w:hyperlink r:id="rId317">
              <w:r>
                <w:rPr>
                  <w:rStyle w:val="Hyperlink"/>
                  <w:rFonts w:ascii="Times New Roman" w:hAnsi="Times New Roman"/>
                  <w:b w:val="false"/>
                  <w:i w:val="false"/>
                  <w:color w:val="000000"/>
                  <w:sz w:val="16"/>
                </w:rPr>
                <w:t>567—paragraph 43.6(3)</w:t>
              </w:r>
            </w:hyperlink>
            <w:r>
              <w:rPr>
                <w:rFonts w:ascii="Times New Roman" w:hAnsi="Times New Roman"/>
                <w:b w:val="false"/>
                <w:i/>
                <w:color w:val="000000"/>
                <w:sz w:val="16"/>
              </w:rPr>
              <w:t>“a”</w:t>
            </w:r>
            <w:r>
              <w:rPr>
                <w:rFonts w:ascii="Times New Roman" w:hAnsi="Times New Roman"/>
                <w:b w:val="false"/>
                <w:i w:val="false"/>
                <w:color w:val="000000"/>
                <w:sz w:val="16"/>
              </w:rPr>
              <w:t xml:space="preserve">(3)“2.” </w:t>
            </w:r>
          </w:p>
          <w:p>
            <w:pPr>
              <w:spacing w:before="0" w:after="0"/>
              <w:ind w:left="160"/>
              <w:jc w:val="left"/>
            </w:pPr>
            <w:r>
              <w:rPr>
                <w:rFonts w:ascii="Times New Roman" w:hAnsi="Times New Roman"/>
                <w:b w:val="false"/>
                <w:i w:val="false"/>
                <w:color w:val="000000"/>
                <w:sz w:val="16"/>
              </w:rPr>
              <w:t>     9.   </w:t>
            </w:r>
            <w:r>
              <w:rPr>
                <w:rFonts w:ascii="Times New Roman" w:hAnsi="Times New Roman"/>
                <w:b w:val="false"/>
                <w:i w:val="false"/>
                <w:color w:val="000000"/>
                <w:sz w:val="16"/>
              </w:rPr>
              <w:t xml:space="preserve">Whether the system is in compliance with the particular alternative compliance criterion in </w:t>
            </w:r>
            <w:r>
              <w:br/>
            </w:r>
            <w:hyperlink r:id="rId318">
              <w:r>
                <w:rPr>
                  <w:rStyle w:val="Hyperlink"/>
                  <w:rFonts w:ascii="Times New Roman" w:hAnsi="Times New Roman"/>
                  <w:b w:val="false"/>
                  <w:i w:val="false"/>
                  <w:color w:val="000000"/>
                  <w:sz w:val="16"/>
                </w:rPr>
                <w:t>567—subparagraph 43.6(3)</w:t>
              </w:r>
              <w:r>
                <w:rPr>
                  <w:rFonts w:ascii="Times New Roman" w:hAnsi="Times New Roman"/>
                  <w:b w:val="false"/>
                  <w:i/>
                  <w:color w:val="000000"/>
                  <w:sz w:val="16"/>
                </w:rPr>
                <w:t>“a”</w:t>
              </w:r>
              <w:r>
                <w:rPr>
                  <w:rFonts w:ascii="Times New Roman" w:hAnsi="Times New Roman"/>
                  <w:b w:val="false"/>
                  <w:i w:val="false"/>
                  <w:color w:val="000000"/>
                  <w:sz w:val="16"/>
                </w:rPr>
                <w:t>(2)</w:t>
              </w:r>
            </w:hyperlink>
            <w:r>
              <w:rPr>
                <w:rFonts w:ascii="Times New Roman" w:hAnsi="Times New Roman"/>
                <w:b w:val="false"/>
                <w:i w:val="false"/>
                <w:color w:val="000000"/>
                <w:sz w:val="16"/>
              </w:rPr>
              <w:t xml:space="preserve"> or </w:t>
            </w:r>
            <w:r>
              <w:br/>
            </w:r>
            <w:r>
              <w:rPr>
                <w:rFonts w:ascii="Times New Roman" w:hAnsi="Times New Roman"/>
                <w:b w:val="false"/>
                <w:i w:val="false"/>
                <w:color w:val="000000"/>
                <w:sz w:val="16"/>
              </w:rPr>
              <w:t>43.6(3)</w:t>
            </w:r>
            <w:r>
              <w:rPr>
                <w:rFonts w:ascii="Times New Roman" w:hAnsi="Times New Roman"/>
                <w:b w:val="false"/>
                <w:i/>
                <w:color w:val="000000"/>
                <w:sz w:val="16"/>
              </w:rPr>
              <w:t>“a”</w:t>
            </w:r>
            <w:r>
              <w:rPr>
                <w:rFonts w:ascii="Times New Roman" w:hAnsi="Times New Roman"/>
                <w:b w:val="false"/>
                <w:i w:val="false"/>
                <w:color w:val="000000"/>
                <w:sz w:val="16"/>
              </w:rPr>
              <w:t>(3).</w:t>
            </w:r>
          </w:p>
        </w:tc>
      </w:tr>
      <w:tr>
        <w:trPr>
          <w:trHeight w:val="1830"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SW/IGW system on reduced monitoring for TTHM/HAA5 under </w:t>
            </w:r>
            <w:hyperlink r:id="rId319">
              <w:r>
                <w:rPr>
                  <w:rStyle w:val="Hyperlink"/>
                  <w:rFonts w:ascii="Times New Roman" w:hAnsi="Times New Roman"/>
                  <w:b w:val="false"/>
                  <w:i w:val="false"/>
                  <w:color w:val="000000"/>
                  <w:sz w:val="16"/>
                </w:rPr>
                <w:t>567—paragraph 41.6(3)</w:t>
              </w:r>
            </w:hyperlink>
            <w:r>
              <w:rPr>
                <w:rFonts w:ascii="Times New Roman" w:hAnsi="Times New Roman"/>
                <w:b w:val="false"/>
                <w:i/>
                <w:color w:val="000000"/>
                <w:sz w:val="16"/>
              </w:rPr>
              <w:t>“d”</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For each treatment plant that treats surface or IGW source water, report the following: </w:t>
            </w:r>
          </w:p>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Number of source water TOC samples taken each month during the last quarter. </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 xml:space="preserve">Date and result of each sample taken during the last quarter. </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Quarterly average of monthly samples taken during the last quarter or the quarterly sample result. </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 xml:space="preserve">RAA of quarterly averages from the past four quarters. </w:t>
            </w:r>
          </w:p>
          <w:p>
            <w:pPr>
              <w:spacing w:before="0" w:after="0"/>
              <w:ind w:left="160"/>
              <w:jc w:val="left"/>
            </w:pPr>
            <w:r>
              <w:rPr>
                <w:rFonts w:ascii="Times New Roman" w:hAnsi="Times New Roman"/>
                <w:b w:val="false"/>
                <w:i w:val="false"/>
                <w:color w:val="000000"/>
                <w:sz w:val="16"/>
              </w:rPr>
              <w:t>     5.   </w:t>
            </w:r>
            <w:r>
              <w:rPr>
                <w:rFonts w:ascii="Times New Roman" w:hAnsi="Times New Roman"/>
                <w:b w:val="false"/>
                <w:i w:val="false"/>
                <w:color w:val="000000"/>
                <w:sz w:val="16"/>
              </w:rPr>
              <w:t>Whether the TOC RAA exceeded 4.0 mg/L.</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567—40.9</w:t>
      </w:r>
      <w:r>
        <w:rPr>
          <w:rFonts w:ascii="Times New Roman" w:hAnsi="Times New Roman"/>
          <w:b/>
          <w:i w:val="false"/>
          <w:color w:val="000000"/>
          <w:sz w:val="22"/>
        </w:rPr>
        <w:t xml:space="preserve">(455B) </w:t>
      </w:r>
      <w:r>
        <w:rPr>
          <w:rFonts w:ascii="Times New Roman" w:hAnsi="Times New Roman"/>
          <w:b/>
          <w:i w:val="false"/>
          <w:color w:val="000000"/>
          <w:sz w:val="22"/>
        </w:rPr>
        <w:t xml:space="preserve">Record maintenance. </w:t>
      </w:r>
      <w:r>
        <w:rPr>
          <w:rFonts w:ascii="Times New Roman" w:hAnsi="Times New Roman"/>
          <w:b w:val="false"/>
          <w:i w:val="false"/>
          <w:color w:val="000000"/>
          <w:sz w:val="22"/>
        </w:rPr>
        <w:t xml:space="preserve">Any PWS owner or operator shall retain the applicable records specified in this rule on its premises or at a convenient location near its premises.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40.9(1)</w:t>
      </w:r>
      <w:r>
        <w:rPr>
          <w:rFonts w:ascii="Times New Roman" w:hAnsi="Times New Roman"/>
          <w:b w:val="false"/>
          <w:i w:val="false"/>
          <w:color w:val="000000"/>
          <w:sz w:val="22"/>
        </w:rPr>
        <w:t> </w:t>
      </w:r>
      <w:r>
        <w:rPr>
          <w:rFonts w:ascii="Times New Roman" w:hAnsi="Times New Roman"/>
          <w:b w:val="false"/>
          <w:i/>
          <w:color w:val="000000"/>
          <w:sz w:val="22"/>
        </w:rPr>
        <w:t xml:space="preserve">Analytical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Basic information. </w:t>
      </w:r>
      <w:r>
        <w:rPr>
          <w:rFonts w:ascii="Times New Roman" w:hAnsi="Times New Roman"/>
          <w:b w:val="false"/>
          <w:i w:val="false"/>
          <w:color w:val="000000"/>
          <w:sz w:val="22"/>
        </w:rPr>
        <w:t>Actual laboratory reports shall be kept, or data may be transferred to tabular summaries, provided that the following information is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Sampling date, place, and time and the name of the person who collected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Sample identification, indicating whether it was a routine distribution system sample, check sample, raw or process water sample, or other special purpose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Analysis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Laboratory and person responsible for performing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Analytical technique or method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Analysis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for specific analytes.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Microbiological and turbidity. Records of microbiological and turbidity analyses made pursuant to 567—Chapters </w:t>
      </w:r>
      <w:hyperlink r:id="rId320">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32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shall be kept for not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Radionuclides, inorganic compounds, and organic compounds. Records of chemical analyses made pursuant to </w:t>
      </w:r>
      <w:hyperlink r:id="rId322">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xml:space="preserve"> shall be kept for not less than ten years. Additional lead and copper requirements are listed in </w:t>
      </w:r>
      <w:hyperlink r:id="rId323">
        <w:r>
          <w:rPr>
            <w:rStyle w:val="Hyperlink"/>
            <w:rFonts w:ascii="Times New Roman" w:hAnsi="Times New Roman"/>
            <w:b w:val="false"/>
            <w:i w:val="false"/>
            <w:color w:val="000000"/>
            <w:sz w:val="22"/>
          </w:rPr>
          <w:t>40.9(2)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w:t>
      </w:r>
      <w:r>
        <w:rPr>
          <w:rFonts w:ascii="Times New Roman" w:hAnsi="Times New Roman"/>
          <w:b w:val="false"/>
          <w:i w:val="false"/>
          <w:color w:val="000000"/>
          <w:sz w:val="22"/>
        </w:rPr>
        <w:t> </w:t>
      </w:r>
      <w:r>
        <w:rPr>
          <w:rFonts w:ascii="Times New Roman" w:hAnsi="Times New Roman"/>
          <w:b w:val="false"/>
          <w:i/>
          <w:color w:val="000000"/>
          <w:sz w:val="22"/>
        </w:rPr>
        <w:t xml:space="preserve">Lead and copper. </w:t>
      </w:r>
      <w:r>
        <w:rPr>
          <w:rFonts w:ascii="Times New Roman" w:hAnsi="Times New Roman"/>
          <w:b w:val="false"/>
          <w:i w:val="false"/>
          <w:color w:val="000000"/>
          <w:sz w:val="22"/>
        </w:rPr>
        <w:t xml:space="preserve">A system subject to </w:t>
      </w:r>
      <w:hyperlink r:id="rId324">
        <w:r>
          <w:rPr>
            <w:rStyle w:val="Hyperlink"/>
            <w:rFonts w:ascii="Times New Roman" w:hAnsi="Times New Roman"/>
            <w:b w:val="false"/>
            <w:i w:val="false"/>
            <w:color w:val="000000"/>
            <w:sz w:val="22"/>
          </w:rPr>
          <w:t>40.8(2)</w:t>
        </w:r>
      </w:hyperlink>
      <w:r>
        <w:rPr>
          <w:rFonts w:ascii="Times New Roman" w:hAnsi="Times New Roman"/>
          <w:b w:val="false"/>
          <w:i w:val="false"/>
          <w:color w:val="000000"/>
          <w:sz w:val="22"/>
        </w:rPr>
        <w:t xml:space="preserve"> shall retain original records of all data and analyses, reports, surveys, PE, letters, evaluations, and schedules and any other information required by </w:t>
      </w:r>
      <w:hyperlink r:id="rId325">
        <w:r>
          <w:rPr>
            <w:rStyle w:val="Hyperlink"/>
            <w:rFonts w:ascii="Times New Roman" w:hAnsi="Times New Roman"/>
            <w:b w:val="false"/>
            <w:i w:val="false"/>
            <w:color w:val="000000"/>
            <w:sz w:val="22"/>
          </w:rPr>
          <w:t>567—41.4</w:t>
        </w:r>
      </w:hyperlink>
      <w:r>
        <w:rPr>
          <w:rFonts w:ascii="Times New Roman" w:hAnsi="Times New Roman"/>
          <w:b w:val="false"/>
          <w:i w:val="false"/>
          <w:color w:val="000000"/>
          <w:sz w:val="22"/>
        </w:rPr>
        <w:t xml:space="preserve">(455B) and </w:t>
      </w:r>
      <w:hyperlink r:id="rId326">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These records shall be kept for not less than 12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40.9(3)</w:t>
      </w:r>
      <w:r>
        <w:rPr>
          <w:rFonts w:ascii="Times New Roman" w:hAnsi="Times New Roman"/>
          <w:b w:val="false"/>
          <w:i w:val="false"/>
          <w:color w:val="000000"/>
          <w:sz w:val="22"/>
        </w:rPr>
        <w:t> </w:t>
      </w:r>
      <w:r>
        <w:rPr>
          <w:rFonts w:ascii="Times New Roman" w:hAnsi="Times New Roman"/>
          <w:b w:val="false"/>
          <w:i/>
          <w:color w:val="000000"/>
          <w:sz w:val="22"/>
        </w:rPr>
        <w:t xml:space="preserve">Records of action. </w:t>
      </w:r>
      <w:r>
        <w:rPr>
          <w:rFonts w:ascii="Times New Roman" w:hAnsi="Times New Roman"/>
          <w:b w:val="false"/>
          <w:i w:val="false"/>
          <w:color w:val="000000"/>
          <w:sz w:val="22"/>
        </w:rPr>
        <w:t>Records of action taken by a system to correct violations of primary drinking water regulations (including administrative orders) shall be kept for not less than five years after the last action taken with respect to the particular violation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40.9(4)</w:t>
      </w:r>
      <w:r>
        <w:rPr>
          <w:rFonts w:ascii="Times New Roman" w:hAnsi="Times New Roman"/>
          <w:b w:val="false"/>
          <w:i w:val="false"/>
          <w:color w:val="000000"/>
          <w:sz w:val="22"/>
        </w:rPr>
        <w:t> </w:t>
      </w:r>
      <w:r>
        <w:rPr>
          <w:rFonts w:ascii="Times New Roman" w:hAnsi="Times New Roman"/>
          <w:b w:val="false"/>
          <w:i/>
          <w:color w:val="000000"/>
          <w:sz w:val="22"/>
        </w:rPr>
        <w:t xml:space="preserve">Sanitary surveys. </w:t>
      </w:r>
      <w:r>
        <w:rPr>
          <w:rFonts w:ascii="Times New Roman" w:hAnsi="Times New Roman"/>
          <w:b w:val="false"/>
          <w:i w:val="false"/>
          <w:color w:val="000000"/>
          <w:sz w:val="22"/>
        </w:rPr>
        <w:t>Copies of any written reports, summaries, or communications relating to any sanitary surveys of a system shall be kept for not less than ten years after survey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40.9(5)</w:t>
      </w:r>
      <w:r>
        <w:rPr>
          <w:rFonts w:ascii="Times New Roman" w:hAnsi="Times New Roman"/>
          <w:b w:val="false"/>
          <w:i w:val="false"/>
          <w:color w:val="000000"/>
          <w:sz w:val="22"/>
        </w:rPr>
        <w:t> </w:t>
      </w:r>
      <w:r>
        <w:rPr>
          <w:rFonts w:ascii="Times New Roman" w:hAnsi="Times New Roman"/>
          <w:b w:val="false"/>
          <w:i/>
          <w:color w:val="000000"/>
          <w:sz w:val="22"/>
        </w:rPr>
        <w:t xml:space="preserve">Operation or construction permits. </w:t>
      </w:r>
      <w:r>
        <w:rPr>
          <w:rFonts w:ascii="Times New Roman" w:hAnsi="Times New Roman"/>
          <w:b w:val="false"/>
          <w:i w:val="false"/>
          <w:color w:val="000000"/>
          <w:sz w:val="22"/>
        </w:rPr>
        <w:t xml:space="preserve">Records concerning an operation or a construction permit issued pursuant to </w:t>
      </w:r>
      <w:hyperlink r:id="rId327">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shall be kept for a period ending not less than ten years after a system achieves compliance with an MCL, TT, AL, or HA or after a system completes the associated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w:t>
      </w:r>
      <w:r>
        <w:rPr>
          <w:rFonts w:ascii="Times New Roman" w:hAnsi="Times New Roman"/>
          <w:b w:val="false"/>
          <w:i w:val="false"/>
          <w:color w:val="000000"/>
          <w:sz w:val="22"/>
        </w:rPr>
        <w:t> </w:t>
      </w:r>
      <w:r>
        <w:rPr>
          <w:rFonts w:ascii="Times New Roman" w:hAnsi="Times New Roman"/>
          <w:b w:val="false"/>
          <w:i/>
          <w:color w:val="000000"/>
          <w:sz w:val="22"/>
        </w:rPr>
        <w:t xml:space="preserve">PN. </w:t>
      </w:r>
      <w:r>
        <w:rPr>
          <w:rFonts w:ascii="Times New Roman" w:hAnsi="Times New Roman"/>
          <w:b w:val="false"/>
          <w:i w:val="false"/>
          <w:color w:val="000000"/>
          <w:sz w:val="22"/>
        </w:rPr>
        <w:t>Records of PNs, including the CCR, PN examples, and PN certifications, shall be kept for not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40.9(7)</w:t>
      </w:r>
      <w:r>
        <w:rPr>
          <w:rFonts w:ascii="Times New Roman" w:hAnsi="Times New Roman"/>
          <w:b w:val="false"/>
          <w:i w:val="false"/>
          <w:color w:val="000000"/>
          <w:sz w:val="22"/>
        </w:rPr>
        <w:t> </w:t>
      </w:r>
      <w:r>
        <w:rPr>
          <w:rFonts w:ascii="Times New Roman" w:hAnsi="Times New Roman"/>
          <w:b w:val="false"/>
          <w:i/>
          <w:color w:val="000000"/>
          <w:sz w:val="22"/>
        </w:rPr>
        <w:t xml:space="preserve">Self-monitoring. </w:t>
      </w:r>
      <w:r>
        <w:rPr>
          <w:rFonts w:ascii="Times New Roman" w:hAnsi="Times New Roman"/>
          <w:b w:val="false"/>
          <w:i w:val="false"/>
          <w:color w:val="000000"/>
          <w:sz w:val="22"/>
        </w:rPr>
        <w:t xml:space="preserve">MORs must be completed as described in </w:t>
      </w:r>
      <w:hyperlink r:id="rId328">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(4). MORs and all data generated at the facility to comply with the self-monitoring requirements must be maintained at the facility for department inspection for not less than five years. The data shall be in a form that allows easy retrieval and interpretation. Examples of data that must be retained include but are not limited to recorder charts, logbooks, bench sheets, SCADA records, and electronic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40.9(8)</w:t>
      </w:r>
      <w:r>
        <w:rPr>
          <w:rFonts w:ascii="Times New Roman" w:hAnsi="Times New Roman"/>
          <w:b w:val="false"/>
          <w:i w:val="false"/>
          <w:color w:val="000000"/>
          <w:sz w:val="22"/>
        </w:rPr>
        <w:t> </w:t>
      </w:r>
      <w:r>
        <w:rPr>
          <w:rFonts w:ascii="Times New Roman" w:hAnsi="Times New Roman"/>
          <w:b w:val="false"/>
          <w:i/>
          <w:color w:val="000000"/>
          <w:sz w:val="22"/>
        </w:rPr>
        <w:t xml:space="preserve">Monitoring plans. </w:t>
      </w:r>
      <w:r>
        <w:rPr>
          <w:rFonts w:ascii="Times New Roman" w:hAnsi="Times New Roman"/>
          <w:b w:val="false"/>
          <w:i w:val="false"/>
          <w:color w:val="000000"/>
          <w:sz w:val="22"/>
        </w:rPr>
        <w:t xml:space="preserve">Copies of monitoring plans developed pursuant to this chapter and 567—Chapters </w:t>
      </w:r>
      <w:hyperlink r:id="rId329">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33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shall be kept for the same period of time as the records of analyses taken under the plans are required to be kept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w:t>
      </w:r>
      <w:r>
        <w:rPr>
          <w:rFonts w:ascii="Times New Roman" w:hAnsi="Times New Roman"/>
          <w:b w:val="false"/>
          <w:i w:val="false"/>
          <w:color w:val="000000"/>
          <w:sz w:val="22"/>
        </w:rPr>
        <w:t> </w:t>
      </w:r>
      <w:r>
        <w:rPr>
          <w:rFonts w:ascii="Times New Roman" w:hAnsi="Times New Roman"/>
          <w:b w:val="false"/>
          <w:i/>
          <w:color w:val="000000"/>
          <w:sz w:val="22"/>
        </w:rPr>
        <w:t xml:space="preserve">GW rule. </w:t>
      </w:r>
      <w:r>
        <w:rPr>
          <w:rFonts w:ascii="Times New Roman" w:hAnsi="Times New Roman"/>
          <w:b w:val="false"/>
          <w:i w:val="false"/>
          <w:color w:val="000000"/>
          <w:sz w:val="22"/>
        </w:rPr>
        <w:t xml:space="preserve">Additional recordkeeping requirements for the GW rule are listed in </w:t>
      </w:r>
      <w:hyperlink r:id="rId331">
        <w:r>
          <w:rPr>
            <w:rStyle w:val="Hyperlink"/>
            <w:rFonts w:ascii="Times New Roman" w:hAnsi="Times New Roman"/>
            <w:b w:val="false"/>
            <w:i w:val="false"/>
            <w:color w:val="000000"/>
            <w:sz w:val="22"/>
          </w:rPr>
          <w:t>567—paragraph 41.7(6)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40.9(10)</w:t>
      </w:r>
      <w:r>
        <w:rPr>
          <w:rFonts w:ascii="Times New Roman" w:hAnsi="Times New Roman"/>
          <w:b w:val="false"/>
          <w:i w:val="false"/>
          <w:color w:val="000000"/>
          <w:sz w:val="22"/>
        </w:rPr>
        <w:t> </w:t>
      </w:r>
      <w:r>
        <w:rPr>
          <w:rFonts w:ascii="Times New Roman" w:hAnsi="Times New Roman"/>
          <w:b w:val="false"/>
          <w:i/>
          <w:color w:val="000000"/>
          <w:sz w:val="22"/>
        </w:rPr>
        <w:t xml:space="preserve">Level 1 and 2 assessment forms and corrective action. </w:t>
      </w:r>
      <w:r>
        <w:rPr>
          <w:rFonts w:ascii="Times New Roman" w:hAnsi="Times New Roman"/>
          <w:b w:val="false"/>
          <w:i w:val="false"/>
          <w:color w:val="000000"/>
          <w:sz w:val="22"/>
        </w:rPr>
        <w:t xml:space="preserve">The recordkeeping requirements in this subrule pertain to the coliform bacteria sampling requirements in </w:t>
      </w:r>
      <w:hyperlink r:id="rId332">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maintain any assessment form, regardless of who conducts the assessment, and documentation of corrective actions completed as a result of an assessment or other available summary documentation of the sanitary defects and corrective actions taken under </w:t>
      </w:r>
      <w:hyperlink r:id="rId333">
        <w:r>
          <w:rPr>
            <w:rStyle w:val="Hyperlink"/>
            <w:rFonts w:ascii="Times New Roman" w:hAnsi="Times New Roman"/>
            <w:b w:val="false"/>
            <w:i w:val="false"/>
            <w:color w:val="000000"/>
            <w:sz w:val="22"/>
          </w:rPr>
          <w:t>567—paragraph 41.2(1)</w:t>
        </w:r>
      </w:hyperlink>
      <w:r>
        <w:rPr>
          <w:rFonts w:ascii="Times New Roman" w:hAnsi="Times New Roman"/>
          <w:b w:val="false"/>
          <w:i/>
          <w:color w:val="000000"/>
          <w:sz w:val="22"/>
        </w:rPr>
        <w:t>“m.”</w:t>
      </w:r>
      <w:r>
        <w:rPr>
          <w:rFonts w:ascii="Times New Roman" w:hAnsi="Times New Roman"/>
          <w:b w:val="false"/>
          <w:i w:val="false"/>
          <w:color w:val="000000"/>
          <w:sz w:val="22"/>
        </w:rPr>
        <w:t xml:space="preserve"> These records shall be maintained at the facility for department inspection for not less than five years after completion of the assessment 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maintain a record of any repeat sample taken that meets department criteria for an extension of the 24-hour period for collecting repeat samples in accordance with </w:t>
      </w:r>
      <w:hyperlink r:id="rId334">
        <w:r>
          <w:rPr>
            <w:rStyle w:val="Hyperlink"/>
            <w:rFonts w:ascii="Times New Roman" w:hAnsi="Times New Roman"/>
            <w:b w:val="false"/>
            <w:i w:val="false"/>
            <w:color w:val="000000"/>
            <w:sz w:val="22"/>
          </w:rPr>
          <w:t>567—paragraph 41.2(1)</w:t>
        </w:r>
        <w:r>
          <w:rPr>
            <w:rFonts w:ascii="Times New Roman" w:hAnsi="Times New Roman"/>
            <w:b w:val="false"/>
            <w:i/>
            <w:color w:val="000000"/>
            <w:sz w:val="22"/>
          </w:rPr>
          <w:t>“j.”</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35">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through </w:t>
      </w:r>
      <w:hyperlink r:id="rId336">
        <w:r>
          <w:rPr>
            <w:rStyle w:val="Hyperlink"/>
            <w:rFonts w:ascii="Times New Roman" w:hAnsi="Times New Roman"/>
            <w:b w:val="false"/>
            <w:i w:val="false"/>
            <w:color w:val="000000"/>
            <w:sz w:val="22"/>
          </w:rPr>
          <w:t>455B.188</w:t>
        </w:r>
      </w:hyperlink>
      <w:r>
        <w:rPr>
          <w:rFonts w:ascii="Times New Roman" w:hAnsi="Times New Roman"/>
          <w:b w:val="false"/>
          <w:i w:val="false"/>
          <w:color w:val="000000"/>
          <w:sz w:val="22"/>
        </w:rPr>
        <w:t xml:space="preserve"> and </w:t>
      </w:r>
      <w:hyperlink r:id="rId337">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through </w:t>
      </w:r>
      <w:hyperlink r:id="rId338">
        <w:r>
          <w:rPr>
            <w:rStyle w:val="Hyperlink"/>
            <w:rFonts w:ascii="Times New Roman" w:hAnsi="Times New Roman"/>
            <w:b w:val="false"/>
            <w:i w:val="false"/>
            <w:color w:val="000000"/>
            <w:sz w:val="22"/>
          </w:rPr>
          <w:t>455B.192</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i w:val="false"/>
          <w:color w:val="000000"/>
          <w:sz w:val="22"/>
        </w:rPr>
        <w:t>APPENDIX A:</w:t>
      </w:r>
    </w:p>
    <w:p>
      <w:pPr>
        <w:spacing w:before="0" w:after="0"/>
        <w:ind w:left="120"/>
        <w:jc w:val="center"/>
      </w:pPr>
      <w:r>
        <w:rPr>
          <w:rFonts w:ascii="Times New Roman" w:hAnsi="Times New Roman"/>
          <w:b/>
          <w:i w:val="false"/>
          <w:color w:val="000000"/>
          <w:sz w:val="22"/>
        </w:rPr>
        <w:t>MINIMUM SELF-MONITORING REQUIREMENTS (SMRs)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SMRs for TNCs (excluding SW or IGW PWSs).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SMRs only apply to those systems meeting the monthly operation report (MOR) criteria in </w:t>
      </w:r>
      <w:hyperlink r:id="rId339">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340">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341">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TNCs are exempt from the SMRs for point-of-use (POU) treatment devices unless the device is used to remove a contaminant that has an MCL, TT, or HA, in which case additional SMRs will be assigned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monitoring for TNCs applies only when the facility is in 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Additional or more frequent monitoring requirements may be assigned by the department in the operation permit.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Additional SMRs are required if treatment is used to remove a regulated contaminant or a contaminant that has an MCL, TT, or HA. See Section II for the SMRs for specific treatment types.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All TNCs* that meet the MOR criteria in </w:t>
      </w:r>
      <w:hyperlink r:id="rId342">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343">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344">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(3) must measure the following parameters, as applicable. </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608"/>
        <w:gridCol w:w="3456"/>
        <w:gridCol w:w="3456"/>
      </w:tblGrid>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345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Frequency</w:t>
            </w:r>
          </w:p>
        </w:tc>
      </w:tr>
      <w:tr>
        <w:trPr>
          <w:trHeight w:val="25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GENERAL REQUIREMENTS</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Pumpage (Flow)</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quantity used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450"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Static Water and Pumping Water Levels (Drawdown)****</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active well:</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ION EXCHANGE OR REVERSE OSMOSIS FOR NITRATE REMOVAL</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Nitrate</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UV LIGHT</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Lamp Status (On/Off)</w:t>
            </w:r>
          </w:p>
        </w:tc>
        <w:tc>
          <w:tcPr>
            <w:tcW w:w="3456"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lamp:</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bl>
    <w:p>
      <w:pPr>
        <w:spacing w:before="0" w:after="0"/>
        <w:ind w:left="120"/>
        <w:jc w:val="both"/>
      </w:pPr>
      <w:r>
        <w:rPr>
          <w:rFonts w:ascii="Times New Roman" w:hAnsi="Times New Roman"/>
          <w:b w:val="false"/>
          <w:i w:val="false"/>
          <w:color w:val="000000"/>
          <w:sz w:val="16"/>
        </w:rPr>
        <w:t>*TNCs must measure and record the total water used each week, but daily measurements are recommended, and may be required by the department for specific PWSs.</w:t>
      </w:r>
    </w:p>
    <w:p>
      <w:pPr>
        <w:spacing w:before="0" w:after="0"/>
        <w:ind w:left="120"/>
        <w:jc w:val="both"/>
      </w:pPr>
      <w:r>
        <w:rPr>
          <w:rFonts w:ascii="Times New Roman" w:hAnsi="Times New Roman"/>
          <w:b w:val="false"/>
          <w:i w:val="false"/>
          <w:color w:val="000000"/>
          <w:sz w:val="16"/>
        </w:rPr>
        <w:t xml:space="preserve">**Conduct this monitoring at representative points in the distribution system that adequately demonstrate compliance with </w:t>
      </w:r>
      <w:hyperlink r:id="rId345">
        <w:r>
          <w:rPr>
            <w:rStyle w:val="Hyperlink"/>
            <w:rFonts w:ascii="Times New Roman" w:hAnsi="Times New Roman"/>
            <w:b w:val="false"/>
            <w:i w:val="false"/>
            <w:color w:val="000000"/>
            <w:sz w:val="16"/>
          </w:rPr>
          <w:t>40.8(3)</w:t>
        </w:r>
      </w:hyperlink>
      <w:r>
        <w:rPr>
          <w:rFonts w:ascii="Times New Roman" w:hAnsi="Times New Roman"/>
          <w:b w:val="false"/>
          <w:i/>
          <w:color w:val="000000"/>
          <w:sz w:val="16"/>
        </w:rPr>
        <w:t>“b”</w:t>
      </w:r>
      <w:r>
        <w:rPr>
          <w:rFonts w:ascii="Times New Roman" w:hAnsi="Times New Roman"/>
          <w:b w:val="false"/>
          <w:i w:val="false"/>
          <w:color w:val="000000"/>
          <w:sz w:val="16"/>
        </w:rPr>
        <w:t>(1).</w:t>
      </w:r>
    </w:p>
    <w:p>
      <w:pPr>
        <w:spacing w:before="0" w:after="0"/>
        <w:ind w:left="120"/>
        <w:jc w:val="both"/>
      </w:pPr>
      <w:r>
        <w:rPr>
          <w:rFonts w:ascii="Times New Roman" w:hAnsi="Times New Roman"/>
          <w:b w:val="false"/>
          <w:i w:val="false"/>
          <w:color w:val="000000"/>
          <w:sz w:val="16"/>
        </w:rPr>
        <w:t>***The department may reduce the required sample site locations for a system with a minimal distribution system and only hydropneumatic tank storage.</w:t>
      </w:r>
    </w:p>
    <w:p>
      <w:pPr>
        <w:spacing w:before="0" w:after="0"/>
        <w:ind w:left="120"/>
        <w:jc w:val="both"/>
      </w:pPr>
      <w:r>
        <w:rPr>
          <w:rFonts w:ascii="Times New Roman" w:hAnsi="Times New Roman"/>
          <w:b w:val="false"/>
          <w:i w:val="false"/>
          <w:color w:val="000000"/>
          <w:sz w:val="16"/>
        </w:rPr>
        <w:t>****More or less frequent measurements may be approved by the department where justified by historical data.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SMRs for CWS, NTNC, and SW/IGW TNC.</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SMRs only apply to those systems meeting the MOR criteria in </w:t>
      </w:r>
      <w:hyperlink r:id="rId346">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347">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348">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NTNCs are exempt from the SMRs for POU treatment devices unless the device is used to remove a contaminant that has an MCL, TT, AL, or HA; in which case, additional SMRs will be assigned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monitoring for NTNCs applies only when the facility is in 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These are the minimum SMRs. Additional or more frequent monitoring requirements may be assigned in an operation permit.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General Requirements. All PWSs meeting the MOR criteria in </w:t>
      </w:r>
      <w:hyperlink r:id="rId349">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350">
        <w:r>
          <w:rPr>
            <w:rStyle w:val="Hyperlink"/>
            <w:rFonts w:ascii="Times New Roman" w:hAnsi="Times New Roman"/>
            <w:b w:val="false"/>
            <w:i w:val="false"/>
            <w:color w:val="000000"/>
            <w:sz w:val="22"/>
          </w:rPr>
          <w:t>40.8(3)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351">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(3) must measure the following parameters, as applicable. TNCs that provide treatment other than a cation exchange softening unit or iron/manganese removal treatment unit must meet the requirements in the CWS column.</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02"/>
        <w:gridCol w:w="2318"/>
        <w:gridCol w:w="2426"/>
        <w:gridCol w:w="2544"/>
      </w:tblGrid>
      <w:tr>
        <w:trPr>
          <w:trHeight w:val="465" w:hRule="atLeast"/>
        </w:trPr>
        <w:tc>
          <w:tcPr>
            <w:tcW w:w="390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Parameter</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PWS Type:</w:t>
            </w:r>
          </w:p>
        </w:tc>
        <w:tc>
          <w:tcPr>
            <w:tcW w:w="2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NTNC* &amp; SW/IGW TNC</w:t>
            </w:r>
          </w:p>
        </w:tc>
        <w:tc>
          <w:tcPr>
            <w:tcW w:w="254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CWS</w:t>
            </w:r>
          </w:p>
        </w:tc>
      </w:tr>
      <w:tr>
        <w:trPr>
          <w:trHeight w:val="255" w:hRule="atLeast"/>
        </w:trPr>
        <w:tc>
          <w:tcPr>
            <w:tcW w:w="390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90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Pumpage (Flow)</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raw:</w:t>
            </w:r>
          </w:p>
        </w:tc>
        <w:tc>
          <w:tcPr>
            <w:tcW w:w="242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1/week</w:t>
            </w:r>
          </w:p>
        </w:tc>
        <w:tc>
          <w:tcPr>
            <w:tcW w:w="254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1/day</w:t>
            </w:r>
          </w:p>
        </w:tc>
      </w:tr>
      <w:tr>
        <w:trPr>
          <w:trHeight w:val="255" w:hRule="atLeast"/>
        </w:trPr>
        <w:tc>
          <w:tcPr>
            <w:tcW w:w="39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finished:</w:t>
            </w:r>
          </w:p>
        </w:tc>
        <w:tc>
          <w:tcPr>
            <w:tcW w:w="242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1/week</w:t>
            </w:r>
          </w:p>
        </w:tc>
        <w:tc>
          <w:tcPr>
            <w:tcW w:w="254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1/day</w:t>
            </w:r>
          </w:p>
        </w:tc>
      </w:tr>
      <w:tr>
        <w:trPr>
          <w:trHeight w:val="255" w:hRule="atLeast"/>
        </w:trPr>
        <w:tc>
          <w:tcPr>
            <w:tcW w:w="39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Consecutive systems (flow)</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all master meters: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450" w:hRule="atLeast"/>
        </w:trPr>
        <w:tc>
          <w:tcPr>
            <w:tcW w:w="390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Static Water and Pumping Water Levels (Drawdown)**</w:t>
            </w:r>
          </w:p>
        </w:tc>
        <w:tc>
          <w:tcPr>
            <w:tcW w:w="231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active well:</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bl>
    <w:p>
      <w:pPr>
        <w:spacing w:before="0" w:after="0"/>
        <w:ind w:left="120"/>
        <w:jc w:val="both"/>
      </w:pPr>
      <w:r>
        <w:rPr>
          <w:rFonts w:ascii="Times New Roman" w:hAnsi="Times New Roman"/>
          <w:b w:val="false"/>
          <w:i w:val="false"/>
          <w:color w:val="000000"/>
          <w:sz w:val="16"/>
        </w:rPr>
        <w:t>*NTNCs must measure and record the total water used each week, but daily measurements are recommended, and may be required by the department for specific PWSs.</w:t>
      </w:r>
    </w:p>
    <w:p>
      <w:pPr>
        <w:spacing w:before="0" w:after="0"/>
        <w:ind w:left="120"/>
        <w:jc w:val="both"/>
      </w:pPr>
      <w:r>
        <w:rPr>
          <w:rFonts w:ascii="Times New Roman" w:hAnsi="Times New Roman"/>
          <w:b w:val="false"/>
          <w:i w:val="false"/>
          <w:color w:val="000000"/>
          <w:sz w:val="16"/>
        </w:rPr>
        <w:t>**If requested by the system, the department may allow an alternate frequency for systems with pressure tanks or controls that operate the well to ensure constant pump discharge pressure.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Chemical Addition. All PWSs that apply chemicals in the treatment process must monitor the following parameters for the applicable processes.</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4"/>
        <w:gridCol w:w="2574"/>
        <w:gridCol w:w="2084"/>
        <w:gridCol w:w="1854"/>
        <w:gridCol w:w="1604"/>
      </w:tblGrid>
      <w:tr>
        <w:trPr>
          <w:trHeight w:val="28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Parameter</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Pumpage or Flow:</w:t>
            </w:r>
          </w:p>
        </w:tc>
        <w:tc>
          <w:tcPr>
            <w:tcW w:w="20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21"/>
              </w:rPr>
              <w:t>&lt;0.1 MGD</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0.1-0.5 MGD</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&gt;0.5 MGD</w:t>
            </w:r>
          </w:p>
        </w:tc>
      </w:tr>
      <w:tr>
        <w:trPr>
          <w:trHeight w:val="28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Sample Site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Frequency</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DISINFECTION</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Calculated MRDL (monthly average)</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Calculated MRDL (RAA)</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1/calendar quarter</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FLUORIDATION</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Fluoride</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Fluoride,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 ADJUSTMENT</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Caustic Soda,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PHOSPHATE ADDITION</w:t>
            </w:r>
          </w:p>
        </w:tc>
      </w:tr>
      <w:tr>
        <w:trPr>
          <w:trHeight w:val="31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Phosphate, as PO</w:t>
            </w:r>
            <w:r>
              <w:rPr>
                <w:rFonts w:ascii="Times New Roman" w:hAnsi="Times New Roman"/>
                <w:b w:val="false"/>
                <w:i w:val="false"/>
                <w:color w:val="000000"/>
                <w:sz w:val="18"/>
                <w:vertAlign w:val="subscript"/>
              </w:rPr>
              <w:t>4</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Phosphate,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AMMONIA ADDITION</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residual chlorine (TRC)</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Monochloramine</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Free ammonia</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31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OTHER CHEMICALS</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 quantity used</w:t>
            </w:r>
          </w:p>
        </w:tc>
        <w:tc>
          <w:tcPr>
            <w:tcW w:w="257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bl>
    <w:p>
      <w:pPr>
        <w:spacing w:before="0" w:after="0"/>
        <w:ind w:left="120"/>
        <w:jc w:val="both"/>
      </w:pPr>
      <w:r>
        <w:rPr>
          <w:rFonts w:ascii="Times New Roman" w:hAnsi="Times New Roman"/>
          <w:b w:val="false"/>
          <w:i w:val="false"/>
          <w:color w:val="000000"/>
          <w:sz w:val="16"/>
        </w:rPr>
        <w:t xml:space="preserve">*Conduct this monitoring at representative points in the distribution system that adequately demonstrate compliance with </w:t>
      </w:r>
      <w:r>
        <w:br/>
      </w:r>
      <w:hyperlink r:id="rId352">
        <w:r>
          <w:rPr>
            <w:rStyle w:val="Hyperlink"/>
            <w:rFonts w:ascii="Times New Roman" w:hAnsi="Times New Roman"/>
            <w:b w:val="false"/>
            <w:i w:val="false"/>
            <w:color w:val="000000"/>
            <w:sz w:val="16"/>
          </w:rPr>
          <w:t>40.8(3)</w:t>
        </w:r>
      </w:hyperlink>
      <w:r>
        <w:rPr>
          <w:rFonts w:ascii="Times New Roman" w:hAnsi="Times New Roman"/>
          <w:b w:val="false"/>
          <w:i/>
          <w:color w:val="000000"/>
          <w:sz w:val="16"/>
        </w:rPr>
        <w:t>“b”</w:t>
      </w:r>
      <w:r>
        <w:rPr>
          <w:rFonts w:ascii="Times New Roman" w:hAnsi="Times New Roman"/>
          <w:b w:val="false"/>
          <w:i w:val="false"/>
          <w:color w:val="000000"/>
          <w:sz w:val="16"/>
        </w:rPr>
        <w:t>(1).</w:t>
      </w:r>
    </w:p>
    <w:p>
      <w:pPr>
        <w:spacing w:before="0" w:after="0"/>
        <w:ind w:left="120"/>
        <w:jc w:val="both"/>
      </w:pPr>
      <w:r>
        <w:rPr>
          <w:rFonts w:ascii="Times New Roman" w:hAnsi="Times New Roman"/>
          <w:b w:val="false"/>
          <w:i w:val="false"/>
          <w:color w:val="000000"/>
          <w:sz w:val="16"/>
        </w:rPr>
        <w:t>**The department may reduce the required sample sites for a system with a minimal distribution system; only hydropneumatic tank storage; or, if it is a CWS, if it serves fewer than 100 persons.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Iron or Manganese Removal. All CWS, NTNC, and publicly owned TNC systems with iron or manganese removal equipment must monitor for the following parameters. This monitoring is not required if the removal equipment is purchased “off the shelf,” is self-contained (requiring only a piping connection for installation), and operates throughout a range of 35 to 80 psi. Any chemicals applied during the treatment process must be measured under section II.B of this appendix. Systems with manganese removal must conduct the manganese monitoring. If a system utilizes the treatment only for iron removal, manganese self-monitoring is not required. </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4"/>
        <w:gridCol w:w="2574"/>
        <w:gridCol w:w="2084"/>
        <w:gridCol w:w="1854"/>
        <w:gridCol w:w="1604"/>
      </w:tblGrid>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Pumpage or Flow: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&lt;0.1 MGD</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0.1-0.5 MGD</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&gt;0.5 MGD</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IRON/MANGANESE REMOVAL EQUIPMENT INSTALLED FOR ARSENIC REMOVAL</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bl>
    <w:p>
      <w:pPr>
        <w:spacing w:before="0" w:after="0"/>
        <w:ind w:left="120"/>
        <w:jc w:val="both"/>
      </w:pPr>
      <w:r>
        <w:rPr>
          <w:rFonts w:ascii="Times New Roman" w:hAnsi="Times New Roman"/>
          <w:b w:val="false"/>
          <w:i w:val="false"/>
          <w:color w:val="000000"/>
          <w:sz w:val="16"/>
        </w:rPr>
        <w:t>*A system may be allowed to conduct manganese self-monitoring 1/week if it meets all of the following criteria: an average annual pumpage of less than 0.1 MGD, raw water manganese less than 0.3 mg/L, and agrees to conduct quarterly PN.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Lime Softening of GW (Excluding IGW) and pH Adjustment for Iron and Manganese Removal, by precipitation and coagulation processes utilizing lime, soda ash, or other chemical additions. Testing is only required if a specific chemical is added.</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4"/>
        <w:gridCol w:w="2574"/>
        <w:gridCol w:w="2084"/>
        <w:gridCol w:w="1854"/>
        <w:gridCol w:w="1604"/>
      </w:tblGrid>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Pumpage or Flow: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&lt;0.1 MGD</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0.1-0.5 MGD</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&gt;0.5 MGD</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Alkalinity</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300"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2/week</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Temperature</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bl>
    <w:p>
      <w:pPr>
        <w:pageBreakBefore/>
        <w:spacing w:before="0" w:after="0"/>
        <w:ind w:left="120"/>
        <w:jc w:val="both"/>
      </w:pP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Cation Exchange (Zeolite) Softening. All CWS, NTNC, and publicly owned TNC systems with ion exchange softening equipment must monitor for the following parameters. This monitoring is not required if the ion exchange softening equipment is purchased “off the shelf,” is self-contained (needing only a piping connection for installation), and operates throughout a range of 35 to 80 psi. Any chemicals applied during the treatment process must be measured under section II.B of this appendix. An annual sodium sample of the finished water is required by </w:t>
      </w:r>
      <w:hyperlink r:id="rId353">
        <w:r>
          <w:rPr>
            <w:rStyle w:val="Hyperlink"/>
            <w:rFonts w:ascii="Times New Roman" w:hAnsi="Times New Roman"/>
            <w:b w:val="false"/>
            <w:i w:val="false"/>
            <w:color w:val="000000"/>
            <w:sz w:val="22"/>
          </w:rPr>
          <w:t>567—paragraph 41.9(1)</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all CWSs that use cation exchange softening, and the sodium monitoring in the following table will meet that requirement.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4"/>
        <w:gridCol w:w="2574"/>
        <w:gridCol w:w="2084"/>
        <w:gridCol w:w="1854"/>
        <w:gridCol w:w="1604"/>
      </w:tblGrid>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Pumpage or Flow: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&lt;0.1 MGD</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0.1-0.5 MGD</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&gt;0.5 MGD</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300"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1/year</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Bypass, in flow or percent bypassed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bypass:</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ION EXCHANGE FOR RADIONUCLIDE REMOVAL</w:t>
            </w:r>
          </w:p>
        </w:tc>
      </w:tr>
      <w:tr>
        <w:trPr>
          <w:trHeight w:val="300"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bl>
    <w:p>
      <w:pPr>
        <w:pageBreakBefore/>
        <w:spacing w:before="0" w:after="0"/>
        <w:ind w:left="120"/>
        <w:jc w:val="both"/>
      </w:pP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Filtration and Disinfection Requirements for SWs or IGWs.</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85"/>
        <w:gridCol w:w="2786"/>
        <w:gridCol w:w="5119"/>
      </w:tblGrid>
      <w:tr>
        <w:trPr>
          <w:trHeight w:val="285" w:hRule="atLeast"/>
        </w:trPr>
        <w:tc>
          <w:tcPr>
            <w:tcW w:w="32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21"/>
              </w:rPr>
              <w:t>Pumpage or Flow:</w:t>
            </w:r>
          </w:p>
        </w:tc>
        <w:tc>
          <w:tcPr>
            <w:tcW w:w="511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All</w:t>
            </w:r>
          </w:p>
        </w:tc>
      </w:tr>
      <w:tr>
        <w:trPr>
          <w:trHeight w:val="28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Parameter</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Sample Site</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21"/>
              </w:rPr>
              <w:t>Frequency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CT Ratio*</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Calculated V Value</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511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1/month</w:t>
            </w:r>
          </w:p>
        </w:tc>
      </w:tr>
      <w:tr>
        <w:trPr>
          <w:trHeight w:val="45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Calculated MRDL (monthly average)</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511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Calculated MRDL (RAA)</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1/calendar quarter</w:t>
            </w:r>
          </w:p>
        </w:tc>
      </w:tr>
      <w:tr>
        <w:trPr>
          <w:trHeight w:val="255" w:hRule="atLeast"/>
        </w:trPr>
        <w:tc>
          <w:tcPr>
            <w:tcW w:w="32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continuous</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quantity used</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2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Temperature</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2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Turbidity</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IFE:</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At least every 15 minutes</w:t>
            </w:r>
          </w:p>
        </w:tc>
      </w:tr>
      <w:tr>
        <w:trPr>
          <w:trHeight w:val="126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 and CFE:</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hyperlink r:id="rId354">
              <w:r>
                <w:rPr>
                  <w:rStyle w:val="Hyperlink"/>
                  <w:rFonts w:ascii="Times New Roman" w:hAnsi="Times New Roman"/>
                  <w:b w:val="false"/>
                  <w:i w:val="false"/>
                  <w:color w:val="000000"/>
                  <w:sz w:val="18"/>
                </w:rPr>
                <w:t>567—subrules 43.5(3)</w:t>
              </w:r>
            </w:hyperlink>
            <w:r>
              <w:rPr>
                <w:rFonts w:ascii="Times New Roman" w:hAnsi="Times New Roman"/>
                <w:b w:val="false"/>
                <w:i w:val="false"/>
                <w:color w:val="000000"/>
                <w:sz w:val="18"/>
              </w:rPr>
              <w:t xml:space="preserve"> and </w:t>
            </w:r>
            <w:hyperlink r:id="rId355">
              <w:r>
                <w:rPr>
                  <w:rStyle w:val="Hyperlink"/>
                  <w:rFonts w:ascii="Times New Roman" w:hAnsi="Times New Roman"/>
                  <w:b w:val="false"/>
                  <w:i w:val="false"/>
                  <w:color w:val="000000"/>
                  <w:sz w:val="18"/>
                </w:rPr>
                <w:t>43.5(4)</w:t>
              </w:r>
            </w:hyperlink>
            <w:r>
              <w:rPr>
                <w:rFonts w:ascii="Times New Roman" w:hAnsi="Times New Roman"/>
                <w:b w:val="false"/>
                <w:i w:val="false"/>
                <w:color w:val="000000"/>
                <w:sz w:val="18"/>
              </w:rPr>
              <w:t xml:space="preserve">, </w:t>
            </w:r>
            <w:hyperlink r:id="rId356">
              <w:r>
                <w:rPr>
                  <w:rStyle w:val="Hyperlink"/>
                  <w:rFonts w:ascii="Times New Roman" w:hAnsi="Times New Roman"/>
                  <w:b w:val="false"/>
                  <w:i w:val="false"/>
                  <w:color w:val="000000"/>
                  <w:sz w:val="18"/>
                </w:rPr>
                <w:t>567—43.9</w:t>
              </w:r>
            </w:hyperlink>
            <w:r>
              <w:rPr>
                <w:rFonts w:ascii="Times New Roman" w:hAnsi="Times New Roman"/>
                <w:b w:val="false"/>
                <w:i w:val="false"/>
                <w:color w:val="000000"/>
                <w:sz w:val="18"/>
              </w:rPr>
              <w:t xml:space="preserve">(455B), and </w:t>
            </w:r>
            <w:hyperlink r:id="rId357">
              <w:r>
                <w:rPr>
                  <w:rStyle w:val="Hyperlink"/>
                  <w:rFonts w:ascii="Times New Roman" w:hAnsi="Times New Roman"/>
                  <w:b w:val="false"/>
                  <w:i w:val="false"/>
                  <w:color w:val="000000"/>
                  <w:sz w:val="18"/>
                </w:rPr>
                <w:t>567—43.10</w:t>
              </w:r>
            </w:hyperlink>
            <w:r>
              <w:rPr>
                <w:rFonts w:ascii="Times New Roman" w:hAnsi="Times New Roman"/>
                <w:b w:val="false"/>
                <w:i w:val="false"/>
                <w:color w:val="000000"/>
                <w:sz w:val="18"/>
              </w:rPr>
              <w:t>(455B) contain specific requirements; continuous turbidity monitoring may be substituted for grab sample monitoring if the continuous process is validated using a department-approved turbidity protocol.</w:t>
            </w:r>
          </w:p>
        </w:tc>
      </w:tr>
      <w:tr>
        <w:trPr>
          <w:trHeight w:val="45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Turbidity, 95th percentile calculation</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CFE:</w:t>
            </w:r>
          </w:p>
        </w:tc>
        <w:tc>
          <w:tcPr>
            <w:tcW w:w="5119"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 xml:space="preserve">Monthly, per </w:t>
            </w:r>
            <w:hyperlink r:id="rId358">
              <w:r>
                <w:rPr>
                  <w:rStyle w:val="Hyperlink"/>
                  <w:rFonts w:ascii="Times New Roman" w:hAnsi="Times New Roman"/>
                  <w:b w:val="false"/>
                  <w:i w:val="false"/>
                  <w:color w:val="000000"/>
                  <w:sz w:val="18"/>
                </w:rPr>
                <w:t>567—paragraph 43.5(3)</w:t>
              </w:r>
              <w:r>
                <w:rPr>
                  <w:rFonts w:ascii="Times New Roman" w:hAnsi="Times New Roman"/>
                  <w:b w:val="false"/>
                  <w:i/>
                  <w:color w:val="000000"/>
                  <w:sz w:val="18"/>
                </w:rPr>
                <w:t>“b”</w:t>
              </w:r>
            </w:hyperlink>
          </w:p>
        </w:tc>
      </w:tr>
      <w:tr>
        <w:trPr>
          <w:trHeight w:val="450" w:hRule="atLeast"/>
        </w:trPr>
        <w:tc>
          <w:tcPr>
            <w:tcW w:w="32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Continuous turbidity monitoring instrument***</w:t>
            </w:r>
          </w:p>
        </w:tc>
        <w:tc>
          <w:tcPr>
            <w:tcW w:w="2786"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turbidimeter:</w:t>
            </w:r>
          </w:p>
        </w:tc>
        <w:tc>
          <w:tcPr>
            <w:tcW w:w="511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Each turbidimeter must be verified with a grab sample measurement at least once per week.</w:t>
            </w:r>
          </w:p>
        </w:tc>
      </w:tr>
    </w:tbl>
    <w:p>
      <w:pPr>
        <w:spacing w:before="0" w:after="0"/>
        <w:ind w:left="120"/>
        <w:jc w:val="both"/>
      </w:pPr>
      <w:r>
        <w:rPr>
          <w:rFonts w:ascii="Times New Roman" w:hAnsi="Times New Roman"/>
          <w:b w:val="false"/>
          <w:i w:val="false"/>
          <w:color w:val="000000"/>
          <w:sz w:val="16"/>
        </w:rPr>
        <w:t>*Determine the total inactivation ratio (CT</w:t>
      </w:r>
      <w:r>
        <w:rPr>
          <w:rFonts w:ascii="Times New Roman" w:hAnsi="Times New Roman"/>
          <w:b w:val="false"/>
          <w:i w:val="false"/>
          <w:color w:val="000000"/>
          <w:sz w:val="18"/>
          <w:vertAlign w:val="subscript"/>
        </w:rPr>
        <w:t>calc</w:t>
      </w:r>
      <w:r>
        <w:rPr>
          <w:rFonts w:ascii="Times New Roman" w:hAnsi="Times New Roman"/>
          <w:b w:val="false"/>
          <w:i w:val="false"/>
          <w:color w:val="000000"/>
          <w:sz w:val="16"/>
        </w:rPr>
        <w:t>/CT</w:t>
      </w:r>
      <w:r>
        <w:rPr>
          <w:rFonts w:ascii="Times New Roman" w:hAnsi="Times New Roman"/>
          <w:b w:val="false"/>
          <w:i w:val="false"/>
          <w:color w:val="000000"/>
          <w:sz w:val="18"/>
          <w:vertAlign w:val="subscript"/>
        </w:rPr>
        <w:t>required</w:t>
      </w:r>
      <w:r>
        <w:rPr>
          <w:rFonts w:ascii="Times New Roman" w:hAnsi="Times New Roman"/>
          <w:b w:val="false"/>
          <w:i w:val="false"/>
          <w:color w:val="000000"/>
          <w:sz w:val="16"/>
        </w:rPr>
        <w:t xml:space="preserve">) before the first customer during peak hourly flow each day the treatment plant is in operation; </w:t>
      </w:r>
      <w:hyperlink r:id="rId359">
        <w:r>
          <w:rPr>
            <w:rStyle w:val="Hyperlink"/>
            <w:rFonts w:ascii="Times New Roman" w:hAnsi="Times New Roman"/>
            <w:b w:val="false"/>
            <w:i w:val="false"/>
            <w:color w:val="000000"/>
            <w:sz w:val="16"/>
          </w:rPr>
          <w:t>567—paragraph 43.5(2)</w:t>
        </w:r>
      </w:hyperlink>
      <w:r>
        <w:rPr>
          <w:rFonts w:ascii="Times New Roman" w:hAnsi="Times New Roman"/>
          <w:b w:val="false"/>
          <w:i/>
          <w:color w:val="000000"/>
          <w:sz w:val="16"/>
        </w:rPr>
        <w:t>“a”</w:t>
      </w:r>
      <w:r>
        <w:rPr>
          <w:rFonts w:ascii="Times New Roman" w:hAnsi="Times New Roman"/>
          <w:b w:val="false"/>
          <w:i w:val="false"/>
          <w:color w:val="000000"/>
          <w:sz w:val="16"/>
        </w:rPr>
        <w:t xml:space="preserve"> contains more information.</w:t>
      </w:r>
    </w:p>
    <w:p>
      <w:pPr>
        <w:spacing w:before="0" w:after="0"/>
        <w:ind w:left="120"/>
        <w:jc w:val="both"/>
      </w:pPr>
      <w:r>
        <w:rPr>
          <w:rFonts w:ascii="Times New Roman" w:hAnsi="Times New Roman"/>
          <w:b w:val="false"/>
          <w:i w:val="false"/>
          <w:color w:val="000000"/>
          <w:sz w:val="16"/>
        </w:rPr>
        <w:t xml:space="preserve">**Conduct this monitoring to demonstrate compliance with </w:t>
      </w:r>
      <w:r>
        <w:rPr>
          <w:rFonts w:ascii="Times New Roman" w:hAnsi="Times New Roman"/>
          <w:b w:val="false"/>
          <w:i w:val="false"/>
          <w:color w:val="000000"/>
          <w:sz w:val="16"/>
        </w:rPr>
        <w:t>40.8(3)</w:t>
      </w:r>
      <w:r>
        <w:rPr>
          <w:rFonts w:ascii="Times New Roman" w:hAnsi="Times New Roman"/>
          <w:b w:val="false"/>
          <w:i/>
          <w:color w:val="000000"/>
          <w:sz w:val="16"/>
        </w:rPr>
        <w:t>“b,”</w:t>
      </w:r>
      <w:r>
        <w:rPr>
          <w:rFonts w:ascii="Times New Roman" w:hAnsi="Times New Roman"/>
          <w:b w:val="false"/>
          <w:i w:val="false"/>
          <w:color w:val="000000"/>
          <w:sz w:val="16"/>
        </w:rPr>
        <w:t xml:space="preserve"> 567—subrules </w:t>
      </w:r>
      <w:hyperlink r:id="rId360">
        <w:r>
          <w:rPr>
            <w:rStyle w:val="Hyperlink"/>
            <w:rFonts w:ascii="Times New Roman" w:hAnsi="Times New Roman"/>
            <w:b w:val="false"/>
            <w:i w:val="false"/>
            <w:color w:val="000000"/>
            <w:sz w:val="16"/>
          </w:rPr>
          <w:t>43.5(2)</w:t>
        </w:r>
      </w:hyperlink>
      <w:r>
        <w:rPr>
          <w:rFonts w:ascii="Times New Roman" w:hAnsi="Times New Roman"/>
          <w:b w:val="false"/>
          <w:i w:val="false"/>
          <w:color w:val="000000"/>
          <w:sz w:val="16"/>
        </w:rPr>
        <w:t xml:space="preserve"> and </w:t>
      </w:r>
      <w:hyperlink r:id="rId361">
        <w:r>
          <w:rPr>
            <w:rStyle w:val="Hyperlink"/>
            <w:rFonts w:ascii="Times New Roman" w:hAnsi="Times New Roman"/>
            <w:b w:val="false"/>
            <w:i w:val="false"/>
            <w:color w:val="000000"/>
            <w:sz w:val="16"/>
          </w:rPr>
          <w:t>43.5(4)</w:t>
        </w:r>
      </w:hyperlink>
      <w:r>
        <w:rPr>
          <w:rFonts w:ascii="Times New Roman" w:hAnsi="Times New Roman"/>
          <w:b w:val="false"/>
          <w:i w:val="false"/>
          <w:color w:val="000000"/>
          <w:sz w:val="16"/>
        </w:rPr>
        <w:t xml:space="preserve">, and </w:t>
      </w:r>
      <w:hyperlink r:id="rId362">
        <w:r>
          <w:rPr>
            <w:rStyle w:val="Hyperlink"/>
            <w:rFonts w:ascii="Times New Roman" w:hAnsi="Times New Roman"/>
            <w:b w:val="false"/>
            <w:i w:val="false"/>
            <w:color w:val="000000"/>
            <w:sz w:val="16"/>
          </w:rPr>
          <w:t>567—43.6</w:t>
        </w:r>
      </w:hyperlink>
      <w:r>
        <w:rPr>
          <w:rFonts w:ascii="Times New Roman" w:hAnsi="Times New Roman"/>
          <w:b w:val="false"/>
          <w:i w:val="false"/>
          <w:color w:val="000000"/>
          <w:sz w:val="16"/>
        </w:rPr>
        <w:t>(455B).</w:t>
      </w:r>
    </w:p>
    <w:p>
      <w:pPr>
        <w:spacing w:before="0" w:after="0"/>
        <w:ind w:left="120"/>
        <w:jc w:val="both"/>
      </w:pPr>
      <w:r>
        <w:rPr>
          <w:rFonts w:ascii="Times New Roman" w:hAnsi="Times New Roman"/>
          <w:b w:val="false"/>
          <w:i w:val="false"/>
          <w:color w:val="000000"/>
          <w:sz w:val="16"/>
        </w:rPr>
        <w:t xml:space="preserve">***The calibration of each turbidimeter used for compliance must be verified to demonstrate IFE compliance with 567—paragraphs </w:t>
      </w:r>
      <w:r>
        <w:rPr>
          <w:rFonts w:ascii="Times New Roman" w:hAnsi="Times New Roman"/>
          <w:b w:val="false"/>
          <w:i w:val="false"/>
          <w:color w:val="000000"/>
          <w:sz w:val="16"/>
        </w:rPr>
        <w:t>43.9(4)</w:t>
      </w:r>
      <w:r>
        <w:rPr>
          <w:rFonts w:ascii="Times New Roman" w:hAnsi="Times New Roman"/>
          <w:b w:val="false"/>
          <w:i/>
          <w:color w:val="000000"/>
          <w:sz w:val="16"/>
        </w:rPr>
        <w:t>“a”</w:t>
      </w:r>
      <w:r>
        <w:rPr>
          <w:rFonts w:ascii="Times New Roman" w:hAnsi="Times New Roman"/>
          <w:b w:val="false"/>
          <w:i w:val="false"/>
          <w:color w:val="000000"/>
          <w:sz w:val="16"/>
        </w:rPr>
        <w:t xml:space="preserve"> and </w:t>
      </w:r>
      <w:r>
        <w:rPr>
          <w:rFonts w:ascii="Times New Roman" w:hAnsi="Times New Roman"/>
          <w:b w:val="false"/>
          <w:i w:val="false"/>
          <w:color w:val="000000"/>
          <w:sz w:val="16"/>
        </w:rPr>
        <w:t>43.10(5)</w:t>
      </w:r>
      <w:r>
        <w:rPr>
          <w:rFonts w:ascii="Times New Roman" w:hAnsi="Times New Roman"/>
          <w:b w:val="false"/>
          <w:i/>
          <w:color w:val="000000"/>
          <w:sz w:val="16"/>
        </w:rPr>
        <w:t>“a”</w:t>
      </w:r>
      <w:r>
        <w:rPr>
          <w:rFonts w:ascii="Times New Roman" w:hAnsi="Times New Roman"/>
          <w:b w:val="false"/>
          <w:i w:val="false"/>
          <w:color w:val="000000"/>
          <w:sz w:val="16"/>
        </w:rPr>
        <w:t xml:space="preserve"> and CFE compliance with </w:t>
      </w:r>
      <w:hyperlink r:id="rId363">
        <w:r>
          <w:rPr>
            <w:rStyle w:val="Hyperlink"/>
            <w:rFonts w:ascii="Times New Roman" w:hAnsi="Times New Roman"/>
            <w:b w:val="false"/>
            <w:i w:val="false"/>
            <w:color w:val="000000"/>
            <w:sz w:val="16"/>
          </w:rPr>
          <w:t>567—subparagraph 43.5(4)</w:t>
        </w:r>
      </w:hyperlink>
      <w:r>
        <w:rPr>
          <w:rFonts w:ascii="Times New Roman" w:hAnsi="Times New Roman"/>
          <w:b w:val="false"/>
          <w:i/>
          <w:color w:val="000000"/>
          <w:sz w:val="16"/>
        </w:rPr>
        <w:t>“b”</w:t>
      </w:r>
      <w:r>
        <w:rPr>
          <w:rFonts w:ascii="Times New Roman" w:hAnsi="Times New Roman"/>
          <w:b w:val="false"/>
          <w:i w:val="false"/>
          <w:color w:val="000000"/>
          <w:sz w:val="16"/>
        </w:rPr>
        <w:t xml:space="preserve">(1) and </w:t>
      </w:r>
      <w:r>
        <w:rPr>
          <w:rFonts w:ascii="Times New Roman" w:hAnsi="Times New Roman"/>
          <w:b w:val="false"/>
          <w:i w:val="false"/>
          <w:color w:val="000000"/>
          <w:sz w:val="16"/>
        </w:rPr>
        <w:t>43.9(3)</w:t>
      </w:r>
      <w:r>
        <w:rPr>
          <w:rFonts w:ascii="Times New Roman" w:hAnsi="Times New Roman"/>
          <w:b w:val="false"/>
          <w:i w:val="false"/>
          <w:color w:val="000000"/>
          <w:sz w:val="16"/>
        </w:rPr>
        <w:t xml:space="preserve"> and </w:t>
      </w:r>
      <w:r>
        <w:rPr>
          <w:rFonts w:ascii="Times New Roman" w:hAnsi="Times New Roman"/>
          <w:b w:val="false"/>
          <w:i w:val="false"/>
          <w:color w:val="000000"/>
          <w:sz w:val="16"/>
        </w:rPr>
        <w:t>43.10(4)</w:t>
      </w:r>
      <w:r>
        <w:rPr>
          <w:rFonts w:ascii="Times New Roman" w:hAnsi="Times New Roman"/>
          <w:b w:val="false"/>
          <w:i w:val="false"/>
          <w:color w:val="000000"/>
          <w:sz w:val="16"/>
        </w:rPr>
        <w: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Clarification or Lime Softening of SW or IGW.</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2880"/>
        <w:gridCol w:w="5184"/>
      </w:tblGrid>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5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Sample Site</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Frequency</w:t>
            </w:r>
          </w:p>
        </w:tc>
      </w:tr>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Alkalinity</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raw:</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450"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raw:</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SW/IGW systems; 1/month at same time raw TOC sample is collected</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finished:</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51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18"/>
              </w:rPr>
              <w:t>), quantity used</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tank/scale/feeder:</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Caustic Soda, quantity used</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day tank/scale:</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CT Ratio*</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finished:</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finished:</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continuous</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distribution system**:</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quantity used</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day tank/scale:</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64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Continuous disinfectant monitoring instrument</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location of instrument:</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The calibration of instruments used for continuous disinfectant monitoring must be verified with a grab sample measurement at least every 7 days.</w:t>
            </w:r>
          </w:p>
        </w:tc>
      </w:tr>
      <w:tr>
        <w:trPr>
          <w:trHeight w:val="300"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raw:</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finished:</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Lime, quantity used</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day tank/scale/feeder:</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raw:</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finished:</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Temperature</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raw:</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finished:</w:t>
            </w:r>
          </w:p>
        </w:tc>
        <w:tc>
          <w:tcPr>
            <w:tcW w:w="51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TOC</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raw:</w:t>
            </w:r>
          </w:p>
        </w:tc>
        <w:tc>
          <w:tcPr>
            <w:tcW w:w="51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1/month at same time the CFE sample is taken</w:t>
            </w:r>
          </w:p>
        </w:tc>
      </w:tr>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CFE:</w:t>
            </w:r>
          </w:p>
        </w:tc>
        <w:tc>
          <w:tcPr>
            <w:tcW w:w="51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1/month at same time the raw sample is taken</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Source water alkalinity:</w:t>
            </w:r>
          </w:p>
        </w:tc>
        <w:tc>
          <w:tcPr>
            <w:tcW w:w="51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1/month at same time the raw sample is taken</w:t>
            </w:r>
          </w:p>
        </w:tc>
      </w:tr>
      <w:tr>
        <w:trPr>
          <w:trHeight w:val="64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Turbidity</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raw and CFE:</w:t>
            </w:r>
          </w:p>
        </w:tc>
        <w:tc>
          <w:tcPr>
            <w:tcW w:w="51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hyperlink r:id="rId364">
              <w:r>
                <w:rPr>
                  <w:rStyle w:val="Hyperlink"/>
                  <w:rFonts w:ascii="Times New Roman" w:hAnsi="Times New Roman"/>
                  <w:b w:val="false"/>
                  <w:i w:val="false"/>
                  <w:color w:val="000000"/>
                  <w:sz w:val="18"/>
                </w:rPr>
                <w:t>567—subrules 43.5(3)</w:t>
              </w:r>
            </w:hyperlink>
            <w:r>
              <w:rPr>
                <w:rFonts w:ascii="Times New Roman" w:hAnsi="Times New Roman"/>
                <w:b w:val="false"/>
                <w:i w:val="false"/>
                <w:color w:val="000000"/>
                <w:sz w:val="18"/>
              </w:rPr>
              <w:t xml:space="preserve"> and </w:t>
            </w:r>
            <w:hyperlink r:id="rId365">
              <w:r>
                <w:rPr>
                  <w:rStyle w:val="Hyperlink"/>
                  <w:rFonts w:ascii="Times New Roman" w:hAnsi="Times New Roman"/>
                  <w:b w:val="false"/>
                  <w:i w:val="false"/>
                  <w:color w:val="000000"/>
                  <w:sz w:val="18"/>
                </w:rPr>
                <w:t>43.5(4)</w:t>
              </w:r>
            </w:hyperlink>
            <w:r>
              <w:rPr>
                <w:rFonts w:ascii="Times New Roman" w:hAnsi="Times New Roman"/>
                <w:b w:val="false"/>
                <w:i w:val="false"/>
                <w:color w:val="000000"/>
                <w:sz w:val="18"/>
              </w:rPr>
              <w:t xml:space="preserve">, </w:t>
            </w:r>
            <w:hyperlink r:id="rId366">
              <w:r>
                <w:rPr>
                  <w:rStyle w:val="Hyperlink"/>
                  <w:rFonts w:ascii="Times New Roman" w:hAnsi="Times New Roman"/>
                  <w:b w:val="false"/>
                  <w:i w:val="false"/>
                  <w:color w:val="000000"/>
                  <w:sz w:val="18"/>
                </w:rPr>
                <w:t>567—43.9</w:t>
              </w:r>
            </w:hyperlink>
            <w:r>
              <w:rPr>
                <w:rFonts w:ascii="Times New Roman" w:hAnsi="Times New Roman"/>
                <w:b w:val="false"/>
                <w:i w:val="false"/>
                <w:color w:val="000000"/>
                <w:sz w:val="18"/>
              </w:rPr>
              <w:t xml:space="preserve">(455B), and </w:t>
            </w:r>
            <w:hyperlink r:id="rId367">
              <w:r>
                <w:rPr>
                  <w:rStyle w:val="Hyperlink"/>
                  <w:rFonts w:ascii="Times New Roman" w:hAnsi="Times New Roman"/>
                  <w:b w:val="false"/>
                  <w:i w:val="false"/>
                  <w:color w:val="000000"/>
                  <w:sz w:val="18"/>
                </w:rPr>
                <w:t>567—43.10</w:t>
              </w:r>
            </w:hyperlink>
            <w:r>
              <w:rPr>
                <w:rFonts w:ascii="Times New Roman" w:hAnsi="Times New Roman"/>
                <w:b w:val="false"/>
                <w:i w:val="false"/>
                <w:color w:val="000000"/>
                <w:sz w:val="18"/>
              </w:rPr>
              <w:t>(455B) contain specific requirements.</w:t>
            </w:r>
          </w:p>
        </w:tc>
      </w:tr>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IFE:</w:t>
            </w:r>
          </w:p>
        </w:tc>
        <w:tc>
          <w:tcPr>
            <w:tcW w:w="51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At least every 15 minutes</w:t>
            </w:r>
          </w:p>
        </w:tc>
      </w:tr>
    </w:tbl>
    <w:p>
      <w:pPr>
        <w:spacing w:before="0" w:after="0"/>
        <w:ind w:left="120"/>
        <w:jc w:val="both"/>
      </w:pPr>
      <w:r>
        <w:rPr>
          <w:rFonts w:ascii="Times New Roman" w:hAnsi="Times New Roman"/>
          <w:b w:val="false"/>
          <w:i w:val="false"/>
          <w:color w:val="000000"/>
          <w:sz w:val="16"/>
        </w:rPr>
        <w:t>*Determine the total inactivation ratio (CT</w:t>
      </w:r>
      <w:r>
        <w:rPr>
          <w:rFonts w:ascii="Times New Roman" w:hAnsi="Times New Roman"/>
          <w:b w:val="false"/>
          <w:i w:val="false"/>
          <w:color w:val="000000"/>
          <w:sz w:val="18"/>
          <w:vertAlign w:val="subscript"/>
        </w:rPr>
        <w:t>calc</w:t>
      </w:r>
      <w:r>
        <w:rPr>
          <w:rFonts w:ascii="Times New Roman" w:hAnsi="Times New Roman"/>
          <w:b w:val="false"/>
          <w:i w:val="false"/>
          <w:color w:val="000000"/>
          <w:sz w:val="16"/>
        </w:rPr>
        <w:t>/CT</w:t>
      </w:r>
      <w:r>
        <w:rPr>
          <w:rFonts w:ascii="Times New Roman" w:hAnsi="Times New Roman"/>
          <w:b w:val="false"/>
          <w:i w:val="false"/>
          <w:color w:val="000000"/>
          <w:sz w:val="18"/>
          <w:vertAlign w:val="subscript"/>
        </w:rPr>
        <w:t>required</w:t>
      </w:r>
      <w:r>
        <w:rPr>
          <w:rFonts w:ascii="Times New Roman" w:hAnsi="Times New Roman"/>
          <w:b w:val="false"/>
          <w:i w:val="false"/>
          <w:color w:val="000000"/>
          <w:sz w:val="16"/>
        </w:rPr>
        <w:t xml:space="preserve">) before the first customer during peak hourly flow each day the treatment plant is in operation; </w:t>
      </w:r>
      <w:hyperlink r:id="rId368">
        <w:r>
          <w:rPr>
            <w:rStyle w:val="Hyperlink"/>
            <w:rFonts w:ascii="Times New Roman" w:hAnsi="Times New Roman"/>
            <w:b w:val="false"/>
            <w:i w:val="false"/>
            <w:color w:val="000000"/>
            <w:sz w:val="16"/>
          </w:rPr>
          <w:t>567—paragraph 43.5(2)</w:t>
        </w:r>
      </w:hyperlink>
      <w:r>
        <w:rPr>
          <w:rFonts w:ascii="Times New Roman" w:hAnsi="Times New Roman"/>
          <w:b w:val="false"/>
          <w:i/>
          <w:color w:val="000000"/>
          <w:sz w:val="16"/>
        </w:rPr>
        <w:t>“a”</w:t>
      </w:r>
      <w:r>
        <w:rPr>
          <w:rFonts w:ascii="Times New Roman" w:hAnsi="Times New Roman"/>
          <w:b w:val="false"/>
          <w:i w:val="false"/>
          <w:color w:val="000000"/>
          <w:sz w:val="16"/>
        </w:rPr>
        <w:t xml:space="preserve"> contains more information. </w:t>
      </w:r>
    </w:p>
    <w:p>
      <w:pPr>
        <w:spacing w:before="0" w:after="0"/>
        <w:ind w:left="120"/>
        <w:jc w:val="both"/>
      </w:pPr>
      <w:r>
        <w:rPr>
          <w:rFonts w:ascii="Times New Roman" w:hAnsi="Times New Roman"/>
          <w:b w:val="false"/>
          <w:i w:val="false"/>
          <w:color w:val="000000"/>
          <w:sz w:val="16"/>
        </w:rPr>
        <w:t xml:space="preserve">**Conduct this monitoring to demonstrate compliance with </w:t>
      </w:r>
      <w:hyperlink r:id="rId369">
        <w:r>
          <w:rPr>
            <w:rStyle w:val="Hyperlink"/>
            <w:rFonts w:ascii="Times New Roman" w:hAnsi="Times New Roman"/>
            <w:b w:val="false"/>
            <w:i w:val="false"/>
            <w:color w:val="000000"/>
            <w:sz w:val="16"/>
          </w:rPr>
          <w:t>40.8(3)</w:t>
        </w:r>
      </w:hyperlink>
      <w:r>
        <w:rPr>
          <w:rFonts w:ascii="Times New Roman" w:hAnsi="Times New Roman"/>
          <w:b w:val="false"/>
          <w:i/>
          <w:color w:val="000000"/>
          <w:sz w:val="16"/>
        </w:rPr>
        <w:t>“b,”</w:t>
      </w:r>
      <w:hyperlink r:id="rId370">
        <w:r>
          <w:rPr>
            <w:rStyle w:val="Hyperlink"/>
            <w:rFonts w:ascii="Times New Roman" w:hAnsi="Times New Roman"/>
            <w:b w:val="false"/>
            <w:i w:val="false"/>
            <w:color w:val="000000"/>
            <w:sz w:val="16"/>
          </w:rPr>
          <w:t>567—subrules 43.5(2)</w:t>
        </w:r>
      </w:hyperlink>
      <w:r>
        <w:rPr>
          <w:rFonts w:ascii="Times New Roman" w:hAnsi="Times New Roman"/>
          <w:b w:val="false"/>
          <w:i w:val="false"/>
          <w:color w:val="000000"/>
          <w:sz w:val="16"/>
        </w:rPr>
        <w:t xml:space="preserve"> and </w:t>
      </w:r>
      <w:hyperlink r:id="rId371">
        <w:r>
          <w:rPr>
            <w:rStyle w:val="Hyperlink"/>
            <w:rFonts w:ascii="Times New Roman" w:hAnsi="Times New Roman"/>
            <w:b w:val="false"/>
            <w:i w:val="false"/>
            <w:color w:val="000000"/>
            <w:sz w:val="16"/>
          </w:rPr>
          <w:t>43.5(4)</w:t>
        </w:r>
      </w:hyperlink>
      <w:r>
        <w:rPr>
          <w:rFonts w:ascii="Times New Roman" w:hAnsi="Times New Roman"/>
          <w:b w:val="false"/>
          <w:i w:val="false"/>
          <w:color w:val="000000"/>
          <w:sz w:val="16"/>
        </w:rPr>
        <w:t xml:space="preserve">, and </w:t>
      </w:r>
      <w:hyperlink r:id="rId372">
        <w:r>
          <w:rPr>
            <w:rStyle w:val="Hyperlink"/>
            <w:rFonts w:ascii="Times New Roman" w:hAnsi="Times New Roman"/>
            <w:b w:val="false"/>
            <w:i w:val="false"/>
            <w:color w:val="000000"/>
            <w:sz w:val="16"/>
          </w:rPr>
          <w:t>567—43.6</w:t>
        </w:r>
      </w:hyperlink>
      <w:r>
        <w:rPr>
          <w:rFonts w:ascii="Times New Roman" w:hAnsi="Times New Roman"/>
          <w:b w:val="false"/>
          <w:i w:val="false"/>
          <w:color w:val="000000"/>
          <w:sz w:val="16"/>
        </w:rPr>
        <w:t xml:space="preserve">(455B). Systems serving 3,300 or fewer persons may take grab samples in lieu of providing continuous monitoring at the frequencies in </w:t>
      </w:r>
      <w:hyperlink r:id="rId373">
        <w:r>
          <w:rPr>
            <w:rStyle w:val="Hyperlink"/>
            <w:rFonts w:ascii="Times New Roman" w:hAnsi="Times New Roman"/>
            <w:b w:val="false"/>
            <w:i w:val="false"/>
            <w:color w:val="000000"/>
            <w:sz w:val="16"/>
          </w:rPr>
          <w:t>567—subparagraph 43.5(4)</w:t>
        </w:r>
      </w:hyperlink>
      <w:r>
        <w:rPr>
          <w:rFonts w:ascii="Times New Roman" w:hAnsi="Times New Roman"/>
          <w:b w:val="false"/>
          <w:i/>
          <w:color w:val="000000"/>
          <w:sz w:val="16"/>
        </w:rPr>
        <w:t>“b”</w:t>
      </w:r>
      <w:r>
        <w:rPr>
          <w:rFonts w:ascii="Times New Roman" w:hAnsi="Times New Roman"/>
          <w:b w:val="false"/>
          <w:i w:val="false"/>
          <w:color w:val="000000"/>
          <w:sz w:val="16"/>
        </w:rPr>
        <w:t>(2).</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Reverse Osmosis, Nanofiltration, or Electrodialysis.</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64"/>
        <w:gridCol w:w="2815"/>
        <w:gridCol w:w="2408"/>
        <w:gridCol w:w="2303"/>
      </w:tblGrid>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&lt;0.1 MGD</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w:t>
            </w:r>
            <w:r>
              <w:rPr>
                <w:rFonts w:ascii="Times New Roman" w:hAnsi="Times New Roman"/>
                <w:b/>
                <w:i w:val="false"/>
                <w:color w:val="000000"/>
                <w:sz w:val="18"/>
              </w:rPr>
              <w:t>0.1 MGD</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Parameter</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Alkalinity</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Antiscalant, quantity used</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Bypass flow or percent bypassed</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bypass: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Cleaning chemical, quantity used</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300"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Iron</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Manganese</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664"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pH</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Total Dissolved Solids</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bl>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Anion Exchange (i.e., Nitrate Reduction).</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64"/>
        <w:gridCol w:w="2815"/>
        <w:gridCol w:w="2408"/>
        <w:gridCol w:w="2303"/>
      </w:tblGrid>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&lt;0.1 MGD</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&gt;0.1 MGD</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Bypass flow or percent bypassed</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bypass: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Nitrate</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450"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Source water</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Document which sources were in use during each month and when well or source rotation occurs.</w:t>
            </w:r>
          </w:p>
        </w:tc>
      </w:tr>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Sulfate*</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bl>
    <w:p>
      <w:pPr>
        <w:spacing w:before="0" w:after="0"/>
        <w:ind w:left="120"/>
        <w:jc w:val="both"/>
      </w:pPr>
      <w:r>
        <w:rPr>
          <w:rFonts w:ascii="Times New Roman" w:hAnsi="Times New Roman"/>
          <w:b w:val="false"/>
          <w:i w:val="false"/>
          <w:color w:val="000000"/>
          <w:sz w:val="16"/>
        </w:rPr>
        <w:t>*If required by the department.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Activated Carbon or Air-Stripping for TTHM, VOC, or SOC Removal (GAC or PAC).</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64"/>
        <w:gridCol w:w="2815"/>
        <w:gridCol w:w="2408"/>
        <w:gridCol w:w="2303"/>
      </w:tblGrid>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&lt;0.1 MGD</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&gt;0.1 MGD</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TOC</w:t>
            </w:r>
          </w:p>
        </w:tc>
        <w:tc>
          <w:tcPr>
            <w:tcW w:w="2815"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4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1/quarter</w:t>
            </w:r>
          </w:p>
        </w:tc>
        <w:tc>
          <w:tcPr>
            <w:tcW w:w="230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bl>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 Lead and Copper: Corrosion Control and WQPs. The specific SMRs for corrosion control and WQPs are listed in </w:t>
      </w:r>
      <w:hyperlink r:id="rId374">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567—subrules </w:t>
      </w:r>
      <w:hyperlink r:id="rId375">
        <w:r>
          <w:rPr>
            <w:rStyle w:val="Hyperlink"/>
            <w:rFonts w:ascii="Times New Roman" w:hAnsi="Times New Roman"/>
            <w:b w:val="false"/>
            <w:i w:val="false"/>
            <w:color w:val="000000"/>
            <w:sz w:val="22"/>
          </w:rPr>
          <w:t>43.7(1)</w:t>
        </w:r>
      </w:hyperlink>
      <w:r>
        <w:rPr>
          <w:rFonts w:ascii="Times New Roman" w:hAnsi="Times New Roman"/>
          <w:b w:val="false"/>
          <w:i w:val="false"/>
          <w:color w:val="000000"/>
          <w:sz w:val="22"/>
        </w:rPr>
        <w:t xml:space="preserve"> and </w:t>
      </w:r>
      <w:hyperlink r:id="rId376">
        <w:r>
          <w:rPr>
            <w:rStyle w:val="Hyperlink"/>
            <w:rFonts w:ascii="Times New Roman" w:hAnsi="Times New Roman"/>
            <w:b w:val="false"/>
            <w:i w:val="false"/>
            <w:color w:val="000000"/>
            <w:sz w:val="22"/>
          </w:rPr>
          <w:t>43.7(2)</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 Hydrous Manganese Oxide (HMO) Filtration and Manganese Co-precipitation for Radium Removal.</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32"/>
        <w:gridCol w:w="3582"/>
        <w:gridCol w:w="3176"/>
      </w:tblGrid>
      <w:tr>
        <w:trPr>
          <w:trHeight w:val="255" w:hRule="atLeast"/>
        </w:trPr>
        <w:tc>
          <w:tcPr>
            <w:tcW w:w="4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 additive, quantity used</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4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Pumpage or Flow</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4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Bypass flow, percent bypass, or blend</w:t>
            </w:r>
          </w:p>
        </w:tc>
        <w:tc>
          <w:tcPr>
            <w:tcW w:w="3582"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bypass/blend:</w:t>
            </w:r>
          </w:p>
        </w:tc>
        <w:tc>
          <w:tcPr>
            <w:tcW w:w="317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bl>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Acrylamide and Epichlorohydrin Addition.</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32"/>
        <w:gridCol w:w="3582"/>
        <w:gridCol w:w="3176"/>
      </w:tblGrid>
      <w:tr>
        <w:trPr>
          <w:trHeight w:val="255" w:hRule="atLeast"/>
        </w:trPr>
        <w:tc>
          <w:tcPr>
            <w:tcW w:w="4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450"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 additive, third-party or manufacturer’s certification*</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Combination of dose and monomer level:</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Annually</w:t>
            </w:r>
          </w:p>
        </w:tc>
      </w:tr>
    </w:tbl>
    <w:p>
      <w:pPr>
        <w:spacing w:before="0" w:after="0"/>
        <w:ind w:left="120"/>
        <w:jc w:val="both"/>
      </w:pPr>
      <w:r>
        <w:rPr>
          <w:rFonts w:ascii="Times New Roman" w:hAnsi="Times New Roman"/>
          <w:b w:val="false"/>
          <w:i w:val="false"/>
          <w:color w:val="000000"/>
          <w:sz w:val="16"/>
        </w:rPr>
        <w:t xml:space="preserve">*Levels must not exceed values specified in </w:t>
      </w:r>
      <w:hyperlink r:id="rId377">
        <w:r>
          <w:rPr>
            <w:rStyle w:val="Hyperlink"/>
            <w:rFonts w:ascii="Times New Roman" w:hAnsi="Times New Roman"/>
            <w:b w:val="false"/>
            <w:i w:val="false"/>
            <w:color w:val="000000"/>
            <w:sz w:val="16"/>
          </w:rPr>
          <w:t>567—subparagraph 41.5(1)</w:t>
        </w:r>
      </w:hyperlink>
      <w:r>
        <w:rPr>
          <w:rFonts w:ascii="Times New Roman" w:hAnsi="Times New Roman"/>
          <w:b w:val="false"/>
          <w:i/>
          <w:color w:val="000000"/>
          <w:sz w:val="16"/>
        </w:rPr>
        <w:t>“b”</w:t>
      </w:r>
      <w:r>
        <w:rPr>
          <w:rFonts w:ascii="Times New Roman" w:hAnsi="Times New Roman"/>
          <w:b w:val="false"/>
          <w:i w:val="false"/>
          <w:color w:val="000000"/>
          <w:sz w:val="16"/>
        </w:rPr>
        <w:t>(2).</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Source Blending for Contaminant Control. Specific SMRs for source water blending to achieve compliance with an MCL, TT, AL, or HA will be specified in an operation permit on a case-by-case basis, in accordance with </w:t>
      </w:r>
      <w:r>
        <w:rPr>
          <w:rFonts w:ascii="Times New Roman" w:hAnsi="Times New Roman"/>
          <w:b w:val="false"/>
          <w:i w:val="false"/>
          <w:color w:val="000000"/>
          <w:sz w:val="22"/>
        </w:rPr>
        <w:t>40.8(3)</w:t>
      </w:r>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 xml:space="preserve">4-log Treatment of Viruses for GW Systems. Operation permits will include operational requirements for the approved 4-log virus treatment in accordance with </w:t>
      </w:r>
      <w:hyperlink r:id="rId378">
        <w:r>
          <w:rPr>
            <w:rStyle w:val="Hyperlink"/>
            <w:rFonts w:ascii="Times New Roman" w:hAnsi="Times New Roman"/>
            <w:b w:val="false"/>
            <w:i w:val="false"/>
            <w:color w:val="000000"/>
            <w:sz w:val="22"/>
          </w:rPr>
          <w:t>567—paragraph 41.7(4)</w:t>
        </w:r>
      </w:hyperlink>
      <w:r>
        <w:rPr>
          <w:rFonts w:ascii="Times New Roman" w:hAnsi="Times New Roman"/>
          <w:b w:val="false"/>
          <w:i/>
          <w:color w:val="000000"/>
          <w:sz w:val="22"/>
        </w:rPr>
        <w:t>“b.”</w:t>
      </w:r>
      <w:r>
        <w:rPr>
          <w:rFonts w:ascii="Times New Roman" w:hAnsi="Times New Roman"/>
          <w:b w:val="false"/>
          <w:i w:val="false"/>
          <w:color w:val="000000"/>
          <w:sz w:val="22"/>
        </w:rPr>
        <w:t xml:space="preserve"> All GW systems that provide at least 4-log virus treatment must measure the following parameters, where applicable.</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3456"/>
        <w:gridCol w:w="2304"/>
        <w:gridCol w:w="2304"/>
      </w:tblGrid>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Population Served: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25 - 3,300</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&gt;3,300</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 disinfectant*</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continuously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Contact tank level</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level: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Peak flow rate</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flow meter: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continuously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Temperature***</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bl>
    <w:p>
      <w:pPr>
        <w:spacing w:before="0" w:after="0"/>
        <w:ind w:left="120"/>
        <w:jc w:val="both"/>
      </w:pPr>
      <w:r>
        <w:rPr>
          <w:rFonts w:ascii="Times New Roman" w:hAnsi="Times New Roman"/>
          <w:b w:val="false"/>
          <w:i w:val="false"/>
          <w:color w:val="000000"/>
          <w:sz w:val="16"/>
        </w:rPr>
        <w:t xml:space="preserve">*Monitor residual disinfectant concentration using the analytical methods in </w:t>
      </w:r>
      <w:hyperlink r:id="rId379">
        <w:r>
          <w:rPr>
            <w:rStyle w:val="Hyperlink"/>
            <w:rFonts w:ascii="Times New Roman" w:hAnsi="Times New Roman"/>
            <w:b w:val="false"/>
            <w:i w:val="false"/>
            <w:color w:val="000000"/>
            <w:sz w:val="16"/>
          </w:rPr>
          <w:t>567—subparagraph 43.5(4)</w:t>
        </w:r>
      </w:hyperlink>
      <w:r>
        <w:rPr>
          <w:rFonts w:ascii="Times New Roman" w:hAnsi="Times New Roman"/>
          <w:b w:val="false"/>
          <w:i/>
          <w:color w:val="000000"/>
          <w:sz w:val="16"/>
        </w:rPr>
        <w:t>“a”</w:t>
      </w:r>
      <w:r>
        <w:rPr>
          <w:rFonts w:ascii="Times New Roman" w:hAnsi="Times New Roman"/>
          <w:b w:val="false"/>
          <w:i w:val="false"/>
          <w:color w:val="000000"/>
          <w:sz w:val="16"/>
        </w:rPr>
        <w:t>(5) at a department-approved location. Record the concentration each day that water is served to the public.</w:t>
      </w:r>
    </w:p>
    <w:p>
      <w:pPr>
        <w:spacing w:before="0" w:after="0"/>
        <w:ind w:left="120"/>
        <w:jc w:val="both"/>
      </w:pPr>
      <w:r>
        <w:rPr>
          <w:rFonts w:ascii="Times New Roman" w:hAnsi="Times New Roman"/>
          <w:b w:val="false"/>
          <w:i w:val="false"/>
          <w:color w:val="000000"/>
          <w:sz w:val="16"/>
        </w:rPr>
        <w:t>**GW systems must collect a daily grab sample during the hour of peak flow or at another department-specified time.</w:t>
      </w:r>
    </w:p>
    <w:p>
      <w:pPr>
        <w:spacing w:before="0" w:after="0"/>
        <w:ind w:left="120"/>
        <w:jc w:val="both"/>
      </w:pPr>
      <w:r>
        <w:rPr>
          <w:rFonts w:ascii="Times New Roman" w:hAnsi="Times New Roman"/>
          <w:b w:val="false"/>
          <w:i w:val="false"/>
          <w:color w:val="000000"/>
          <w:sz w:val="16"/>
        </w:rPr>
        <w:t xml:space="preserve">***Daily temperature monitoring is assigned initially for one year so that the lowest temperature can be determined and assigned for subsequent compliance monitoring. </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Biological Treatment Process for Ammonia Removal. Operation permits may include additional mandatory operational requirements for the treatment process.</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32"/>
        <w:gridCol w:w="3582"/>
        <w:gridCol w:w="3176"/>
      </w:tblGrid>
      <w:tr>
        <w:trPr>
          <w:trHeight w:val="255" w:hRule="atLeast"/>
        </w:trPr>
        <w:tc>
          <w:tcPr>
            <w:tcW w:w="4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4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Ammonia, as N**</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4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Dissolved oxygen (DO)</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contactor inlet:</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contactor outlet:</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4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Nitrite, as N**</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44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8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distribution system*:</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bl>
    <w:p>
      <w:pPr>
        <w:spacing w:before="0" w:after="0"/>
        <w:ind w:left="120"/>
        <w:jc w:val="both"/>
      </w:pPr>
      <w:r>
        <w:rPr>
          <w:rFonts w:ascii="Times New Roman" w:hAnsi="Times New Roman"/>
          <w:b w:val="false"/>
          <w:i w:val="false"/>
          <w:color w:val="000000"/>
          <w:sz w:val="16"/>
        </w:rPr>
        <w:t>*One sample from the finished water must be collected monthly, split for analysis, and analyzed by a certified laboratory and the system.</w:t>
      </w:r>
    </w:p>
    <w:p>
      <w:pPr>
        <w:spacing w:before="0" w:after="0"/>
        <w:ind w:left="120"/>
        <w:jc w:val="both"/>
      </w:pPr>
      <w:r>
        <w:rPr>
          <w:rFonts w:ascii="Times New Roman" w:hAnsi="Times New Roman"/>
          <w:b w:val="false"/>
          <w:i w:val="false"/>
          <w:color w:val="000000"/>
          <w:sz w:val="16"/>
        </w:rPr>
        <w:t xml:space="preserve">**The department may reduce the required sampling frequency once nitrification is achieved in the biological filter or contactor and the system is consistently using free available chlorine for disinfection.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Membrane Filtration (including micro and ultra filtration).</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3456"/>
        <w:gridCol w:w="4608"/>
      </w:tblGrid>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Antiscalant, quantity used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Cleaning chemical, quantity used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Direct integrity test (DIT)*</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membrane unit: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Indirect integrity test**</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membrane unit: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continuous**</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Log removal value (LRV)*</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membrane unit: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64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Upper control limit***</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membrane unit: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If the DIT result exceeds the control limit, the system must remove the membrane from service.</w:t>
            </w:r>
          </w:p>
        </w:tc>
      </w:tr>
      <w:tr>
        <w:trPr>
          <w:trHeight w:val="64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Continuous turbidity monitoring equipment****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Each turbidimeter used for compliance must be verified with a grab sample measurement at least once per week.</w:t>
            </w:r>
          </w:p>
        </w:tc>
      </w:tr>
    </w:tbl>
    <w:p>
      <w:pPr>
        <w:spacing w:before="0" w:after="0"/>
        <w:ind w:left="120"/>
        <w:jc w:val="both"/>
      </w:pPr>
      <w:r>
        <w:rPr>
          <w:rFonts w:ascii="Times New Roman" w:hAnsi="Times New Roman"/>
          <w:b w:val="false"/>
          <w:i w:val="false"/>
          <w:color w:val="000000"/>
          <w:sz w:val="16"/>
        </w:rPr>
        <w:t>*Conduct DITs on each membrane unit at a frequency of not less than once each day that the membrane unit is in operation and to verify repairs.</w:t>
      </w:r>
    </w:p>
    <w:p>
      <w:pPr>
        <w:spacing w:before="0" w:after="0"/>
        <w:ind w:left="120"/>
        <w:jc w:val="both"/>
      </w:pPr>
      <w:r>
        <w:rPr>
          <w:rFonts w:ascii="Times New Roman" w:hAnsi="Times New Roman"/>
          <w:b w:val="false"/>
          <w:i w:val="false"/>
          <w:color w:val="000000"/>
          <w:sz w:val="16"/>
        </w:rPr>
        <w:t>**Unless the department approves an alternative parameter, continuous indirect integrity monitoring must include continuous filtrate turbidity monitoring conducted at a frequency of no less than once every 15 minutes on each membrane unit.</w:t>
      </w:r>
    </w:p>
    <w:p>
      <w:pPr>
        <w:spacing w:before="0" w:after="0"/>
        <w:ind w:left="120"/>
        <w:jc w:val="both"/>
      </w:pPr>
      <w:r>
        <w:rPr>
          <w:rFonts w:ascii="Times New Roman" w:hAnsi="Times New Roman"/>
          <w:b w:val="false"/>
          <w:i w:val="false"/>
          <w:color w:val="000000"/>
          <w:sz w:val="16"/>
        </w:rPr>
        <w:t xml:space="preserve">***Systems must establish a control limit within the DIT sensitivity limits in order to demonstrate compliance with 567—paragraphs </w:t>
      </w:r>
      <w:r>
        <w:rPr>
          <w:rFonts w:ascii="Times New Roman" w:hAnsi="Times New Roman"/>
          <w:b w:val="false"/>
          <w:i w:val="false"/>
          <w:color w:val="000000"/>
          <w:sz w:val="16"/>
        </w:rPr>
        <w:t>43.11(12)</w:t>
      </w:r>
      <w:r>
        <w:rPr>
          <w:rFonts w:ascii="Times New Roman" w:hAnsi="Times New Roman"/>
          <w:b w:val="false"/>
          <w:i/>
          <w:color w:val="000000"/>
          <w:sz w:val="16"/>
        </w:rPr>
        <w:t>“b”</w:t>
      </w:r>
      <w:r>
        <w:rPr>
          <w:rFonts w:ascii="Times New Roman" w:hAnsi="Times New Roman"/>
          <w:b w:val="false"/>
          <w:i w:val="false"/>
          <w:color w:val="000000"/>
          <w:sz w:val="16"/>
        </w:rPr>
        <w:t>(3)“4” and “5.”</w:t>
      </w:r>
    </w:p>
    <w:p>
      <w:pPr>
        <w:spacing w:before="0" w:after="0"/>
        <w:ind w:left="120"/>
        <w:jc w:val="both"/>
      </w:pPr>
      <w:r>
        <w:rPr>
          <w:rFonts w:ascii="Times New Roman" w:hAnsi="Times New Roman"/>
          <w:b w:val="false"/>
          <w:i w:val="false"/>
          <w:color w:val="000000"/>
          <w:sz w:val="16"/>
        </w:rPr>
        <w:t xml:space="preserve">****The calibration of each turbidimeter used for compliance must be verified to demonstrate compliance with 567—paragraphs </w:t>
      </w:r>
      <w:r>
        <w:rPr>
          <w:rFonts w:ascii="Times New Roman" w:hAnsi="Times New Roman"/>
          <w:b w:val="false"/>
          <w:i w:val="false"/>
          <w:color w:val="000000"/>
          <w:sz w:val="16"/>
        </w:rPr>
        <w:t>43.9(4)</w:t>
      </w:r>
      <w:r>
        <w:rPr>
          <w:rFonts w:ascii="Times New Roman" w:hAnsi="Times New Roman"/>
          <w:b w:val="false"/>
          <w:i/>
          <w:color w:val="000000"/>
          <w:sz w:val="16"/>
        </w:rPr>
        <w:t>“a”</w:t>
      </w:r>
      <w:r>
        <w:rPr>
          <w:rFonts w:ascii="Times New Roman" w:hAnsi="Times New Roman"/>
          <w:b w:val="false"/>
          <w:i w:val="false"/>
          <w:color w:val="000000"/>
          <w:sz w:val="16"/>
        </w:rPr>
        <w:t xml:space="preserve"> and </w:t>
      </w:r>
      <w:r>
        <w:rPr>
          <w:rFonts w:ascii="Times New Roman" w:hAnsi="Times New Roman"/>
          <w:b w:val="false"/>
          <w:i w:val="false"/>
          <w:color w:val="000000"/>
          <w:sz w:val="16"/>
        </w:rPr>
        <w:t>43.10(5)</w:t>
      </w:r>
      <w:r>
        <w:rPr>
          <w:rFonts w:ascii="Times New Roman" w:hAnsi="Times New Roman"/>
          <w:b w:val="false"/>
          <w:i/>
          <w:color w:val="000000"/>
          <w:sz w:val="16"/>
        </w:rPr>
        <w:t>“a.”</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 xml:space="preserve">CWS and NTNC Systems Using Ozone Treatment. CWS and NTNC systems that use ozone in their treatment process must comply with the bromide requirements of subrule </w:t>
      </w:r>
      <w:hyperlink r:id="rId380">
        <w:r>
          <w:rPr>
            <w:rStyle w:val="Hyperlink"/>
            <w:rFonts w:ascii="Times New Roman" w:hAnsi="Times New Roman"/>
            <w:b w:val="false"/>
            <w:i w:val="false"/>
            <w:color w:val="000000"/>
            <w:sz w:val="22"/>
          </w:rPr>
          <w:t>567—43.6</w:t>
        </w:r>
      </w:hyperlink>
      <w:r>
        <w:rPr>
          <w:rFonts w:ascii="Times New Roman" w:hAnsi="Times New Roman"/>
          <w:b w:val="false"/>
          <w:i w:val="false"/>
          <w:color w:val="000000"/>
          <w:sz w:val="22"/>
        </w:rPr>
        <w:t>(2). </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918"/>
        <w:gridCol w:w="4301"/>
        <w:gridCol w:w="4301"/>
      </w:tblGrid>
      <w:tr>
        <w:trPr>
          <w:trHeight w:val="255" w:hRule="atLeast"/>
        </w:trPr>
        <w:tc>
          <w:tcPr>
            <w:tcW w:w="291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301"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43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255" w:hRule="atLeast"/>
        </w:trPr>
        <w:tc>
          <w:tcPr>
            <w:tcW w:w="2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43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43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2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Bromate</w:t>
            </w:r>
          </w:p>
        </w:tc>
        <w:tc>
          <w:tcPr>
            <w:tcW w:w="4301"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43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bl>
    <w:p>
      <w:pPr>
        <w:spacing w:before="0" w:after="0"/>
        <w:ind w:left="120"/>
        <w:jc w:val="both"/>
      </w:pPr>
      <w:r>
        <w:rPr>
          <w:rFonts w:ascii="Times New Roman" w:hAnsi="Times New Roman"/>
          <w:b w:val="false"/>
          <w:i w:val="false"/>
          <w:color w:val="000000"/>
          <w:sz w:val="16"/>
        </w:rPr>
        <w:t xml:space="preserve">*The department may allow systems required to analyze for bromate to reduce bromate monitoring from monthly to once per quarter if a system demonstrates that the average source water bromide concentration is less than 0.05 mg/L based on representative monthly measurements for one year. Systems must continue bromide monitoring to remain on reduced bromate monitoring.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Ultraviolet Light (UV). All CWS and NTNC systems must comply with these requirements. </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2880"/>
        <w:gridCol w:w="2880"/>
      </w:tblGrid>
      <w:tr>
        <w:trPr>
          <w:trHeight w:val="255" w:hRule="atLeast"/>
        </w:trPr>
        <w:tc>
          <w:tcPr>
            <w:tcW w:w="57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Parameter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Alarm during off-specification conditions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reactor: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 minutes</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UV intensity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lamp:</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UVT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lamp:</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64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Ratio of minimum UV dose calculated and recorded every 4 hours to the required UV dose, OR calculate and record the log inactivation every four hours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reactor: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Lamp status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lamp:</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 hours**</w:t>
            </w:r>
          </w:p>
        </w:tc>
      </w:tr>
      <w:tr>
        <w:trPr>
          <w:trHeight w:val="255" w:hRule="atLeast"/>
        </w:trPr>
        <w:tc>
          <w:tcPr>
            <w:tcW w:w="576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Individual UV reactor flow</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reactor: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 hours</w:t>
            </w:r>
          </w:p>
        </w:tc>
      </w:tr>
      <w:tr>
        <w:trPr>
          <w:trHeight w:val="255" w:hRule="atLeast"/>
        </w:trPr>
        <w:tc>
          <w:tcPr>
            <w:tcW w:w="576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max UV flow:</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total UV flow:</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 total</w:t>
            </w:r>
          </w:p>
        </w:tc>
      </w:tr>
      <w:tr>
        <w:trPr>
          <w:trHeight w:val="255" w:hRule="atLeast"/>
        </w:trPr>
        <w:tc>
          <w:tcPr>
            <w:tcW w:w="576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Total volume of off-specification water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reactor: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all reactors: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monthly total</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Percent of off-specification water produced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all reactors: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monthly total</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Perform UVT analyzer check protocol</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Perform UV sensor verification*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sensor: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bl>
    <w:p>
      <w:pPr>
        <w:spacing w:before="0" w:after="0"/>
        <w:ind w:left="120"/>
        <w:jc w:val="both"/>
      </w:pPr>
      <w:r>
        <w:rPr>
          <w:rFonts w:ascii="Times New Roman" w:hAnsi="Times New Roman"/>
          <w:b w:val="false"/>
          <w:i w:val="false"/>
          <w:color w:val="000000"/>
          <w:sz w:val="16"/>
        </w:rPr>
        <w:t>*Reference sensor(s) must be calibrated at least once per year at a qualified facility against a traceable standard. Calibration records must be maintained for inspection during sanitary surveys. If the reference sensor is found to be out of calibration, the calibration frequency should be increased.</w:t>
      </w:r>
    </w:p>
    <w:p>
      <w:pPr>
        <w:spacing w:before="0" w:after="0"/>
        <w:ind w:left="120"/>
        <w:jc w:val="both"/>
      </w:pPr>
      <w:r>
        <w:rPr>
          <w:rFonts w:ascii="Times New Roman" w:hAnsi="Times New Roman"/>
          <w:b w:val="false"/>
          <w:i w:val="false"/>
          <w:color w:val="000000"/>
          <w:sz w:val="16"/>
        </w:rPr>
        <w:t>**Systems serving fewer than 500 persons may record lamp status 1/day.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 xml:space="preserve">Chlorine Dioxide. All CWS, NTNC and TNC systems must comply with these requirements. In the event of an acute or nonacute violation, systems must also comply with </w:t>
      </w:r>
      <w:hyperlink r:id="rId381">
        <w:r>
          <w:rPr>
            <w:rStyle w:val="Hyperlink"/>
            <w:rFonts w:ascii="Times New Roman" w:hAnsi="Times New Roman"/>
            <w:b w:val="false"/>
            <w:i w:val="false"/>
            <w:color w:val="000000"/>
            <w:sz w:val="22"/>
          </w:rPr>
          <w:t>567—paragraph 43.6(1)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4608"/>
        <w:gridCol w:w="3456"/>
      </w:tblGrid>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 dioxide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Chlorite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bl>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Copper Ion Generator.</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4608"/>
        <w:gridCol w:w="3456"/>
      </w:tblGrid>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8"/>
              </w:rPr>
              <w:t>Pumpage or Flow:</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All</w:t>
            </w:r>
          </w:p>
        </w:tc>
      </w:tr>
      <w:tr>
        <w:trPr>
          <w:trHeight w:val="37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Parameter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Sample Site</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r>
      <w:tr>
        <w:trPr>
          <w:trHeight w:val="255" w:hRule="atLeast"/>
        </w:trPr>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 residual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finished: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r>
        <w:trPr>
          <w:trHeight w:val="25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injection stream:</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1/week</w:t>
            </w:r>
          </w:p>
        </w:tc>
      </w:tr>
    </w:tbl>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3/22/85, Notice 9/12/84—published 4/10/85, effective 5/15/85]</w:t>
      </w:r>
    </w:p>
    <w:p>
      <w:pPr>
        <w:spacing w:before="0" w:after="0"/>
        <w:ind w:left="120"/>
        <w:jc w:val="center"/>
      </w:pPr>
      <w:r>
        <w:rPr>
          <w:rFonts w:ascii="Times New Roman" w:hAnsi="Times New Roman"/>
          <w:b w:val="false"/>
          <w:i w:val="false"/>
          <w:color w:val="000000"/>
          <w:sz w:val="21"/>
        </w:rPr>
        <w:t>[Filed emergency 8/22/86—published 9/10/86, effective 8/22/86]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4/29/88, Notice 3/9/88—published 5/18/88, effective 6/22/88]</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11/26/90, Notice 6/13/90—published 12/12/90, effective 1/16/91]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9/25/92, Notice 6/10/92—published 10/14/92, effective 11/18/92]</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[Filed 1/27/95, Notice 10/12/94—published 2/15/95, effective 3/22/95]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8/25/95—published 9/13/95, effective 8/25/95]</w:t>
      </w:r>
    </w:p>
    <w:p>
      <w:pPr>
        <w:spacing w:before="0" w:after="0"/>
        <w:ind w:left="120"/>
        <w:jc w:val="center"/>
      </w:pPr>
      <w:r>
        <w:rPr>
          <w:rFonts w:ascii="Times New Roman" w:hAnsi="Times New Roman"/>
          <w:b w:val="false"/>
          <w:i w:val="false"/>
          <w:color w:val="000000"/>
          <w:sz w:val="21"/>
        </w:rPr>
        <w:t>[Filed 3/22/96, Notice 11/8/95—published 4/10/96, effective 5/15/96]</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7/6/07, Notice 3/28/07—published 8/1/07, effective 9/5/07]</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6190C</w:t>
      </w:r>
      <w:r>
        <w:rPr>
          <w:rFonts w:ascii="Times New Roman" w:hAnsi="Times New Roman"/>
          <w:b w:val="false"/>
          <w:i w:val="false"/>
          <w:color w:val="000000"/>
          <w:sz w:val="21"/>
        </w:rPr>
        <w:t xml:space="preserve"> (Notice ARC 6037C,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9395C</w:t>
      </w:r>
      <w:r>
        <w:rPr>
          <w:rFonts w:ascii="Times New Roman" w:hAnsi="Times New Roman"/>
          <w:b w:val="false"/>
          <w:i w:val="false"/>
          <w:color w:val="000000"/>
          <w:sz w:val="21"/>
        </w:rPr>
        <w:t xml:space="preserve"> (Notice ARC 8616C, IAB 1/8/25)</w:t>
      </w:r>
      <w:r>
        <w:rPr>
          <w:rFonts w:ascii="Times New Roman" w:hAnsi="Times New Roman"/>
          <w:b w:val="false"/>
          <w:i w:val="false"/>
          <w:color w:val="000000"/>
          <w:sz w:val="21"/>
        </w:rPr>
        <w:t>, IAB 7/9/25, effective 8/13/25]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definitions “Population served” and “Service connections” and rule 40.5(17A,455B) delayed until adjournment of the 1995 General Assembly by the Administrative Rules Review Committee at its meeting held March 13, 1995.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39.pdf" Type="http://schemas.openxmlformats.org/officeDocument/2006/relationships/hyperlink" Id="rId5"/>
    <Relationship TargetMode="External" Target="https://www.legis.iowa.gov/docs/iac/chapter/567.40.pdf" Type="http://schemas.openxmlformats.org/officeDocument/2006/relationships/hyperlink" Id="rId6"/>
    <Relationship TargetMode="External" Target="https://www.legis.iowa.gov/docs/iac/chapter/567.41.pdf" Type="http://schemas.openxmlformats.org/officeDocument/2006/relationships/hyperlink" Id="rId7"/>
    <Relationship TargetMode="External" Target="https://www.legis.iowa.gov/docs/iac/chapter/567.43.pdf" Type="http://schemas.openxmlformats.org/officeDocument/2006/relationships/hyperlink" Id="rId8"/>
    <Relationship TargetMode="External" Target="https://www.legis.iowa.gov/docs/iac/chapter/567.44.pdf" Type="http://schemas.openxmlformats.org/officeDocument/2006/relationships/hyperlink" Id="rId9"/>
    <Relationship TargetMode="External" Target="https://www.legis.iowa.gov/docs/iac/chapter/567.49.pdf" Type="http://schemas.openxmlformats.org/officeDocument/2006/relationships/hyperlink" Id="rId10"/>
    <Relationship TargetMode="External" Target="https://www.legis.iowa.gov/docs/iac/chapter/567.50.pdf" Type="http://schemas.openxmlformats.org/officeDocument/2006/relationships/hyperlink" Id="rId11"/>
    <Relationship TargetMode="External" Target="https://www.legis.iowa.gov/docs/iac/chapter/567.53.pdf" Type="http://schemas.openxmlformats.org/officeDocument/2006/relationships/hyperlink" Id="rId12"/>
    <Relationship TargetMode="External" Target="https://www.legis.iowa.gov/docs/iac/chapter/567.54.pdf" Type="http://schemas.openxmlformats.org/officeDocument/2006/relationships/hyperlink" Id="rId13"/>
    <Relationship TargetMode="External" Target="https://www.legis.iowa.gov/docs/iac/chapter/567.55.pdf" Type="http://schemas.openxmlformats.org/officeDocument/2006/relationships/hyperlink" Id="rId14"/>
    <Relationship TargetMode="External" Target="https://www.legis.iowa.gov/docs/iac/chapter/567.81.pdf" Type="http://schemas.openxmlformats.org/officeDocument/2006/relationships/hyperlink" Id="rId15"/>
    <Relationship TargetMode="External" Target="https://www.legis.iowa.gov/docs/iac/chapter/567.82.pdf" Type="http://schemas.openxmlformats.org/officeDocument/2006/relationships/hyperlink" Id="rId16"/>
    <Relationship TargetMode="External" Target="https://www.legis.iowa.gov/docs/iac/chapter/567.83.pdf" Type="http://schemas.openxmlformats.org/officeDocument/2006/relationships/hyperlink" Id="rId17"/>
    <Relationship TargetMode="External" Target="https://www.legis.iowa.gov/docs/iac/rule/567.40.1.pdf" Type="http://schemas.openxmlformats.org/officeDocument/2006/relationships/hyperlink" Id="rId18"/>
    <Relationship TargetMode="External" Target="https://www.legis.iowa.gov/docs/ico/chapter/16.pdf" Type="http://schemas.openxmlformats.org/officeDocument/2006/relationships/hyperlink" Id="rId19"/>
    <Relationship TargetMode="External" Target="https://www.legis.iowa.gov/docs/iac/rule/567.41.2.pdf" Type="http://schemas.openxmlformats.org/officeDocument/2006/relationships/hyperlink" Id="rId20"/>
    <Relationship TargetMode="External" Target="https://www.legis.iowa.gov/docs/iac/rule/567.41.2.pdf" Type="http://schemas.openxmlformats.org/officeDocument/2006/relationships/hyperlink" Id="rId21"/>
    <Relationship TargetMode="External" Target="https://www.legis.iowa.gov/docs/iac/rule/567.43.9.pdf" Type="http://schemas.openxmlformats.org/officeDocument/2006/relationships/hyperlink" Id="rId22"/>
    <Relationship TargetMode="External" Target="https://www.legis.iowa.gov/docs/iac/rule/567.43.10.pdf" Type="http://schemas.openxmlformats.org/officeDocument/2006/relationships/hyperlink" Id="rId23"/>
    <Relationship TargetMode="External" Target="https://www.legis.iowa.gov/docs/iac/rule/567.41.4.pdf" Type="http://schemas.openxmlformats.org/officeDocument/2006/relationships/hyperlink" Id="rId24"/>
    <Relationship TargetMode="External" Target="http://www.epa.gov/sdwa/drinking-water-health-advisories-has" Type="http://schemas.openxmlformats.org/officeDocument/2006/relationships/hyperlink" Id="rId25"/>
    <Relationship TargetMode="External" Target="https://www.legis.iowa.gov/docs/iac/rule/567.43.5.pdf" Type="http://schemas.openxmlformats.org/officeDocument/2006/relationships/hyperlink" Id="rId26"/>
    <Relationship TargetMode="External" Target="https://www.legis.iowa.gov/docs/iac/chapter/567.40.pdf" Type="http://schemas.openxmlformats.org/officeDocument/2006/relationships/hyperlink" Id="rId27"/>
    <Relationship TargetMode="External" Target="https://www.legis.iowa.gov/docs/iac/chapter/567.41.pdf" Type="http://schemas.openxmlformats.org/officeDocument/2006/relationships/hyperlink" Id="rId28"/>
    <Relationship TargetMode="External" Target="https://www.legis.iowa.gov/docs/iac/chapter/567.43.pdf" Type="http://schemas.openxmlformats.org/officeDocument/2006/relationships/hyperlink" Id="rId29"/>
    <Relationship TargetMode="External" Target="https://www.legis.iowa.gov/docs/iac/rule/567.44.8.pdf" Type="http://schemas.openxmlformats.org/officeDocument/2006/relationships/hyperlink" Id="rId30"/>
    <Relationship TargetMode="External" Target="https://www.legis.iowa.gov/docs/iac/rule/567.44.7.pdf" Type="http://schemas.openxmlformats.org/officeDocument/2006/relationships/hyperlink" Id="rId31"/>
    <Relationship TargetMode="External" Target="https://www.legis.iowa.gov/docs/iac/rule/567.43.1.pdf" Type="http://schemas.openxmlformats.org/officeDocument/2006/relationships/hyperlink" Id="rId32"/>
    <Relationship TargetMode="External" Target="https://www.legis.iowa.gov/docs/iac/rule/567.41.4.pdf" Type="http://schemas.openxmlformats.org/officeDocument/2006/relationships/hyperlink" Id="rId33"/>
    <Relationship TargetMode="External" Target="http://www.health.state.mn.us/communities/environment/water/tenstates/standards.html" Type="http://schemas.openxmlformats.org/officeDocument/2006/relationships/hyperlink" Id="rId34"/>
    <Relationship TargetMode="External" Target="https://www.legis.iowa.gov/docs/iac/rule/567.40.7.pdf" Type="http://schemas.openxmlformats.org/officeDocument/2006/relationships/hyperlink" Id="rId35"/>
    <Relationship TargetMode="External" Target="https://www.legis.iowa.gov/docs/ico/chapter/455B.211.pdf" Type="http://schemas.openxmlformats.org/officeDocument/2006/relationships/hyperlink" Id="rId36"/>
    <Relationship TargetMode="External" Target="https://www.legis.iowa.gov/docs/ico/chapter/455B.101.pdf" Type="http://schemas.openxmlformats.org/officeDocument/2006/relationships/hyperlink" Id="rId37"/>
    <Relationship TargetMode="External" Target="https://www.legis.iowa.gov/docs/ico/chapter/455B.171.pdf" Type="http://schemas.openxmlformats.org/officeDocument/2006/relationships/hyperlink" Id="rId38"/>
    <Relationship TargetMode="External" Target="http://webstore.ansi.org" Type="http://schemas.openxmlformats.org/officeDocument/2006/relationships/hyperlink" Id="rId39"/>
    <Relationship TargetMode="External" Target="http://www.apha.org" Type="http://schemas.openxmlformats.org/officeDocument/2006/relationships/hyperlink" Id="rId40"/>
    <Relationship TargetMode="External" Target="http://www.api.org/products-and-services/standards" Type="http://schemas.openxmlformats.org/officeDocument/2006/relationships/hyperlink" Id="rId41"/>
    <Relationship TargetMode="External" Target="http://www.ashrae.org/technical-resources/standards-and-guidelines" Type="http://schemas.openxmlformats.org/officeDocument/2006/relationships/hyperlink" Id="rId42"/>
    <Relationship TargetMode="External" Target="http://www.asme.org/codes-standards" Type="http://schemas.openxmlformats.org/officeDocument/2006/relationships/hyperlink" Id="rId43"/>
    <Relationship TargetMode="External" Target="http://www.astm.org/products-services/standards-and-publications.html" Type="http://schemas.openxmlformats.org/officeDocument/2006/relationships/hyperlink" Id="rId44"/>
    <Relationship TargetMode="External" Target="http://www.aws.org/Standards-and-Publications" Type="http://schemas.openxmlformats.org/officeDocument/2006/relationships/hyperlink" Id="rId45"/>
    <Relationship TargetMode="External" Target="http://www.awwa.org/Publications/Standards" Type="http://schemas.openxmlformats.org/officeDocument/2006/relationships/hyperlink" Id="rId46"/>
    <Relationship TargetMode="External" Target="http://iowadot.gov/specifications" Type="http://schemas.openxmlformats.org/officeDocument/2006/relationships/hyperlink" Id="rId47"/>
    <Relationship TargetMode="External" Target="http://www.ampp.org/standards/ampp-standards/about-ampp-standards" Type="http://schemas.openxmlformats.org/officeDocument/2006/relationships/hyperlink" Id="rId48"/>
    <Relationship TargetMode="External" Target="http://www.archives.gov" Type="http://schemas.openxmlformats.org/officeDocument/2006/relationships/hyperlink" Id="rId49"/>
    <Relationship TargetMode="External" Target="http://www.nfpa.org" Type="http://schemas.openxmlformats.org/officeDocument/2006/relationships/hyperlink" Id="rId50"/>
    <Relationship TargetMode="External" Target="http://www.nemi.gov" Type="http://schemas.openxmlformats.org/officeDocument/2006/relationships/hyperlink" Id="rId51"/>
    <Relationship TargetMode="External" Target="http://www.ngwa.org/publications-and-news/industry-resource-library" Type="http://schemas.openxmlformats.org/officeDocument/2006/relationships/hyperlink" Id="rId52"/>
    <Relationship TargetMode="External" Target="http://www.nsf.org/nsf-standards" Type="http://schemas.openxmlformats.org/officeDocument/2006/relationships/hyperlink" Id="rId53"/>
    <Relationship TargetMode="External" Target="http://www.ntis.gov" Type="http://schemas.openxmlformats.org/officeDocument/2006/relationships/hyperlink" Id="rId54"/>
    <Relationship TargetMode="External" Target="http://www.standardmethods.org" Type="http://schemas.openxmlformats.org/officeDocument/2006/relationships/hyperlink" Id="rId55"/>
    <Relationship TargetMode="External" Target="http://www.usgs.gov" Type="http://schemas.openxmlformats.org/officeDocument/2006/relationships/hyperlink" Id="rId56"/>
    <Relationship TargetMode="External" Target="http://www.watersystemscouncil.org/resources/well-standards" Type="http://schemas.openxmlformats.org/officeDocument/2006/relationships/hyperlink" Id="rId57"/>
    <Relationship TargetMode="External" Target="http://www.iowadnr.gov" Type="http://schemas.openxmlformats.org/officeDocument/2006/relationships/hyperlink" Id="rId58"/>
    <Relationship TargetMode="External" Target="https://www.legis.iowa.gov/docs/iac/chapter/567.43.pdf" Type="http://schemas.openxmlformats.org/officeDocument/2006/relationships/hyperlink" Id="rId59"/>
    <Relationship TargetMode="External" Target="https://www.legis.iowa.gov/docs/iac/chapter/567.43.pdf" Type="http://schemas.openxmlformats.org/officeDocument/2006/relationships/hyperlink" Id="rId60"/>
    <Relationship TargetMode="External" Target="https://www.legis.iowa.gov/docs/iac/rule/567.43.3.pdf" Type="http://schemas.openxmlformats.org/officeDocument/2006/relationships/hyperlink" Id="rId61"/>
    <Relationship TargetMode="External" Target="https://www.legis.iowa.gov/docs/iac/rule/567.40.4.pdf" Type="http://schemas.openxmlformats.org/officeDocument/2006/relationships/hyperlink" Id="rId62"/>
    <Relationship TargetMode="External" Target="https://www.legis.iowa.gov/docs/iac/chapter/567.43.pdf" Type="http://schemas.openxmlformats.org/officeDocument/2006/relationships/hyperlink" Id="rId63"/>
    <Relationship TargetMode="External" Target="https://www.legis.iowa.gov/docs/iac/chapter/567.40.pdf" Type="http://schemas.openxmlformats.org/officeDocument/2006/relationships/hyperlink" Id="rId64"/>
    <Relationship TargetMode="External" Target="https://www.legis.iowa.gov/docs/iac/chapter/567.41.pdf" Type="http://schemas.openxmlformats.org/officeDocument/2006/relationships/hyperlink" Id="rId65"/>
    <Relationship TargetMode="External" Target="https://www.legis.iowa.gov/docs/iac/chapter/567.43.pdf" Type="http://schemas.openxmlformats.org/officeDocument/2006/relationships/hyperlink" Id="rId66"/>
    <Relationship TargetMode="External" Target="https://www.legis.iowa.gov/docs/iac/rule/567.40.5.pdf" Type="http://schemas.openxmlformats.org/officeDocument/2006/relationships/hyperlink" Id="rId67"/>
    <Relationship TargetMode="External" Target="https://www.legis.iowa.gov/docs/iac/rule/567.40.5.pdf" Type="http://schemas.openxmlformats.org/officeDocument/2006/relationships/hyperlink" Id="rId68"/>
    <Relationship TargetMode="External" Target="https://www.legis.iowa.gov/docs/iac/rule/567.40.5.pdf" Type="http://schemas.openxmlformats.org/officeDocument/2006/relationships/hyperlink" Id="rId69"/>
    <Relationship TargetMode="External" Target="https://www.legis.iowa.gov/docs/iac/rule/567.41.11.pdf" Type="http://schemas.openxmlformats.org/officeDocument/2006/relationships/hyperlink" Id="rId70"/>
    <Relationship TargetMode="External" Target="https://www.legis.iowa.gov/docs/iac/rule/567.40.8.pdf" Type="http://schemas.openxmlformats.org/officeDocument/2006/relationships/hyperlink" Id="rId71"/>
    <Relationship TargetMode="External" Target="https://www.legis.iowa.gov/docs/iac/rule/567.41.2.pdf" Type="http://schemas.openxmlformats.org/officeDocument/2006/relationships/hyperlink" Id="rId72"/>
    <Relationship TargetMode="External" Target="https://www.legis.iowa.gov/docs/iac/rule/567.41.3.pdf" Type="http://schemas.openxmlformats.org/officeDocument/2006/relationships/hyperlink" Id="rId73"/>
    <Relationship TargetMode="External" Target="https://www.legis.iowa.gov/docs/iac/rule/567.41.3.pdf" Type="http://schemas.openxmlformats.org/officeDocument/2006/relationships/hyperlink" Id="rId74"/>
    <Relationship TargetMode="External" Target="https://www.legis.iowa.gov/docs/iac/rule/567.41.3.pdf" Type="http://schemas.openxmlformats.org/officeDocument/2006/relationships/hyperlink" Id="rId75"/>
    <Relationship TargetMode="External" Target="https://www.legis.iowa.gov/docs/iac/rule/567.40.5.pdf" Type="http://schemas.openxmlformats.org/officeDocument/2006/relationships/hyperlink" Id="rId76"/>
    <Relationship TargetMode="External" Target="https://www.legis.iowa.gov/docs/iac/rule/567.43.6.pdf" Type="http://schemas.openxmlformats.org/officeDocument/2006/relationships/hyperlink" Id="rId77"/>
    <Relationship TargetMode="External" Target="https://www.legis.iowa.gov/docs/iac/chapter/567.43.pdf" Type="http://schemas.openxmlformats.org/officeDocument/2006/relationships/hyperlink" Id="rId78"/>
    <Relationship TargetMode="External" Target="https://www.legis.iowa.gov/docs/iac/rule/567.41.7.pdf" Type="http://schemas.openxmlformats.org/officeDocument/2006/relationships/hyperlink" Id="rId79"/>
    <Relationship TargetMode="External" Target="https://www.legis.iowa.gov/docs/iac/rule/567.40.5.pdf" Type="http://schemas.openxmlformats.org/officeDocument/2006/relationships/hyperlink" Id="rId80"/>
    <Relationship TargetMode="External" Target="https://www.legis.iowa.gov/docs/iac/rule/567.40.5.pdf" Type="http://schemas.openxmlformats.org/officeDocument/2006/relationships/hyperlink" Id="rId81"/>
    <Relationship TargetMode="External" Target="https://www.legis.iowa.gov/docs/iac/rule/567.43.2.pdf" Type="http://schemas.openxmlformats.org/officeDocument/2006/relationships/hyperlink" Id="rId82"/>
    <Relationship TargetMode="External" Target="https://www.legis.iowa.gov/docs/iac/rule/567.41.7.pdf" Type="http://schemas.openxmlformats.org/officeDocument/2006/relationships/hyperlink" Id="rId83"/>
    <Relationship TargetMode="External" Target="https://www.legis.iowa.gov/docs/iac/rule/567.41.2.pdf" Type="http://schemas.openxmlformats.org/officeDocument/2006/relationships/hyperlink" Id="rId84"/>
    <Relationship TargetMode="External" Target="https://www.legis.iowa.gov/docs/iac/rule/567.43.9.pdf" Type="http://schemas.openxmlformats.org/officeDocument/2006/relationships/hyperlink" Id="rId85"/>
    <Relationship TargetMode="External" Target="https://www.legis.iowa.gov/docs/iac/rule/567.43.10.pdf" Type="http://schemas.openxmlformats.org/officeDocument/2006/relationships/hyperlink" Id="rId86"/>
    <Relationship TargetMode="External" Target="https://www.legis.iowa.gov/docs/iac/rule/567.43.9.pdf" Type="http://schemas.openxmlformats.org/officeDocument/2006/relationships/hyperlink" Id="rId87"/>
    <Relationship TargetMode="External" Target="https://www.legis.iowa.gov/docs/iac/rule/567.43.10.pdf" Type="http://schemas.openxmlformats.org/officeDocument/2006/relationships/hyperlink" Id="rId88"/>
    <Relationship TargetMode="External" Target="https://www.legis.iowa.gov/docs/iac/rule/567.40.5.pdf" Type="http://schemas.openxmlformats.org/officeDocument/2006/relationships/hyperlink" Id="rId89"/>
    <Relationship TargetMode="External" Target="https://www.legis.iowa.gov/docs/iac/rule/567.40.5.pdf" Type="http://schemas.openxmlformats.org/officeDocument/2006/relationships/hyperlink" Id="rId90"/>
    <Relationship TargetMode="External" Target="https://www.legis.iowa.gov/docs/iac/rule/567.40.5.pdf" Type="http://schemas.openxmlformats.org/officeDocument/2006/relationships/hyperlink" Id="rId91"/>
    <Relationship TargetMode="External" Target="https://www.legis.iowa.gov/docs/iac/rule/567.40.5.pdf" Type="http://schemas.openxmlformats.org/officeDocument/2006/relationships/hyperlink" Id="rId92"/>
    <Relationship TargetMode="External" Target="https://www.legis.iowa.gov/docs/iac/rule/567.43.1.pdf" Type="http://schemas.openxmlformats.org/officeDocument/2006/relationships/hyperlink" Id="rId93"/>
    <Relationship TargetMode="External" Target="https://www.legis.iowa.gov/docs/iac/rule/567.40.5.pdf" Type="http://schemas.openxmlformats.org/officeDocument/2006/relationships/hyperlink" Id="rId94"/>
    <Relationship TargetMode="External" Target="https://www.legis.iowa.gov/docs/iac/rule/567.40.5.pdf" Type="http://schemas.openxmlformats.org/officeDocument/2006/relationships/hyperlink" Id="rId95"/>
    <Relationship TargetMode="External" Target="https://www.legis.iowa.gov/docs/iac/rule/567.40.5.pdf" Type="http://schemas.openxmlformats.org/officeDocument/2006/relationships/hyperlink" Id="rId96"/>
    <Relationship TargetMode="External" Target="https://www.legis.iowa.gov/docs/iac/rule/567.40.5.pdf" Type="http://schemas.openxmlformats.org/officeDocument/2006/relationships/hyperlink" Id="rId97"/>
    <Relationship TargetMode="External" Target="https://www.legis.iowa.gov/docs/iac/rule/567.40.5.pdf" Type="http://schemas.openxmlformats.org/officeDocument/2006/relationships/hyperlink" Id="rId98"/>
    <Relationship TargetMode="External" Target="https://www.legis.iowa.gov/docs/iac/rule/567.40.5.pdf" Type="http://schemas.openxmlformats.org/officeDocument/2006/relationships/hyperlink" Id="rId99"/>
    <Relationship TargetMode="External" Target="https://www.legis.iowa.gov/docs/iac/rule/567.40.7.pdf" Type="http://schemas.openxmlformats.org/officeDocument/2006/relationships/hyperlink" Id="rId100"/>
    <Relationship TargetMode="External" Target="https://www.legis.iowa.gov/docs/iac/rule/567.40.5.pdf" Type="http://schemas.openxmlformats.org/officeDocument/2006/relationships/hyperlink" Id="rId101"/>
    <Relationship TargetMode="External" Target="https://www.legis.iowa.gov/docs/iac/rule/567.40.5.pdf" Type="http://schemas.openxmlformats.org/officeDocument/2006/relationships/hyperlink" Id="rId102"/>
    <Relationship TargetMode="External" Target="https://www.legis.iowa.gov/docs/iac/rule/567.40.5.pdf" Type="http://schemas.openxmlformats.org/officeDocument/2006/relationships/hyperlink" Id="rId103"/>
    <Relationship TargetMode="External" Target="https://www.legis.iowa.gov/docs/iac/rule/567.40.5.pdf" Type="http://schemas.openxmlformats.org/officeDocument/2006/relationships/hyperlink" Id="rId104"/>
    <Relationship TargetMode="External" Target="https://www.legis.iowa.gov/docs/iac/rule/567.40.5.pdf" Type="http://schemas.openxmlformats.org/officeDocument/2006/relationships/hyperlink" Id="rId105"/>
    <Relationship TargetMode="External" Target="https://www.legis.iowa.gov/docs/iac/rule/567.40.5.pdf" Type="http://schemas.openxmlformats.org/officeDocument/2006/relationships/hyperlink" Id="rId106"/>
    <Relationship TargetMode="External" Target="https://www.legis.iowa.gov/docs/iac/rule/567.40.5.pdf" Type="http://schemas.openxmlformats.org/officeDocument/2006/relationships/hyperlink" Id="rId107"/>
    <Relationship TargetMode="External" Target="https://www.legis.iowa.gov/docs/iac/rule/567.40.5.pdf" Type="http://schemas.openxmlformats.org/officeDocument/2006/relationships/hyperlink" Id="rId108"/>
    <Relationship TargetMode="External" Target="https://www.legis.iowa.gov/docs/iac/rule/567.41.3.pdf" Type="http://schemas.openxmlformats.org/officeDocument/2006/relationships/hyperlink" Id="rId109"/>
    <Relationship TargetMode="External" Target="https://www.legis.iowa.gov/docs/iac/rule/567.40.5.pdf" Type="http://schemas.openxmlformats.org/officeDocument/2006/relationships/hyperlink" Id="rId110"/>
    <Relationship TargetMode="External" Target="https://www.legis.iowa.gov/docs/iac/rule/567.41.3.pdf" Type="http://schemas.openxmlformats.org/officeDocument/2006/relationships/hyperlink" Id="rId111"/>
    <Relationship TargetMode="External" Target="https://www.legis.iowa.gov/docs/iac/rule/567.40.5.pdf" Type="http://schemas.openxmlformats.org/officeDocument/2006/relationships/hyperlink" Id="rId112"/>
    <Relationship TargetMode="External" Target="https://www.legis.iowa.gov/docs/iac/rule/567.40.5.pdf" Type="http://schemas.openxmlformats.org/officeDocument/2006/relationships/hyperlink" Id="rId113"/>
    <Relationship TargetMode="External" Target="https://www.legis.iowa.gov/docs/iac/rule/567.40.5.pdf" Type="http://schemas.openxmlformats.org/officeDocument/2006/relationships/hyperlink" Id="rId114"/>
    <Relationship TargetMode="External" Target="https://www.legis.iowa.gov/docs/iac/rule/567.43.11.pdf" Type="http://schemas.openxmlformats.org/officeDocument/2006/relationships/hyperlink" Id="rId115"/>
    <Relationship TargetMode="External" Target="https://www.legis.iowa.gov/docs/iac/rule/567.43.11.pdf" Type="http://schemas.openxmlformats.org/officeDocument/2006/relationships/hyperlink" Id="rId116"/>
    <Relationship TargetMode="External" Target="https://www.legis.iowa.gov/docs/iac/rule/567.40.5.pdf" Type="http://schemas.openxmlformats.org/officeDocument/2006/relationships/hyperlink" Id="rId117"/>
    <Relationship TargetMode="External" Target="https://www.legis.iowa.gov/docs/iac/rule/567.40.5.pdf" Type="http://schemas.openxmlformats.org/officeDocument/2006/relationships/hyperlink" Id="rId118"/>
    <Relationship TargetMode="External" Target="https://www.legis.iowa.gov/docs/iac/rule/567.43.11.pdf" Type="http://schemas.openxmlformats.org/officeDocument/2006/relationships/hyperlink" Id="rId119"/>
    <Relationship TargetMode="External" Target="https://www.legis.iowa.gov/docs/iac/rule/567.43.11.pdf" Type="http://schemas.openxmlformats.org/officeDocument/2006/relationships/hyperlink" Id="rId120"/>
    <Relationship TargetMode="External" Target="https://www.legis.iowa.gov/docs/iac/rule/567.40.5.pdf" Type="http://schemas.openxmlformats.org/officeDocument/2006/relationships/hyperlink" Id="rId121"/>
    <Relationship TargetMode="External" Target="https://www.legis.iowa.gov/docs/iac/rule/567.40.5.pdf" Type="http://schemas.openxmlformats.org/officeDocument/2006/relationships/hyperlink" Id="rId122"/>
    <Relationship TargetMode="External" Target="https://www.legis.iowa.gov/docs/iac/rule/567.40.5.pdf" Type="http://schemas.openxmlformats.org/officeDocument/2006/relationships/hyperlink" Id="rId123"/>
    <Relationship TargetMode="External" Target="https://www.legis.iowa.gov/docs/iac/chapter/567.41.pdf" Type="http://schemas.openxmlformats.org/officeDocument/2006/relationships/hyperlink" Id="rId124"/>
    <Relationship TargetMode="External" Target="https://www.legis.iowa.gov/docs/iac/rule/567.40.5.pdf" Type="http://schemas.openxmlformats.org/officeDocument/2006/relationships/hyperlink" Id="rId125"/>
    <Relationship TargetMode="External" Target="https://www.legis.iowa.gov/docs/iac/rule/567.40.5.pdf" Type="http://schemas.openxmlformats.org/officeDocument/2006/relationships/hyperlink" Id="rId126"/>
    <Relationship TargetMode="External" Target="https://www.legis.iowa.gov/docs/iac/rule/567.40.5.pdf" Type="http://schemas.openxmlformats.org/officeDocument/2006/relationships/hyperlink" Id="rId127"/>
    <Relationship TargetMode="External" Target="https://www.legis.iowa.gov/docs/iac/rule/567.40.5.pdf" Type="http://schemas.openxmlformats.org/officeDocument/2006/relationships/hyperlink" Id="rId128"/>
    <Relationship TargetMode="External" Target="https://www.legis.iowa.gov/docs/iac/rule/567.41.4.pdf" Type="http://schemas.openxmlformats.org/officeDocument/2006/relationships/hyperlink" Id="rId129"/>
    <Relationship TargetMode="External" Target="https://www.legis.iowa.gov/docs/iac/rule/567.40.6.pdf" Type="http://schemas.openxmlformats.org/officeDocument/2006/relationships/hyperlink" Id="rId130"/>
    <Relationship TargetMode="External" Target="https://www.legis.iowa.gov/docs/iac/rule/567.40.2.pdf" Type="http://schemas.openxmlformats.org/officeDocument/2006/relationships/hyperlink" Id="rId131"/>
    <Relationship TargetMode="External" Target="https://www.legis.iowa.gov/docs/iac/rule/567.41.4.pdf" Type="http://schemas.openxmlformats.org/officeDocument/2006/relationships/hyperlink" Id="rId132"/>
    <Relationship TargetMode="External" Target="https://www.legis.iowa.gov/docs/iac/rule/567.40.6.pdf" Type="http://schemas.openxmlformats.org/officeDocument/2006/relationships/hyperlink" Id="rId133"/>
    <Relationship TargetMode="External" Target="https://www.legis.iowa.gov/docs/iac/rule/567.41.4.pdf" Type="http://schemas.openxmlformats.org/officeDocument/2006/relationships/hyperlink" Id="rId134"/>
    <Relationship TargetMode="External" Target="https://www.legis.iowa.gov/docs/iac/rule/567.40.6.pdf" Type="http://schemas.openxmlformats.org/officeDocument/2006/relationships/hyperlink" Id="rId135"/>
    <Relationship TargetMode="External" Target="https://www.legis.iowa.gov/docs/iac/rule/567.40.6.pdf" Type="http://schemas.openxmlformats.org/officeDocument/2006/relationships/hyperlink" Id="rId136"/>
    <Relationship TargetMode="External" Target="https://www.legis.iowa.gov/docs/iac/rule/567.40.6.pdf" Type="http://schemas.openxmlformats.org/officeDocument/2006/relationships/hyperlink" Id="rId137"/>
    <Relationship TargetMode="External" Target="https://www.legis.iowa.gov/docs/iac/rule/567.40.6.pdf" Type="http://schemas.openxmlformats.org/officeDocument/2006/relationships/hyperlink" Id="rId138"/>
    <Relationship TargetMode="External" Target="https://www.legis.iowa.gov/docs/iac/rule/567.40.6.pdf" Type="http://schemas.openxmlformats.org/officeDocument/2006/relationships/hyperlink" Id="rId139"/>
    <Relationship TargetMode="External" Target="https://www.legis.iowa.gov/docs/iac/rule/567.40.6.pdf" Type="http://schemas.openxmlformats.org/officeDocument/2006/relationships/hyperlink" Id="rId140"/>
    <Relationship TargetMode="External" Target="https://www.legis.iowa.gov/docs/iac/rule/567.40.6.pdf" Type="http://schemas.openxmlformats.org/officeDocument/2006/relationships/hyperlink" Id="rId141"/>
    <Relationship TargetMode="External" Target="https://www.legis.iowa.gov/docs/iac/rule/567.40.6.pdf" Type="http://schemas.openxmlformats.org/officeDocument/2006/relationships/hyperlink" Id="rId142"/>
    <Relationship TargetMode="External" Target="https://www.legis.iowa.gov/docs/iac/rule/567.40.6.pdf" Type="http://schemas.openxmlformats.org/officeDocument/2006/relationships/hyperlink" Id="rId143"/>
    <Relationship TargetMode="External" Target="https://www.legis.iowa.gov/docs/iac/rule/567.40.6.pdf" Type="http://schemas.openxmlformats.org/officeDocument/2006/relationships/hyperlink" Id="rId144"/>
    <Relationship TargetMode="External" Target="https://www.legis.iowa.gov/docs/iac/rule/567.40.6.pdf" Type="http://schemas.openxmlformats.org/officeDocument/2006/relationships/hyperlink" Id="rId145"/>
    <Relationship TargetMode="External" Target="https://www.legis.iowa.gov/docs/iac/rule/567.40.6.pdf" Type="http://schemas.openxmlformats.org/officeDocument/2006/relationships/hyperlink" Id="rId146"/>
    <Relationship TargetMode="External" Target="https://www.legis.iowa.gov/docs/iac/rule/567.40.2.pdf" Type="http://schemas.openxmlformats.org/officeDocument/2006/relationships/hyperlink" Id="rId147"/>
    <Relationship TargetMode="External" Target="https://www.legis.iowa.gov/docs/iac/rule/567.40.2.pdf" Type="http://schemas.openxmlformats.org/officeDocument/2006/relationships/hyperlink" Id="rId148"/>
    <Relationship TargetMode="External" Target="https://www.legis.iowa.gov/docs/iac/rule/567.41.4.pdf" Type="http://schemas.openxmlformats.org/officeDocument/2006/relationships/hyperlink" Id="rId149"/>
    <Relationship TargetMode="External" Target="https://www.legis.iowa.gov/docs/iac/rule/567.41.4.pdf" Type="http://schemas.openxmlformats.org/officeDocument/2006/relationships/hyperlink" Id="rId150"/>
    <Relationship TargetMode="External" Target="https://www.legis.iowa.gov/docs/iac/rule/567.40.3.pdf" Type="http://schemas.openxmlformats.org/officeDocument/2006/relationships/hyperlink" Id="rId151"/>
    <Relationship TargetMode="External" Target="https://www.legis.iowa.gov/docs/iac/rule/567.40.3.pdf" Type="http://schemas.openxmlformats.org/officeDocument/2006/relationships/hyperlink" Id="rId152"/>
    <Relationship TargetMode="External" Target="https://www.legis.iowa.gov/docs/iac/rule/567.41.2.pdf" Type="http://schemas.openxmlformats.org/officeDocument/2006/relationships/hyperlink" Id="rId153"/>
    <Relationship TargetMode="External" Target="https://www.legis.iowa.gov/docs/iac/rule/567.41.9.pdf" Type="http://schemas.openxmlformats.org/officeDocument/2006/relationships/hyperlink" Id="rId154"/>
    <Relationship TargetMode="External" Target="https://www.legis.iowa.gov/docs/iac/rule/567.41.11.pdf" Type="http://schemas.openxmlformats.org/officeDocument/2006/relationships/hyperlink" Id="rId155"/>
    <Relationship TargetMode="External" Target="https://www.legis.iowa.gov/docs/iac/rule/567.40.7.pdf" Type="http://schemas.openxmlformats.org/officeDocument/2006/relationships/hyperlink" Id="rId156"/>
    <Relationship TargetMode="External" Target="https://www.legis.iowa.gov/docs/iac/rule/567.41.9.pdf" Type="http://schemas.openxmlformats.org/officeDocument/2006/relationships/hyperlink" Id="rId157"/>
    <Relationship TargetMode="External" Target="https://www.legis.iowa.gov/docs/iac/rule/567.41.3.pdf" Type="http://schemas.openxmlformats.org/officeDocument/2006/relationships/hyperlink" Id="rId158"/>
    <Relationship TargetMode="External" Target="https://www.legis.iowa.gov/docs/iac/rule/567.41.5.pdf" Type="http://schemas.openxmlformats.org/officeDocument/2006/relationships/hyperlink" Id="rId159"/>
    <Relationship TargetMode="External" Target="https://www.legis.iowa.gov/docs/iac/rule/567.41.8.pdf" Type="http://schemas.openxmlformats.org/officeDocument/2006/relationships/hyperlink" Id="rId160"/>
    <Relationship TargetMode="External" Target="https://www.legis.iowa.gov/docs/iac/rule/567.41.6.pdf" Type="http://schemas.openxmlformats.org/officeDocument/2006/relationships/hyperlink" Id="rId161"/>
    <Relationship TargetMode="External" Target="https://www.legis.iowa.gov/docs/iac/rule/567.43.5.pdf" Type="http://schemas.openxmlformats.org/officeDocument/2006/relationships/hyperlink" Id="rId162"/>
    <Relationship TargetMode="External" Target="https://www.legis.iowa.gov/docs/iac/rule/567.43.9.pdf" Type="http://schemas.openxmlformats.org/officeDocument/2006/relationships/hyperlink" Id="rId163"/>
    <Relationship TargetMode="External" Target="https://www.legis.iowa.gov/docs/iac/rule/567.43.10.pdf" Type="http://schemas.openxmlformats.org/officeDocument/2006/relationships/hyperlink" Id="rId164"/>
    <Relationship TargetMode="External" Target="https://www.legis.iowa.gov/docs/iac/rule/567.41.2.pdf" Type="http://schemas.openxmlformats.org/officeDocument/2006/relationships/hyperlink" Id="rId165"/>
    <Relationship TargetMode="External" Target="https://www.legis.iowa.gov/docs/iac/rule/567.41.11.pdf" Type="http://schemas.openxmlformats.org/officeDocument/2006/relationships/hyperlink" Id="rId166"/>
    <Relationship TargetMode="External" Target="https://www.legis.iowa.gov/docs/iac/rule/567.40.7.pdf" Type="http://schemas.openxmlformats.org/officeDocument/2006/relationships/hyperlink" Id="rId167"/>
    <Relationship TargetMode="External" Target="https://www.legis.iowa.gov/docs/iac/chapter/567.41.pdf" Type="http://schemas.openxmlformats.org/officeDocument/2006/relationships/hyperlink" Id="rId168"/>
    <Relationship TargetMode="External" Target="https://www.legis.iowa.gov/docs/iac/chapter/567.43.pdf" Type="http://schemas.openxmlformats.org/officeDocument/2006/relationships/hyperlink" Id="rId169"/>
    <Relationship TargetMode="External" Target="https://www.legis.iowa.gov/docs/iac/rule/567.43.5.pdf" Type="http://schemas.openxmlformats.org/officeDocument/2006/relationships/hyperlink" Id="rId170"/>
    <Relationship TargetMode="External" Target="https://www.legis.iowa.gov/docs/iac/chapter/567.41.pdf" Type="http://schemas.openxmlformats.org/officeDocument/2006/relationships/hyperlink" Id="rId171"/>
    <Relationship TargetMode="External" Target="https://www.legis.iowa.gov/docs/iac/chapter/567.43.pdf" Type="http://schemas.openxmlformats.org/officeDocument/2006/relationships/hyperlink" Id="rId172"/>
    <Relationship TargetMode="External" Target="https://www.legis.iowa.gov/docs/iac/rule/567.41.5.pdf" Type="http://schemas.openxmlformats.org/officeDocument/2006/relationships/hyperlink" Id="rId173"/>
    <Relationship TargetMode="External" Target="https://www.legis.iowa.gov/docs/iac/chapter/567.41.pdf" Type="http://schemas.openxmlformats.org/officeDocument/2006/relationships/hyperlink" Id="rId174"/>
    <Relationship TargetMode="External" Target="https://www.legis.iowa.gov/docs/iac/chapter/567.43.pdf" Type="http://schemas.openxmlformats.org/officeDocument/2006/relationships/hyperlink" Id="rId175"/>
    <Relationship TargetMode="External" Target="https://www.legis.iowa.gov/docs/iac/rule/567.40.7.pdf" Type="http://schemas.openxmlformats.org/officeDocument/2006/relationships/hyperlink" Id="rId176"/>
    <Relationship TargetMode="External" Target="https://www.legis.iowa.gov/docs/iac/rule/567.40.7.pdf" Type="http://schemas.openxmlformats.org/officeDocument/2006/relationships/hyperlink" Id="rId177"/>
    <Relationship TargetMode="External" Target="https://www.legis.iowa.gov/docs/iac/rule/567.40.7.pdf" Type="http://schemas.openxmlformats.org/officeDocument/2006/relationships/hyperlink" Id="rId178"/>
    <Relationship TargetMode="External" Target="https://www.legis.iowa.gov/docs/iac/rule/567.40.7.pdf" Type="http://schemas.openxmlformats.org/officeDocument/2006/relationships/hyperlink" Id="rId179"/>
    <Relationship TargetMode="External" Target="https://www.legis.iowa.gov/docs/iac/rule/567.40.7.pdf" Type="http://schemas.openxmlformats.org/officeDocument/2006/relationships/hyperlink" Id="rId180"/>
    <Relationship TargetMode="External" Target="https://www.legis.iowa.gov/docs/iac/rule/567.40.7.pdf" Type="http://schemas.openxmlformats.org/officeDocument/2006/relationships/hyperlink" Id="rId181"/>
    <Relationship TargetMode="External" Target="https://www.legis.iowa.gov/docs/iac/rule/567.40.7.pdf" Type="http://schemas.openxmlformats.org/officeDocument/2006/relationships/hyperlink" Id="rId182"/>
    <Relationship TargetMode="External" Target="https://www.legis.iowa.gov/docs/iac/rule/567.40.7.pdf" Type="http://schemas.openxmlformats.org/officeDocument/2006/relationships/hyperlink" Id="rId183"/>
    <Relationship TargetMode="External" Target="https://www.legis.iowa.gov/docs/iac/rule/567.40.7.pdf" Type="http://schemas.openxmlformats.org/officeDocument/2006/relationships/hyperlink" Id="rId184"/>
    <Relationship TargetMode="External" Target="http://www.epa.gov/safewater/lead" Type="http://schemas.openxmlformats.org/officeDocument/2006/relationships/hyperlink" Id="rId185"/>
    <Relationship TargetMode="External" Target="https://www.legis.iowa.gov/docs/iac/rule/567.41.6.pdf" Type="http://schemas.openxmlformats.org/officeDocument/2006/relationships/hyperlink" Id="rId186"/>
    <Relationship TargetMode="External" Target="https://www.legis.iowa.gov/docs/iac/rule/567.41.6.pdf" Type="http://schemas.openxmlformats.org/officeDocument/2006/relationships/hyperlink" Id="rId187"/>
    <Relationship TargetMode="External" Target="https://www.legis.iowa.gov/docs/iac/rule/567.41.7.pdf" Type="http://schemas.openxmlformats.org/officeDocument/2006/relationships/hyperlink" Id="rId188"/>
    <Relationship TargetMode="External" Target="https://www.legis.iowa.gov/docs/iac/rule/567.41.7.pdf" Type="http://schemas.openxmlformats.org/officeDocument/2006/relationships/hyperlink" Id="rId189"/>
    <Relationship TargetMode="External" Target="https://www.legis.iowa.gov/docs/iac/rule/567.41.7.pdf" Type="http://schemas.openxmlformats.org/officeDocument/2006/relationships/hyperlink" Id="rId190"/>
    <Relationship TargetMode="External" Target="https://www.legis.iowa.gov/docs/iac/rule/567.41.7.pdf" Type="http://schemas.openxmlformats.org/officeDocument/2006/relationships/hyperlink" Id="rId191"/>
    <Relationship TargetMode="External" Target="https://www.legis.iowa.gov/docs/iac/rule/567.41.7.pdf" Type="http://schemas.openxmlformats.org/officeDocument/2006/relationships/hyperlink" Id="rId192"/>
    <Relationship TargetMode="External" Target="https://www.legis.iowa.gov/docs/iac/rule/567.41.2.pdf" Type="http://schemas.openxmlformats.org/officeDocument/2006/relationships/hyperlink" Id="rId193"/>
    <Relationship TargetMode="External" Target="https://www.legis.iowa.gov/docs/iac/rule/567.40.7.pdf" Type="http://schemas.openxmlformats.org/officeDocument/2006/relationships/hyperlink" Id="rId194"/>
    <Relationship TargetMode="External" Target="https://www.legis.iowa.gov/docs/iac/rule/567.40.7.pdf" Type="http://schemas.openxmlformats.org/officeDocument/2006/relationships/hyperlink" Id="rId195"/>
    <Relationship TargetMode="External" Target="https://www.legis.iowa.gov/docs/iac/rule/567.40.7.pdf" Type="http://schemas.openxmlformats.org/officeDocument/2006/relationships/hyperlink" Id="rId196"/>
    <Relationship TargetMode="External" Target="https://www.legis.iowa.gov/docs/iac/rule/567.41.2.pdf" Type="http://schemas.openxmlformats.org/officeDocument/2006/relationships/hyperlink" Id="rId197"/>
    <Relationship TargetMode="External" Target="https://www.legis.iowa.gov/docs/iac/rule/567.40.7.pdf" Type="http://schemas.openxmlformats.org/officeDocument/2006/relationships/hyperlink" Id="rId198"/>
    <Relationship TargetMode="External" Target="https://www.legis.iowa.gov/docs/iac/rule/567.40.7.pdf" Type="http://schemas.openxmlformats.org/officeDocument/2006/relationships/hyperlink" Id="rId199"/>
    <Relationship TargetMode="External" Target="https://www.legis.iowa.gov/docs/iac/rule/567.40.7.pdf" Type="http://schemas.openxmlformats.org/officeDocument/2006/relationships/hyperlink" Id="rId200"/>
    <Relationship TargetMode="External" Target="https://www.legis.iowa.gov/docs/iac/rule/567.41.2.pdf" Type="http://schemas.openxmlformats.org/officeDocument/2006/relationships/hyperlink" Id="rId201"/>
    <Relationship TargetMode="External" Target="https://www.legis.iowa.gov/docs/iac/rule/567.41.2.pdf" Type="http://schemas.openxmlformats.org/officeDocument/2006/relationships/hyperlink" Id="rId202"/>
    <Relationship TargetMode="External" Target="https://www.legis.iowa.gov/docs/iac/rule/567.40.7.pdf" Type="http://schemas.openxmlformats.org/officeDocument/2006/relationships/hyperlink" Id="rId203"/>
    <Relationship TargetMode="External" Target="https://www.legis.iowa.gov/docs/iac/rule/567.40.7.pdf" Type="http://schemas.openxmlformats.org/officeDocument/2006/relationships/hyperlink" Id="rId204"/>
    <Relationship TargetMode="External" Target="https://www.legis.iowa.gov/docs/iac/rule/567.40.7.pdf" Type="http://schemas.openxmlformats.org/officeDocument/2006/relationships/hyperlink" Id="rId205"/>
    <Relationship TargetMode="External" Target="https://www.legis.iowa.gov/docs/iac/rule/567.40.7.pdf" Type="http://schemas.openxmlformats.org/officeDocument/2006/relationships/hyperlink" Id="rId206"/>
    <Relationship TargetMode="External" Target="https://www.legis.iowa.gov/docs/iac/chapter/567.41.pdf" Type="http://schemas.openxmlformats.org/officeDocument/2006/relationships/hyperlink" Id="rId207"/>
    <Relationship TargetMode="External" Target="https://www.legis.iowa.gov/docs/iac/chapter/567.43.pdf" Type="http://schemas.openxmlformats.org/officeDocument/2006/relationships/hyperlink" Id="rId208"/>
    <Relationship TargetMode="External" Target="https://www.legis.iowa.gov/docs/iac/chapter/567.41.pdf" Type="http://schemas.openxmlformats.org/officeDocument/2006/relationships/hyperlink" Id="rId209"/>
    <Relationship TargetMode="External" Target="https://www.legis.iowa.gov/docs/iac/chapter/567.43.pdf" Type="http://schemas.openxmlformats.org/officeDocument/2006/relationships/hyperlink" Id="rId210"/>
    <Relationship TargetMode="External" Target="https://www.legis.iowa.gov/docs/iac/chapter/567.41.pdf" Type="http://schemas.openxmlformats.org/officeDocument/2006/relationships/hyperlink" Id="rId211"/>
    <Relationship TargetMode="External" Target="https://www.legis.iowa.gov/docs/iac/chapter/567.43.pdf" Type="http://schemas.openxmlformats.org/officeDocument/2006/relationships/hyperlink" Id="rId212"/>
    <Relationship TargetMode="External" Target="https://www.legis.iowa.gov/docs/iac/rule/567.40.5.pdf" Type="http://schemas.openxmlformats.org/officeDocument/2006/relationships/hyperlink" Id="rId213"/>
    <Relationship TargetMode="External" Target="https://www.legis.iowa.gov/docs/iac/rule/567.41.7.pdf" Type="http://schemas.openxmlformats.org/officeDocument/2006/relationships/hyperlink" Id="rId214"/>
    <Relationship TargetMode="External" Target="https://www.legis.iowa.gov/docs/iac/rule/567.41.2.pdf" Type="http://schemas.openxmlformats.org/officeDocument/2006/relationships/hyperlink" Id="rId215"/>
    <Relationship TargetMode="External" Target="https://www.legis.iowa.gov/docs/iac/rule/567.40.8.pdf" Type="http://schemas.openxmlformats.org/officeDocument/2006/relationships/hyperlink" Id="rId216"/>
    <Relationship TargetMode="External" Target="https://www.legis.iowa.gov/docs/iac/rule/567.41.4.pdf" Type="http://schemas.openxmlformats.org/officeDocument/2006/relationships/hyperlink" Id="rId217"/>
    <Relationship TargetMode="External" Target="https://www.legis.iowa.gov/docs/iac/rule/567.41.4.pdf" Type="http://schemas.openxmlformats.org/officeDocument/2006/relationships/hyperlink" Id="rId218"/>
    <Relationship TargetMode="External" Target="https://www.legis.iowa.gov/docs/iac/rule/567.41.4.pdf" Type="http://schemas.openxmlformats.org/officeDocument/2006/relationships/hyperlink" Id="rId219"/>
    <Relationship TargetMode="External" Target="https://www.legis.iowa.gov/docs/iac/rule/567.41.4.pdf" Type="http://schemas.openxmlformats.org/officeDocument/2006/relationships/hyperlink" Id="rId220"/>
    <Relationship TargetMode="External" Target="https://www.legis.iowa.gov/docs/iac/rule/567.41.4.pdf" Type="http://schemas.openxmlformats.org/officeDocument/2006/relationships/hyperlink" Id="rId221"/>
    <Relationship TargetMode="External" Target="https://www.legis.iowa.gov/docs/iac/rule/567.41.4.pdf" Type="http://schemas.openxmlformats.org/officeDocument/2006/relationships/hyperlink" Id="rId222"/>
    <Relationship TargetMode="External" Target="https://www.legis.iowa.gov/docs/iac/rule/567.41.4.pdf" Type="http://schemas.openxmlformats.org/officeDocument/2006/relationships/hyperlink" Id="rId223"/>
    <Relationship TargetMode="External" Target="https://www.legis.iowa.gov/docs/iac/rule/567.41.4.pdf" Type="http://schemas.openxmlformats.org/officeDocument/2006/relationships/hyperlink" Id="rId224"/>
    <Relationship TargetMode="External" Target="https://www.legis.iowa.gov/docs/iac/rule/567.41.4.pdf" Type="http://schemas.openxmlformats.org/officeDocument/2006/relationships/hyperlink" Id="rId225"/>
    <Relationship TargetMode="External" Target="https://www.legis.iowa.gov/docs/iac/rule/567.40.6.pdf" Type="http://schemas.openxmlformats.org/officeDocument/2006/relationships/hyperlink" Id="rId226"/>
    <Relationship TargetMode="External" Target="https://www.legis.iowa.gov/docs/iac/rule/567.41.4.pdf" Type="http://schemas.openxmlformats.org/officeDocument/2006/relationships/hyperlink" Id="rId227"/>
    <Relationship TargetMode="External" Target="https://www.legis.iowa.gov/docs/iac/rule/567.41.4.pdf" Type="http://schemas.openxmlformats.org/officeDocument/2006/relationships/hyperlink" Id="rId228"/>
    <Relationship TargetMode="External" Target="https://www.legis.iowa.gov/docs/iac/rule/567.41.4.pdf" Type="http://schemas.openxmlformats.org/officeDocument/2006/relationships/hyperlink" Id="rId229"/>
    <Relationship TargetMode="External" Target="https://www.legis.iowa.gov/docs/iac/rule/567.43.7.pdf" Type="http://schemas.openxmlformats.org/officeDocument/2006/relationships/hyperlink" Id="rId230"/>
    <Relationship TargetMode="External" Target="https://www.legis.iowa.gov/docs/iac/rule/567.41.4.pdf" Type="http://schemas.openxmlformats.org/officeDocument/2006/relationships/hyperlink" Id="rId231"/>
    <Relationship TargetMode="External" Target="https://www.legis.iowa.gov/docs/iac/rule/567.41.4.pdf" Type="http://schemas.openxmlformats.org/officeDocument/2006/relationships/hyperlink" Id="rId232"/>
    <Relationship TargetMode="External" Target="https://www.legis.iowa.gov/docs/iac/rule/567.41.4.pdf" Type="http://schemas.openxmlformats.org/officeDocument/2006/relationships/hyperlink" Id="rId233"/>
    <Relationship TargetMode="External" Target="https://www.legis.iowa.gov/docs/iac/rule/567.41.4.pdf" Type="http://schemas.openxmlformats.org/officeDocument/2006/relationships/hyperlink" Id="rId234"/>
    <Relationship TargetMode="External" Target="https://www.legis.iowa.gov/docs/iac/rule/567.41.4.pdf" Type="http://schemas.openxmlformats.org/officeDocument/2006/relationships/hyperlink" Id="rId235"/>
    <Relationship TargetMode="External" Target="https://www.legis.iowa.gov/docs/iac/rule/567.41.4.pdf" Type="http://schemas.openxmlformats.org/officeDocument/2006/relationships/hyperlink" Id="rId236"/>
    <Relationship TargetMode="External" Target="https://www.legis.iowa.gov/docs/iac/rule/567.41.4.pdf" Type="http://schemas.openxmlformats.org/officeDocument/2006/relationships/hyperlink" Id="rId237"/>
    <Relationship TargetMode="External" Target="https://www.legis.iowa.gov/docs/iac/rule/567.41.4.pdf" Type="http://schemas.openxmlformats.org/officeDocument/2006/relationships/hyperlink" Id="rId238"/>
    <Relationship TargetMode="External" Target="https://www.legis.iowa.gov/docs/iac/rule/567.41.4.pdf" Type="http://schemas.openxmlformats.org/officeDocument/2006/relationships/hyperlink" Id="rId239"/>
    <Relationship TargetMode="External" Target="https://www.legis.iowa.gov/docs/iac/rule/567.41.4.pdf" Type="http://schemas.openxmlformats.org/officeDocument/2006/relationships/hyperlink" Id="rId240"/>
    <Relationship TargetMode="External" Target="https://www.legis.iowa.gov/docs/iac/rule/567.41.4.pdf" Type="http://schemas.openxmlformats.org/officeDocument/2006/relationships/hyperlink" Id="rId241"/>
    <Relationship TargetMode="External" Target="https://www.legis.iowa.gov/docs/iac/rule/567.43.7.pdf" Type="http://schemas.openxmlformats.org/officeDocument/2006/relationships/hyperlink" Id="rId242"/>
    <Relationship TargetMode="External" Target="https://www.legis.iowa.gov/docs/iac/rule/567.43.7.pdf" Type="http://schemas.openxmlformats.org/officeDocument/2006/relationships/hyperlink" Id="rId243"/>
    <Relationship TargetMode="External" Target="https://www.legis.iowa.gov/docs/iac/rule/567.43.7.pdf" Type="http://schemas.openxmlformats.org/officeDocument/2006/relationships/hyperlink" Id="rId244"/>
    <Relationship TargetMode="External" Target="https://www.legis.iowa.gov/docs/iac/rule/567.43.7.pdf" Type="http://schemas.openxmlformats.org/officeDocument/2006/relationships/hyperlink" Id="rId245"/>
    <Relationship TargetMode="External" Target="https://www.legis.iowa.gov/docs/iac/rule/567.43.7.pdf" Type="http://schemas.openxmlformats.org/officeDocument/2006/relationships/hyperlink" Id="rId246"/>
    <Relationship TargetMode="External" Target="https://www.legis.iowa.gov/docs/iac/rule/567.43.7.pdf" Type="http://schemas.openxmlformats.org/officeDocument/2006/relationships/hyperlink" Id="rId247"/>
    <Relationship TargetMode="External" Target="https://www.legis.iowa.gov/docs/iac/rule/567.43.7.pdf" Type="http://schemas.openxmlformats.org/officeDocument/2006/relationships/hyperlink" Id="rId248"/>
    <Relationship TargetMode="External" Target="https://www.legis.iowa.gov/docs/iac/rule/567.43.7.pdf" Type="http://schemas.openxmlformats.org/officeDocument/2006/relationships/hyperlink" Id="rId249"/>
    <Relationship TargetMode="External" Target="https://www.legis.iowa.gov/docs/iac/rule/567.43.7.pdf" Type="http://schemas.openxmlformats.org/officeDocument/2006/relationships/hyperlink" Id="rId250"/>
    <Relationship TargetMode="External" Target="https://www.legis.iowa.gov/docs/iac/rule/567.43.7.pdf" Type="http://schemas.openxmlformats.org/officeDocument/2006/relationships/hyperlink" Id="rId251"/>
    <Relationship TargetMode="External" Target="https://www.legis.iowa.gov/docs/iac/rule/567.41.4.pdf" Type="http://schemas.openxmlformats.org/officeDocument/2006/relationships/hyperlink" Id="rId252"/>
    <Relationship TargetMode="External" Target="https://www.legis.iowa.gov/docs/iac/rule/567.43.7.pdf" Type="http://schemas.openxmlformats.org/officeDocument/2006/relationships/hyperlink" Id="rId253"/>
    <Relationship TargetMode="External" Target="https://www.legis.iowa.gov/docs/iac/rule/567.43.7.pdf" Type="http://schemas.openxmlformats.org/officeDocument/2006/relationships/hyperlink" Id="rId254"/>
    <Relationship TargetMode="External" Target="https://www.legis.iowa.gov/docs/iac/rule/567.41.4.pdf" Type="http://schemas.openxmlformats.org/officeDocument/2006/relationships/hyperlink" Id="rId255"/>
    <Relationship TargetMode="External" Target="https://www.legis.iowa.gov/docs/iac/rule/567.43.7.pdf" Type="http://schemas.openxmlformats.org/officeDocument/2006/relationships/hyperlink" Id="rId256"/>
    <Relationship TargetMode="External" Target="https://www.legis.iowa.gov/docs/iac/rule/567.40.8.pdf" Type="http://schemas.openxmlformats.org/officeDocument/2006/relationships/hyperlink" Id="rId257"/>
    <Relationship TargetMode="External" Target="https://www.legis.iowa.gov/docs/iac/rule/567.43.7.pdf" Type="http://schemas.openxmlformats.org/officeDocument/2006/relationships/hyperlink" Id="rId258"/>
    <Relationship TargetMode="External" Target="https://www.legis.iowa.gov/docs/iac/rule/567.40.8.pdf" Type="http://schemas.openxmlformats.org/officeDocument/2006/relationships/hyperlink" Id="rId259"/>
    <Relationship TargetMode="External" Target="https://www.legis.iowa.gov/docs/iac/rule/567.43.7.pdf" Type="http://schemas.openxmlformats.org/officeDocument/2006/relationships/hyperlink" Id="rId260"/>
    <Relationship TargetMode="External" Target="https://www.legis.iowa.gov/docs/iac/rule/567.40.6.pdf" Type="http://schemas.openxmlformats.org/officeDocument/2006/relationships/hyperlink" Id="rId261"/>
    <Relationship TargetMode="External" Target="https://www.legis.iowa.gov/docs/iac/rule/567.40.6.pdf" Type="http://schemas.openxmlformats.org/officeDocument/2006/relationships/hyperlink" Id="rId262"/>
    <Relationship TargetMode="External" Target="https://www.legis.iowa.gov/docs/iac/rule/567.40.8.pdf" Type="http://schemas.openxmlformats.org/officeDocument/2006/relationships/hyperlink" Id="rId263"/>
    <Relationship TargetMode="External" Target="https://www.legis.iowa.gov/docs/iac/rule/567.40.6.pdf" Type="http://schemas.openxmlformats.org/officeDocument/2006/relationships/hyperlink" Id="rId264"/>
    <Relationship TargetMode="External" Target="https://www.legis.iowa.gov/docs/iac/chapter/567.41.pdf" Type="http://schemas.openxmlformats.org/officeDocument/2006/relationships/hyperlink" Id="rId265"/>
    <Relationship TargetMode="External" Target="https://www.legis.iowa.gov/docs/iac/chapter/567.43.pdf" Type="http://schemas.openxmlformats.org/officeDocument/2006/relationships/hyperlink" Id="rId266"/>
    <Relationship TargetMode="External" Target="https://www.legis.iowa.gov/docs/iac/rule/567.41.4.pdf" Type="http://schemas.openxmlformats.org/officeDocument/2006/relationships/hyperlink" Id="rId267"/>
    <Relationship TargetMode="External" Target="https://www.legis.iowa.gov/docs/iac/rule/567.40.8.pdf" Type="http://schemas.openxmlformats.org/officeDocument/2006/relationships/hyperlink" Id="rId268"/>
    <Relationship TargetMode="External" Target="https://www.legis.iowa.gov/docs/iac/rule/567.40.8.pdf" Type="http://schemas.openxmlformats.org/officeDocument/2006/relationships/hyperlink" Id="rId269"/>
    <Relationship TargetMode="External" Target="https://www.legis.iowa.gov/docs/iac/chapter/567.43.pdf" Type="http://schemas.openxmlformats.org/officeDocument/2006/relationships/hyperlink" Id="rId270"/>
    <Relationship TargetMode="External" Target="https://www.legis.iowa.gov/docs/iac/chapter/567.41.pdf" Type="http://schemas.openxmlformats.org/officeDocument/2006/relationships/hyperlink" Id="rId271"/>
    <Relationship TargetMode="External" Target="https://www.legis.iowa.gov/docs/iac/chapter/567.43.pdf" Type="http://schemas.openxmlformats.org/officeDocument/2006/relationships/hyperlink" Id="rId272"/>
    <Relationship TargetMode="External" Target="https://www.legis.iowa.gov/docs/iac/rule/567.41.2.pdf" Type="http://schemas.openxmlformats.org/officeDocument/2006/relationships/hyperlink" Id="rId273"/>
    <Relationship TargetMode="External" Target="https://www.legis.iowa.gov/docs/iac/rule/567.40.8.pdf" Type="http://schemas.openxmlformats.org/officeDocument/2006/relationships/hyperlink" Id="rId274"/>
    <Relationship TargetMode="External" Target="https://www.legis.iowa.gov/docs/iac/rule/567.41.2.pdf" Type="http://schemas.openxmlformats.org/officeDocument/2006/relationships/hyperlink" Id="rId275"/>
    <Relationship TargetMode="External" Target="https://www.legis.iowa.gov/docs/iac/rule/567.40.8.pdf" Type="http://schemas.openxmlformats.org/officeDocument/2006/relationships/hyperlink" Id="rId276"/>
    <Relationship TargetMode="External" Target="https://www.legis.iowa.gov/docs/iac/rule/567.43.3.pdf" Type="http://schemas.openxmlformats.org/officeDocument/2006/relationships/hyperlink" Id="rId277"/>
    <Relationship TargetMode="External" Target="https://www.legis.iowa.gov/docs/iac/rule/567.40.8.pdf" Type="http://schemas.openxmlformats.org/officeDocument/2006/relationships/hyperlink" Id="rId278"/>
    <Relationship TargetMode="External" Target="https://www.legis.iowa.gov/docs/iac/rule/567.43.5.pdf" Type="http://schemas.openxmlformats.org/officeDocument/2006/relationships/hyperlink" Id="rId279"/>
    <Relationship TargetMode="External" Target="https://www.legis.iowa.gov/docs/iac/rule/567.43.5.pdf" Type="http://schemas.openxmlformats.org/officeDocument/2006/relationships/hyperlink" Id="rId280"/>
    <Relationship TargetMode="External" Target="https://www.legis.iowa.gov/docs/iac/rule/567.43.5.pdf" Type="http://schemas.openxmlformats.org/officeDocument/2006/relationships/hyperlink" Id="rId281"/>
    <Relationship TargetMode="External" Target="https://www.legis.iowa.gov/docs/iac/rule/567.43.5.pdf" Type="http://schemas.openxmlformats.org/officeDocument/2006/relationships/hyperlink" Id="rId282"/>
    <Relationship TargetMode="External" Target="https://www.legis.iowa.gov/docs/iac/rule/567.40.8.pdf" Type="http://schemas.openxmlformats.org/officeDocument/2006/relationships/hyperlink" Id="rId283"/>
    <Relationship TargetMode="External" Target="https://www.legis.iowa.gov/docs/iac/rule/567.43.5.pdf" Type="http://schemas.openxmlformats.org/officeDocument/2006/relationships/hyperlink" Id="rId284"/>
    <Relationship TargetMode="External" Target="https://www.legis.iowa.gov/docs/iac/rule/567.43.5.pdf" Type="http://schemas.openxmlformats.org/officeDocument/2006/relationships/hyperlink" Id="rId285"/>
    <Relationship TargetMode="External" Target="https://www.legis.iowa.gov/docs/iac/rule/567.41.2.pdf" Type="http://schemas.openxmlformats.org/officeDocument/2006/relationships/hyperlink" Id="rId286"/>
    <Relationship TargetMode="External" Target="https://www.legis.iowa.gov/docs/iac/rule/567.43.5.pdf" Type="http://schemas.openxmlformats.org/officeDocument/2006/relationships/hyperlink" Id="rId287"/>
    <Relationship TargetMode="External" Target="https://www.legis.iowa.gov/docs/iac/rule/567.40.8.pdf" Type="http://schemas.openxmlformats.org/officeDocument/2006/relationships/hyperlink" Id="rId288"/>
    <Relationship TargetMode="External" Target="https://www.legis.iowa.gov/docs/iac/rule/567.41.6.pdf" Type="http://schemas.openxmlformats.org/officeDocument/2006/relationships/hyperlink" Id="rId289"/>
    <Relationship TargetMode="External" Target="https://www.legis.iowa.gov/docs/iac/rule/567.43.6.pdf" Type="http://schemas.openxmlformats.org/officeDocument/2006/relationships/hyperlink" Id="rId290"/>
    <Relationship TargetMode="External" Target="https://www.legis.iowa.gov/docs/iac/rule/567.43.6.pdf" Type="http://schemas.openxmlformats.org/officeDocument/2006/relationships/hyperlink" Id="rId291"/>
    <Relationship TargetMode="External" Target="https://www.legis.iowa.gov/docs/iac/rule/567.40.5.pdf" Type="http://schemas.openxmlformats.org/officeDocument/2006/relationships/hyperlink" Id="rId292"/>
    <Relationship TargetMode="External" Target="https://www.legis.iowa.gov/docs/iac/rule/567.41.6.pdf" Type="http://schemas.openxmlformats.org/officeDocument/2006/relationships/hyperlink" Id="rId293"/>
    <Relationship TargetMode="External" Target="https://www.legis.iowa.gov/docs/iac/rule/567.41.6.pdf" Type="http://schemas.openxmlformats.org/officeDocument/2006/relationships/hyperlink" Id="rId294"/>
    <Relationship TargetMode="External" Target="https://www.legis.iowa.gov/docs/iac/rule/567.41.6.pdf" Type="http://schemas.openxmlformats.org/officeDocument/2006/relationships/hyperlink" Id="rId295"/>
    <Relationship TargetMode="External" Target="https://www.legis.iowa.gov/docs/iac/rule/567.41.6.pdf" Type="http://schemas.openxmlformats.org/officeDocument/2006/relationships/hyperlink" Id="rId296"/>
    <Relationship TargetMode="External" Target="https://www.legis.iowa.gov/docs/iac/rule/567.41.6.pdf" Type="http://schemas.openxmlformats.org/officeDocument/2006/relationships/hyperlink" Id="rId297"/>
    <Relationship TargetMode="External" Target="https://www.legis.iowa.gov/docs/iac/rule/567.41.6.pdf" Type="http://schemas.openxmlformats.org/officeDocument/2006/relationships/hyperlink" Id="rId298"/>
    <Relationship TargetMode="External" Target="https://www.legis.iowa.gov/docs/iac/rule/567.41.2.pdf" Type="http://schemas.openxmlformats.org/officeDocument/2006/relationships/hyperlink" Id="rId299"/>
    <Relationship TargetMode="External" Target="https://www.legis.iowa.gov/docs/iac/rule/567.43.6.pdf" Type="http://schemas.openxmlformats.org/officeDocument/2006/relationships/hyperlink" Id="rId300"/>
    <Relationship TargetMode="External" Target="https://www.legis.iowa.gov/docs/iac/rule/567.43.6.pdf" Type="http://schemas.openxmlformats.org/officeDocument/2006/relationships/hyperlink" Id="rId301"/>
    <Relationship TargetMode="External" Target="https://www.legis.iowa.gov/docs/iac/rule/567.43.6.pdf" Type="http://schemas.openxmlformats.org/officeDocument/2006/relationships/hyperlink" Id="rId302"/>
    <Relationship TargetMode="External" Target="https://www.legis.iowa.gov/docs/iac/rule/567.43.6.pdf" Type="http://schemas.openxmlformats.org/officeDocument/2006/relationships/hyperlink" Id="rId303"/>
    <Relationship TargetMode="External" Target="https://www.legis.iowa.gov/docs/iac/rule/567.43.6.pdf" Type="http://schemas.openxmlformats.org/officeDocument/2006/relationships/hyperlink" Id="rId304"/>
    <Relationship TargetMode="External" Target="https://www.legis.iowa.gov/docs/iac/rule/567.43.6.pdf" Type="http://schemas.openxmlformats.org/officeDocument/2006/relationships/hyperlink" Id="rId305"/>
    <Relationship TargetMode="External" Target="https://www.legis.iowa.gov/docs/iac/rule/567.43.6.pdf" Type="http://schemas.openxmlformats.org/officeDocument/2006/relationships/hyperlink" Id="rId306"/>
    <Relationship TargetMode="External" Target="https://www.legis.iowa.gov/docs/iac/rule/567.43.6.pdf" Type="http://schemas.openxmlformats.org/officeDocument/2006/relationships/hyperlink" Id="rId307"/>
    <Relationship TargetMode="External" Target="https://www.legis.iowa.gov/docs/iac/rule/567.43.6.pdf" Type="http://schemas.openxmlformats.org/officeDocument/2006/relationships/hyperlink" Id="rId308"/>
    <Relationship TargetMode="External" Target="https://www.legis.iowa.gov/docs/iac/rule/567.43.6.pdf" Type="http://schemas.openxmlformats.org/officeDocument/2006/relationships/hyperlink" Id="rId309"/>
    <Relationship TargetMode="External" Target="https://www.legis.iowa.gov/docs/iac/rule/567.43.6.pdf" Type="http://schemas.openxmlformats.org/officeDocument/2006/relationships/hyperlink" Id="rId310"/>
    <Relationship TargetMode="External" Target="https://www.legis.iowa.gov/docs/iac/rule/567.43.6.pdf" Type="http://schemas.openxmlformats.org/officeDocument/2006/relationships/hyperlink" Id="rId311"/>
    <Relationship TargetMode="External" Target="https://www.legis.iowa.gov/docs/iac/rule/567.43.6.pdf" Type="http://schemas.openxmlformats.org/officeDocument/2006/relationships/hyperlink" Id="rId312"/>
    <Relationship TargetMode="External" Target="https://www.legis.iowa.gov/docs/iac/rule/567.43.6.pdf" Type="http://schemas.openxmlformats.org/officeDocument/2006/relationships/hyperlink" Id="rId313"/>
    <Relationship TargetMode="External" Target="https://www.legis.iowa.gov/docs/iac/rule/567.43.6.pdf" Type="http://schemas.openxmlformats.org/officeDocument/2006/relationships/hyperlink" Id="rId314"/>
    <Relationship TargetMode="External" Target="https://www.legis.iowa.gov/docs/iac/rule/567.43.6.pdf" Type="http://schemas.openxmlformats.org/officeDocument/2006/relationships/hyperlink" Id="rId315"/>
    <Relationship TargetMode="External" Target="https://www.legis.iowa.gov/docs/iac/rule/567.43.6.pdf" Type="http://schemas.openxmlformats.org/officeDocument/2006/relationships/hyperlink" Id="rId316"/>
    <Relationship TargetMode="External" Target="https://www.legis.iowa.gov/docs/iac/rule/567.43.6.pdf" Type="http://schemas.openxmlformats.org/officeDocument/2006/relationships/hyperlink" Id="rId317"/>
    <Relationship TargetMode="External" Target="https://www.legis.iowa.gov/docs/iac/rule/567.43.6.pdf" Type="http://schemas.openxmlformats.org/officeDocument/2006/relationships/hyperlink" Id="rId318"/>
    <Relationship TargetMode="External" Target="https://www.legis.iowa.gov/docs/iac/rule/567.41.6.pdf" Type="http://schemas.openxmlformats.org/officeDocument/2006/relationships/hyperlink" Id="rId319"/>
    <Relationship TargetMode="External" Target="https://www.legis.iowa.gov/docs/iac/chapter/567.41.pdf" Type="http://schemas.openxmlformats.org/officeDocument/2006/relationships/hyperlink" Id="rId320"/>
    <Relationship TargetMode="External" Target="https://www.legis.iowa.gov/docs/iac/chapter/567.43.pdf" Type="http://schemas.openxmlformats.org/officeDocument/2006/relationships/hyperlink" Id="rId321"/>
    <Relationship TargetMode="External" Target="https://www.legis.iowa.gov/docs/iac/chapter/567.41.pdf" Type="http://schemas.openxmlformats.org/officeDocument/2006/relationships/hyperlink" Id="rId322"/>
    <Relationship TargetMode="External" Target="https://www.legis.iowa.gov/docs/iac/rule/567.40.9.pdf" Type="http://schemas.openxmlformats.org/officeDocument/2006/relationships/hyperlink" Id="rId323"/>
    <Relationship TargetMode="External" Target="https://www.legis.iowa.gov/docs/iac/rule/567.40.8.pdf" Type="http://schemas.openxmlformats.org/officeDocument/2006/relationships/hyperlink" Id="rId324"/>
    <Relationship TargetMode="External" Target="https://www.legis.iowa.gov/docs/iac/rule/567.41.4.pdf" Type="http://schemas.openxmlformats.org/officeDocument/2006/relationships/hyperlink" Id="rId325"/>
    <Relationship TargetMode="External" Target="https://www.legis.iowa.gov/docs/iac/chapter/567.43.pdf" Type="http://schemas.openxmlformats.org/officeDocument/2006/relationships/hyperlink" Id="rId326"/>
    <Relationship TargetMode="External" Target="https://www.legis.iowa.gov/docs/iac/chapter/567.43.pdf" Type="http://schemas.openxmlformats.org/officeDocument/2006/relationships/hyperlink" Id="rId327"/>
    <Relationship TargetMode="External" Target="https://www.legis.iowa.gov/docs/iac/rule/567.40.8.pdf" Type="http://schemas.openxmlformats.org/officeDocument/2006/relationships/hyperlink" Id="rId328"/>
    <Relationship TargetMode="External" Target="https://www.legis.iowa.gov/docs/iac/chapter/567.41.pdf" Type="http://schemas.openxmlformats.org/officeDocument/2006/relationships/hyperlink" Id="rId329"/>
    <Relationship TargetMode="External" Target="https://www.legis.iowa.gov/docs/iac/chapter/567.43.pdf" Type="http://schemas.openxmlformats.org/officeDocument/2006/relationships/hyperlink" Id="rId330"/>
    <Relationship TargetMode="External" Target="https://www.legis.iowa.gov/docs/iac/rule/567.41.7.pdf" Type="http://schemas.openxmlformats.org/officeDocument/2006/relationships/hyperlink" Id="rId331"/>
    <Relationship TargetMode="External" Target="https://www.legis.iowa.gov/docs/iac/rule/567.41.2.pdf" Type="http://schemas.openxmlformats.org/officeDocument/2006/relationships/hyperlink" Id="rId332"/>
    <Relationship TargetMode="External" Target="https://www.legis.iowa.gov/docs/iac/rule/567.41.2.pdf" Type="http://schemas.openxmlformats.org/officeDocument/2006/relationships/hyperlink" Id="rId333"/>
    <Relationship TargetMode="External" Target="https://www.legis.iowa.gov/docs/iac/rule/567.41.2.pdf" Type="http://schemas.openxmlformats.org/officeDocument/2006/relationships/hyperlink" Id="rId334"/>
    <Relationship TargetMode="External" Target="https://www.legis.iowa.gov/docs/ico/chapter/455B.171.pdf" Type="http://schemas.openxmlformats.org/officeDocument/2006/relationships/hyperlink" Id="rId335"/>
    <Relationship TargetMode="External" Target="https://www.legis.iowa.gov/docs/ico/chapter/455B.188.pdf" Type="http://schemas.openxmlformats.org/officeDocument/2006/relationships/hyperlink" Id="rId336"/>
    <Relationship TargetMode="External" Target="https://www.legis.iowa.gov/docs/ico/chapter/455B.190.pdf" Type="http://schemas.openxmlformats.org/officeDocument/2006/relationships/hyperlink" Id="rId337"/>
    <Relationship TargetMode="External" Target="https://www.legis.iowa.gov/docs/ico/chapter/455B.192.pdf" Type="http://schemas.openxmlformats.org/officeDocument/2006/relationships/hyperlink" Id="rId338"/>
    <Relationship TargetMode="External" Target="https://www.legis.iowa.gov/docs/iac/rule/567.40.8.pdf" Type="http://schemas.openxmlformats.org/officeDocument/2006/relationships/hyperlink" Id="rId339"/>
    <Relationship TargetMode="External" Target="https://www.legis.iowa.gov/docs/iac/rule/567.40.8.pdf" Type="http://schemas.openxmlformats.org/officeDocument/2006/relationships/hyperlink" Id="rId340"/>
    <Relationship TargetMode="External" Target="https://www.legis.iowa.gov/docs/iac/rule/567.40.8.pdf" Type="http://schemas.openxmlformats.org/officeDocument/2006/relationships/hyperlink" Id="rId341"/>
    <Relationship TargetMode="External" Target="https://www.legis.iowa.gov/docs/iac/rule/567.40.8.pdf" Type="http://schemas.openxmlformats.org/officeDocument/2006/relationships/hyperlink" Id="rId342"/>
    <Relationship TargetMode="External" Target="https://www.legis.iowa.gov/docs/iac/rule/567.40.8.pdf" Type="http://schemas.openxmlformats.org/officeDocument/2006/relationships/hyperlink" Id="rId343"/>
    <Relationship TargetMode="External" Target="https://www.legis.iowa.gov/docs/iac/rule/567.40.8.pdf" Type="http://schemas.openxmlformats.org/officeDocument/2006/relationships/hyperlink" Id="rId344"/>
    <Relationship TargetMode="External" Target="https://www.legis.iowa.gov/docs/iac/rule/567.40.8.pdf" Type="http://schemas.openxmlformats.org/officeDocument/2006/relationships/hyperlink" Id="rId345"/>
    <Relationship TargetMode="External" Target="https://www.legis.iowa.gov/docs/iac/rule/567.40.8.pdf" Type="http://schemas.openxmlformats.org/officeDocument/2006/relationships/hyperlink" Id="rId346"/>
    <Relationship TargetMode="External" Target="https://www.legis.iowa.gov/docs/iac/rule/567.40.8.pdf" Type="http://schemas.openxmlformats.org/officeDocument/2006/relationships/hyperlink" Id="rId347"/>
    <Relationship TargetMode="External" Target="https://www.legis.iowa.gov/docs/iac/rule/567.40.8.pdf" Type="http://schemas.openxmlformats.org/officeDocument/2006/relationships/hyperlink" Id="rId348"/>
    <Relationship TargetMode="External" Target="https://www.legis.iowa.gov/docs/iac/rule/567.40.8.pdf" Type="http://schemas.openxmlformats.org/officeDocument/2006/relationships/hyperlink" Id="rId349"/>
    <Relationship TargetMode="External" Target="https://www.legis.iowa.gov/docs/iac/rule/567.40.8.pdf" Type="http://schemas.openxmlformats.org/officeDocument/2006/relationships/hyperlink" Id="rId350"/>
    <Relationship TargetMode="External" Target="https://www.legis.iowa.gov/docs/iac/rule/567.40.8.pdf" Type="http://schemas.openxmlformats.org/officeDocument/2006/relationships/hyperlink" Id="rId351"/>
    <Relationship TargetMode="External" Target="https://www.legis.iowa.gov/docs/iac/rule/567.40.8.pdf" Type="http://schemas.openxmlformats.org/officeDocument/2006/relationships/hyperlink" Id="rId352"/>
    <Relationship TargetMode="External" Target="https://www.legis.iowa.gov/docs/iac/rule/567.41.9.pdf" Type="http://schemas.openxmlformats.org/officeDocument/2006/relationships/hyperlink" Id="rId353"/>
    <Relationship TargetMode="External" Target="https://www.legis.iowa.gov/docs/iac/rule/567.43.5.pdf" Type="http://schemas.openxmlformats.org/officeDocument/2006/relationships/hyperlink" Id="rId354"/>
    <Relationship TargetMode="External" Target="https://www.legis.iowa.gov/docs/iac/rule/567.43.5.pdf" Type="http://schemas.openxmlformats.org/officeDocument/2006/relationships/hyperlink" Id="rId355"/>
    <Relationship TargetMode="External" Target="https://www.legis.iowa.gov/docs/iac/rule/567.40.9.pdf" Type="http://schemas.openxmlformats.org/officeDocument/2006/relationships/hyperlink" Id="rId356"/>
    <Relationship TargetMode="External" Target="https://www.legis.iowa.gov/docs/iac/rule/567.43.10.pdf" Type="http://schemas.openxmlformats.org/officeDocument/2006/relationships/hyperlink" Id="rId357"/>
    <Relationship TargetMode="External" Target="https://www.legis.iowa.gov/docs/iac/rule/567.43.5.pdf" Type="http://schemas.openxmlformats.org/officeDocument/2006/relationships/hyperlink" Id="rId358"/>
    <Relationship TargetMode="External" Target="https://www.legis.iowa.gov/docs/iac/rule/567.43.5.pdf" Type="http://schemas.openxmlformats.org/officeDocument/2006/relationships/hyperlink" Id="rId359"/>
    <Relationship TargetMode="External" Target="https://www.legis.iowa.gov/docs/iac/rule/567.43.5.pdf" Type="http://schemas.openxmlformats.org/officeDocument/2006/relationships/hyperlink" Id="rId360"/>
    <Relationship TargetMode="External" Target="https://www.legis.iowa.gov/docs/iac/rule/567.43.5.pdf" Type="http://schemas.openxmlformats.org/officeDocument/2006/relationships/hyperlink" Id="rId361"/>
    <Relationship TargetMode="External" Target="https://www.legis.iowa.gov/docs/iac/rule/567.43.6.pdf" Type="http://schemas.openxmlformats.org/officeDocument/2006/relationships/hyperlink" Id="rId362"/>
    <Relationship TargetMode="External" Target="https://www.legis.iowa.gov/docs/iac/rule/567.43.5.pdf" Type="http://schemas.openxmlformats.org/officeDocument/2006/relationships/hyperlink" Id="rId363"/>
    <Relationship TargetMode="External" Target="https://www.legis.iowa.gov/docs/iac/rule/567.43.5.pdf" Type="http://schemas.openxmlformats.org/officeDocument/2006/relationships/hyperlink" Id="rId364"/>
    <Relationship TargetMode="External" Target="https://www.legis.iowa.gov/docs/iac/rule/567.43.5.pdf" Type="http://schemas.openxmlformats.org/officeDocument/2006/relationships/hyperlink" Id="rId365"/>
    <Relationship TargetMode="External" Target="https://www.legis.iowa.gov/docs/iac/rule/567.43.9.pdf" Type="http://schemas.openxmlformats.org/officeDocument/2006/relationships/hyperlink" Id="rId366"/>
    <Relationship TargetMode="External" Target="https://www.legis.iowa.gov/docs/iac/rule/567.43.10.pdf" Type="http://schemas.openxmlformats.org/officeDocument/2006/relationships/hyperlink" Id="rId367"/>
    <Relationship TargetMode="External" Target="https://www.legis.iowa.gov/docs/iac/rule/567.43.5.pdf" Type="http://schemas.openxmlformats.org/officeDocument/2006/relationships/hyperlink" Id="rId368"/>
    <Relationship TargetMode="External" Target="https://www.legis.iowa.gov/docs/iac/rule/567.40.8.pdf" Type="http://schemas.openxmlformats.org/officeDocument/2006/relationships/hyperlink" Id="rId369"/>
    <Relationship TargetMode="External" Target="https://www.legis.iowa.gov/docs/iac/rule/567.43.5.pdf" Type="http://schemas.openxmlformats.org/officeDocument/2006/relationships/hyperlink" Id="rId370"/>
    <Relationship TargetMode="External" Target="https://www.legis.iowa.gov/docs/iac/rule/567.43.5.pdf" Type="http://schemas.openxmlformats.org/officeDocument/2006/relationships/hyperlink" Id="rId371"/>
    <Relationship TargetMode="External" Target="https://www.legis.iowa.gov/docs/iac/rule/567.43.6.pdf" Type="http://schemas.openxmlformats.org/officeDocument/2006/relationships/hyperlink" Id="rId372"/>
    <Relationship TargetMode="External" Target="https://www.legis.iowa.gov/docs/iac/rule/567.43.5.pdf" Type="http://schemas.openxmlformats.org/officeDocument/2006/relationships/hyperlink" Id="rId373"/>
    <Relationship TargetMode="External" Target="https://www.legis.iowa.gov/docs/iac/rule/567.41.4.pdf" Type="http://schemas.openxmlformats.org/officeDocument/2006/relationships/hyperlink" Id="rId374"/>
    <Relationship TargetMode="External" Target="https://www.legis.iowa.gov/docs/iac/rule/567.43.7.pdf" Type="http://schemas.openxmlformats.org/officeDocument/2006/relationships/hyperlink" Id="rId375"/>
    <Relationship TargetMode="External" Target="https://www.legis.iowa.gov/docs/iac/rule/567.43.7.pdf" Type="http://schemas.openxmlformats.org/officeDocument/2006/relationships/hyperlink" Id="rId376"/>
    <Relationship TargetMode="External" Target="https://www.legis.iowa.gov/docs/iac/rule/567.41.5.pdf" Type="http://schemas.openxmlformats.org/officeDocument/2006/relationships/hyperlink" Id="rId377"/>
    <Relationship TargetMode="External" Target="https://www.legis.iowa.gov/docs/iac/rule/567.41.7.pdf" Type="http://schemas.openxmlformats.org/officeDocument/2006/relationships/hyperlink" Id="rId378"/>
    <Relationship TargetMode="External" Target="https://www.legis.iowa.gov/docs/iac/rule/567.43.5.pdf" Type="http://schemas.openxmlformats.org/officeDocument/2006/relationships/hyperlink" Id="rId379"/>
    <Relationship TargetMode="External" Target="https://www.legis.iowa.gov/docs/iac/rule/567.43.6.pdf" Type="http://schemas.openxmlformats.org/officeDocument/2006/relationships/hyperlink" Id="rId380"/>
    <Relationship TargetMode="External" Target="https://www.legis.iowa.gov/docs/iac/rule/567.43.6.pdf" Type="http://schemas.openxmlformats.org/officeDocument/2006/relationships/hyperlink" Id="rId3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