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CONSTRUCTION PERMIT REQUIREMENTS FOR MAJOR STATIONARY SOURCES—</w:t>
      </w:r>
      <w:r>
        <w:br/>
      </w:r>
      <w:r>
        <w:rPr>
          <w:rFonts w:ascii="Times New Roman" w:hAnsi="Times New Roman"/>
          <w:b w:val="false"/>
          <w:i w:val="false"/>
          <w:color w:val="000000"/>
          <w:sz w:val="21"/>
        </w:rPr>
        <w:t>PREVENTION OF SIGNIFICANT DETERIORATION (PSD)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567—33.1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implements the major new source review (NSR) program contained in Part C of Title I of the federal Clean Air Act as amended on November 15, 1990, and as promulgated under 40 CFR 51.166 and 52.21. This is a preconstruction review and permitting program applicable to new or modified major stationary sources of air pollutants regulated under Part C of the Clean Air Act as amended on November 15, 1990. In areas that do not meet the national ambient air quality standards (NAAQS), the nonattainment new source review (NNSR) program applies. The rules for the NNSR program are set forth in </w:t>
      </w:r>
      <w:hyperlink r:id="rId5">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In areas that meet the NAAQS, the prevention of significant deterioration (PSD) program applies. Collectively, the NNSR and PSD programs are referred to as the major NSR program. An owner or operator required to apply for a construction permit under </w:t>
      </w:r>
      <w:hyperlink r:id="rId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shall submit fees as specified in </w:t>
      </w:r>
      <w:hyperlink r:id="rId7">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Rule </w:t>
      </w:r>
      <w:hyperlink r:id="rId8">
        <w:r>
          <w:rPr>
            <w:rStyle w:val="Hyperlink"/>
            <w:rFonts w:ascii="Times New Roman" w:hAnsi="Times New Roman"/>
            <w:b w:val="false"/>
            <w:i w:val="false"/>
            <w:color w:val="000000"/>
            <w:sz w:val="22"/>
          </w:rPr>
          <w:t>567—33.2</w:t>
        </w:r>
      </w:hyperlink>
      <w:r>
        <w:rPr>
          <w:rFonts w:ascii="Times New Roman" w:hAnsi="Times New Roman"/>
          <w:b w:val="false"/>
          <w:i w:val="false"/>
          <w:color w:val="000000"/>
          <w:sz w:val="22"/>
        </w:rPr>
        <w:t>(455B) is reserved.</w:t>
      </w:r>
    </w:p>
    <w:p>
      <w:pPr>
        <w:spacing w:before="0" w:after="0"/>
        <w:ind w:left="120"/>
        <w:jc w:val="both"/>
      </w:pPr>
      <w:r>
        <w:rPr>
          <w:rFonts w:ascii="Times New Roman" w:hAnsi="Times New Roman"/>
          <w:b w:val="false"/>
          <w:i w:val="false"/>
          <w:color w:val="000000"/>
          <w:sz w:val="22"/>
        </w:rPr>
        <w:t xml:space="preserve">Rule </w:t>
      </w:r>
      <w:hyperlink r:id="rId9">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 sets forth the definitions, standards and permitting requirements that are specific to the PSD program.</w:t>
      </w:r>
    </w:p>
    <w:p>
      <w:pPr>
        <w:spacing w:before="0" w:after="0"/>
        <w:ind w:left="120"/>
        <w:jc w:val="both"/>
      </w:pPr>
      <w:r>
        <w:rPr>
          <w:rFonts w:ascii="Times New Roman" w:hAnsi="Times New Roman"/>
          <w:b w:val="false"/>
          <w:i w:val="false"/>
          <w:color w:val="000000"/>
          <w:sz w:val="22"/>
        </w:rPr>
        <w:t xml:space="preserve">Rules </w:t>
      </w:r>
      <w:hyperlink r:id="rId10">
        <w:r>
          <w:rPr>
            <w:rStyle w:val="Hyperlink"/>
            <w:rFonts w:ascii="Times New Roman" w:hAnsi="Times New Roman"/>
            <w:b w:val="false"/>
            <w:i w:val="false"/>
            <w:color w:val="000000"/>
            <w:sz w:val="22"/>
          </w:rPr>
          <w:t>567—33.4</w:t>
        </w:r>
      </w:hyperlink>
      <w:r>
        <w:rPr>
          <w:rFonts w:ascii="Times New Roman" w:hAnsi="Times New Roman"/>
          <w:b w:val="false"/>
          <w:i w:val="false"/>
          <w:color w:val="000000"/>
          <w:sz w:val="22"/>
        </w:rPr>
        <w:t xml:space="preserve">(455B) through </w:t>
      </w:r>
      <w:hyperlink r:id="rId11">
        <w:r>
          <w:rPr>
            <w:rStyle w:val="Hyperlink"/>
            <w:rFonts w:ascii="Times New Roman" w:hAnsi="Times New Roman"/>
            <w:b w:val="false"/>
            <w:i w:val="false"/>
            <w:color w:val="000000"/>
            <w:sz w:val="22"/>
          </w:rPr>
          <w:t>567—33.8</w:t>
        </w:r>
      </w:hyperlink>
      <w:r>
        <w:rPr>
          <w:rFonts w:ascii="Times New Roman" w:hAnsi="Times New Roman"/>
          <w:b w:val="false"/>
          <w:i w:val="false"/>
          <w:color w:val="000000"/>
          <w:sz w:val="22"/>
        </w:rPr>
        <w:t>(455B) are reserved.</w:t>
      </w:r>
    </w:p>
    <w:p>
      <w:pPr>
        <w:spacing w:before="0" w:after="0"/>
        <w:ind w:left="120"/>
        <w:jc w:val="both"/>
      </w:pPr>
      <w:r>
        <w:rPr>
          <w:rFonts w:ascii="Times New Roman" w:hAnsi="Times New Roman"/>
          <w:b w:val="false"/>
          <w:i w:val="false"/>
          <w:color w:val="000000"/>
          <w:sz w:val="22"/>
        </w:rPr>
        <w:t xml:space="preserve">Rule </w:t>
      </w:r>
      <w:hyperlink r:id="rId12">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 xml:space="preserve">(455B) includes the conditions under which a source subject to PSD may obtain a plantwide applicability limitation (PAL) on emissions. An owner or operator requesting a PAL under </w:t>
      </w:r>
      <w:hyperlink r:id="rId13">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 xml:space="preserve">(455B) shall submit fees as required in </w:t>
      </w:r>
      <w:hyperlink r:id="rId14">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addition to the requirements in this chapter, stationary sources may also be subject to the permitting requirements in </w:t>
      </w:r>
      <w:hyperlink r:id="rId15">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and the rules for Title V operating permits in </w:t>
      </w:r>
      <w:hyperlink r:id="rId16">
        <w:r>
          <w:rPr>
            <w:rStyle w:val="Hyperlink"/>
            <w:rFonts w:ascii="Times New Roman" w:hAnsi="Times New Roman"/>
            <w:b w:val="false"/>
            <w:i w:val="false"/>
            <w:color w:val="000000"/>
            <w:sz w:val="22"/>
          </w:rPr>
          <w:t>567—Chapter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567—33.3</w:t>
      </w:r>
      <w:r>
        <w:rPr>
          <w:rFonts w:ascii="Times New Roman" w:hAnsi="Times New Roman"/>
          <w:b/>
          <w:i w:val="false"/>
          <w:color w:val="000000"/>
          <w:sz w:val="22"/>
        </w:rPr>
        <w:t xml:space="preserve">(455B) </w:t>
      </w:r>
      <w:r>
        <w:rPr>
          <w:rFonts w:ascii="Times New Roman" w:hAnsi="Times New Roman"/>
          <w:b/>
          <w:i w:val="false"/>
          <w:color w:val="000000"/>
          <w:sz w:val="22"/>
        </w:rPr>
        <w:t xml:space="preserve">PSD construction permit requirements for major stationary 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Definitions included in this subrule apply to the provisions set forth in this rule (PSD program requirements). For purposes of this rule and unless otherwise noted, the definitions herein apply. Definitions that are adopted by reference from 40 CFR 51.166 or 52.21 are as amended through July 19, 2021, unless otherwise noted. The following phrases contained in 40 CFR 51.166 are not adopted by reference: “it shall also provide that,” “mechanism whereby,” “the plan may provide that,” “the plan provides that,” “the plan shall provide,” and “the plan shall provide that.” Additionally, the term “the plan” shall mean “State Implementation Plan” or “SIP.”</w:t>
      </w:r>
    </w:p>
    <w:p>
      <w:pPr>
        <w:spacing w:before="0" w:after="0"/>
        <w:ind w:left="120"/>
        <w:jc w:val="both"/>
      </w:pPr>
      <w:r>
        <w:rPr>
          <w:rFonts w:ascii="Times New Roman" w:hAnsi="Times New Roman"/>
          <w:b w:val="false"/>
          <w:i w:val="false"/>
          <w:color w:val="000000"/>
          <w:sz w:val="22"/>
        </w:rPr>
        <w:t>For purposes of this rule, the following terms have the meanings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Clean Air Act, 42 U.S.C. Sections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emissions”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actual rate of emissions of a regulated NSR pollutant from an emissions unit, as determined in accordance with paragraphs “2” through “4,” except that this definition shall not apply for calculating whether a significant emissions increase has occurred, or for establishing a PAL under </w:t>
      </w:r>
      <w:hyperlink r:id="rId17">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(455B). Instead, the requirements specified under the definitions for “projected actual emissions” and “baseline actual emissions” shall apply for those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general, actual emissions as of a particular date shall equal the average rate, in tons per year, at which the unit actually emitted the pollutant during a consecutive 24-month period that precedes the particular date and that is representative of normal source operation. The department shall allow the use of a different time period upon a determination that it is more representative of normal source operation. Actual emissions shall be calculated using the unit’s actual operating hours, production rates, and types of materials processed, stored, or combusted during the selected time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may presume that source-specific allowable emissions for the unit are equivalent to the actual emissions of the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any emissions unit that has not begun normal operations on the particular date, actual emissions shall equal the potential to emit of the unit on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for the United States Environmental Protection Agency (EPA)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emissions” </w:t>
      </w:r>
      <w:r>
        <w:rPr>
          <w:rFonts w:ascii="Times New Roman" w:hAnsi="Times New Roman"/>
          <w:b w:val="false"/>
          <w:i w:val="false"/>
          <w:color w:val="000000"/>
          <w:sz w:val="22"/>
        </w:rPr>
        <w:t>means the emissions rate of a stationary source calculated using the maximum rated capacity of the source (unless the source is subject to federally enforceable limits or enforceable permit conditions that restrict the operating rate, or hours of operation, or both) and the most stringent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applicable standards as set forth in </w:t>
      </w:r>
      <w:hyperlink r:id="rId18">
        <w:r>
          <w:rPr>
            <w:rStyle w:val="Hyperlink"/>
            <w:rFonts w:ascii="Times New Roman" w:hAnsi="Times New Roman"/>
            <w:b w:val="false"/>
            <w:i w:val="false"/>
            <w:color w:val="000000"/>
            <w:sz w:val="22"/>
          </w:rPr>
          <w:t>567—subrules 23.1(2) through 23.1(5)</w:t>
        </w:r>
      </w:hyperlink>
      <w:r>
        <w:rPr>
          <w:rFonts w:ascii="Times New Roman" w:hAnsi="Times New Roman"/>
          <w:b w:val="false"/>
          <w:i w:val="false"/>
          <w:color w:val="000000"/>
          <w:sz w:val="22"/>
        </w:rPr>
        <w:t xml:space="preserve"> (new source performance standards, emissions standards for hazardous air pollutants, and federal emissions guidelines) or an applicable federal standard not adopted by the state, as set forth in 40 CFR Parts 60, 61 and 63;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applicable SIP emissions limitation, including those with a future compliance date;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emissions rate specified as an enforceable permit condition, including those with a future compliance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actual emissions,” </w:t>
      </w:r>
      <w:r>
        <w:rPr>
          <w:rFonts w:ascii="Times New Roman" w:hAnsi="Times New Roman"/>
          <w:b w:val="false"/>
          <w:i w:val="false"/>
          <w:color w:val="000000"/>
          <w:sz w:val="22"/>
        </w:rPr>
        <w:t>for the purposes of this chapter, means the rate of emissions, in tons per year, of a regulated NSR pollutant, as “regulated NSR pollutant” is defined in this subrule, and as determined in accordance with paragraphs “1” through “4.”</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any existing electric utility steam generating unit, “baseline actual emissions” means the average rate, in tons per year, at which the unit actually emitted the pollutant during any consecutive 24-month period selected by the owner or operator within the five-year period immediately preceding the date on which the owner or operator begins actual construction of the project. The department shall allow the use of a different time period upon a determination that it is more representative of normal source operation.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average rate shall include fugitive emissions to the extent quantifiable and emissions associated with startups, shutdowns, and malfunctions.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rate shall be adjusted downward to exclude any noncompliant emissions that occurred while the source was operating above an emissions limitation that was legally enforceable during the consecutive 24-month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regulated NSR pollutant, when a project involves multiple emissions units, only one consecutive 24-month period must be used to determine the baseline actual emissions for the emissions units being changed. A different consecutive 24-month period may be used for each regulated NSR pollutant.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average rate shall not be based on any consecutive 24-month period for which there is inadequate information for determining annual emissions, in tons per year, and for adjusting this amount if required by paragraph “1”(b).</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an existing emissions unit, other than an electric utility steam generating unit, “baseline actual emissions” means the average rate, in tons per year, at which the emissions unit actually emitted the pollutant during any consecutive 24-month period selected by the owner or operator within the ten-year period immediately preceding either the date on which the owner or operator begins actual construction of the project, or the date on which a complete permit application is received by the department for a permit required either under this chapter or under a SIP approved by the Administrator, whichever is earlier, except that the ten-year period shall not include any period earlier than November 15, 1990.</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average rate shall include fugitive emissions to the extent quantifiable and emissions associated with startups, shutdowns, and malfunctions.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rate shall be adjusted downward to exclude any noncompliant emissions that occurred while the source was operating above an emissions limitation that was legally enforceable during the consecutive 24-month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average rate shall be adjusted downward to exclude any emissions that would have exceeded an emissions limitation with which the major stationary source must currently comply, had such major stationary source been required to comply with such limitations during the consecutive 24-month period. However, if an emissions limitation is part of a maximum achievable control technology standard that the Administrator proposed or promulgated under 40 CFR Part 63, the baseline actual emissions need only be adjusted if the state has taken credit for such emissions reductions in an attainment demonstration or maintenance plan consistent with the requirements of 40 CFR 51.165(a)(3)(ii)(G) as amended through November 29, 2005.</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 regulated NSR pollutant, when a project involves multiple emissions units, only one consecutive 24-month period must be used to determine the baseline actual emissions for the emissions units being changed. A different consecutive 24-month period may be used for each regulated NSR pollutant.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average rate shall not be based on any consecutive 24-month period for which there is inadequate information for determining annual emissions, in tons per year, and for adjusting this amount if required by paragraphs “2”(b) and “2”(c).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new emissions unit, the baseline actual emissions for purposes of determining the emissions increase that will result from the initial construction and operation of such unit shall equal zero; and thereafter, for all other purposes, shall equal the unit’s potential to emit.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 PAL for a stationary source, the baseline actual emissions shall be calculated for existing electric utility steam generating units in accordance with the procedures contained in paragraph “1,” for other existing emissions units in accordance with the procedures contained in paragraph “2,” and for a new emissions unit in accordance with the procedures contained in paragraph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area”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intrastate area (and every part thereof) designated as attainment or unclassifiable under Section 107(d)(1)(A)(ii) or (iii) of the Act in which the major source or major modification establishing the minor source baseline date would construct or would have an air quality impact for the pollutant for which the baseline date is established, as follows: equal to or greater than 1 μg/m3 (annual average) for sulfur dioxide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nitrogen dioxide (NO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or equal to or greater than 0.3 μg/m3 (annual average) for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Area redesignations under Section 107(d)(1)(A)(ii) or (iii) of the Act cannot intersect or be smaller than the area of impact of any major stationary source or major modification that establishes a minor source baseline date or is subject to regulations specified in this rule, in 40 CFR 52.21 (PSD requirements), or in department rules approved by EPA and published in 40 CFR Part 51, Subpart I, as amended through October 20, 2010, and would be constructed in the same state as the state proposing the redesignation.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baseline area established originally for the total suspended particulate increments shall remain in effect and shall apply for purposes of determining the amount of available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increments, except that such baseline area shall not remain in effect if the permitting authority rescinds the corresponding minor source baseline date in accordance with the definition of “baseline date”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concentration”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ambient concentration level that exists in the baseline area at the time of the applicable minor source baseline date. A baseline concentration is determined for each pollutant for which a minor source baseline date is established and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actual emissions representative of sources in existence on the applicable minor source baseline date, except as provided in paragraph “2”;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allowable emissions of major stationary sources that commenced construction before the major source baseline date but were not in operation by the applicable minor source baseline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will not be included in the baseline concentration and will affect the applicable maximum allowable increase(s):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Actual emissions from any major stationary source on which construction commenced after the major source baseline date;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Actual emissions increases and decreases at any stationary source occurring after the minor source baseline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“major source baseline date” or “minor source baseline date”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“major source baseline date” means, in the case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and sulfur dioxide, January 6, 1975; in the case of nitrogen dioxide, February 8, 1988; and in the case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October 20, 2010.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“minor source baseline date” means the earliest date after the trigger date on which a major stationary source or a major modification subject to 40 CFR 52.21 as amended through October 20, 2010, or subject to this rule (PSD program requirements), or subject to a department rule approved by EPA and published in 40 CFR Part 51, Subpart I, as amended through October 20, 2010, submits a complete application under the relevant regulations. The trigger date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and sulfur dioxide is August 7, 1977. For nitrogen dioxide, the trigger date is February 8, 1988. For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the trigger date is October 20, 2011.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“baseline date” is established for each pollutant for which increments or other equivalent measures have been established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area in which the proposed source or modification would construct is designated as attainment or unclassifiable under Section 107(d)(1)(A)(ii) or (iii) of the Act for the pollutant on the date of its complete application under 40 CFR 52.21 as amended through October 20, 2010, or under regulations specified in this rule (PSD program requirements);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 major stationary source, the pollutant would be emitted in significant amounts, or in the case of a major modification, there would be a significant net emissions increase of the pollutant.</w:t>
      </w:r>
      <w:r>
        <w:br/>
      </w:r>
    </w:p>
    <w:p>
      <w:pPr>
        <w:spacing w:before="0" w:after="0"/>
        <w:ind w:left="120"/>
        <w:jc w:val="both"/>
      </w:pPr>
      <w:r>
        <w:rPr>
          <w:rFonts w:ascii="Times New Roman" w:hAnsi="Times New Roman"/>
          <w:b w:val="false"/>
          <w:i w:val="false"/>
          <w:color w:val="000000"/>
          <w:sz w:val="22"/>
        </w:rPr>
        <w:t>Any minor source baseline date established originally for the total suspended particulate increments shall remain in effect and shall apply for purposes of determining the amount of available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increments, except that the reviewing authority may rescind any such minor source baseline date where it can be shown, to the satisfaction of the reviewing authority, that the emissions increase from the major stationary source, or the net emissions increase from the major modification, responsible for triggering that date did not result in a significant amount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 actual construction” </w:t>
      </w:r>
      <w:r>
        <w:rPr>
          <w:rFonts w:ascii="Times New Roman" w:hAnsi="Times New Roman"/>
          <w:b w:val="false"/>
          <w:i w:val="false"/>
          <w:color w:val="000000"/>
          <w:sz w:val="22"/>
        </w:rPr>
        <w:t>means, in general, initiation of physical on-site construction activities on an emissions unit that are of a permanent nature. Such activities include, but are not limited to, installation of building supports and foundations, laying of underground pipework, and construction of permanent storage structures. With respect to a change in method of operation, this term refers to those on-site activities, other than preparatory activities, that mark the initiation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control technology”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“BACT” </w:t>
      </w:r>
      <w:r>
        <w:rPr>
          <w:rFonts w:ascii="Times New Roman" w:hAnsi="Times New Roman"/>
          <w:b w:val="false"/>
          <w:i w:val="false"/>
          <w:color w:val="000000"/>
          <w:sz w:val="22"/>
        </w:rPr>
        <w:t xml:space="preserve">means an emissions limitation, including a visible emissions standard, based on the maximum degree of reduction for each regulated NSR pollutant that would be emitted from any proposed major stationary source or major modification that the reviewing authority, on a case-by-case basis, taking into account energy, environmental, and economic impacts and other costs, determines is achievable for such source or modification through application of production processes or available methods, systems, and techniques, including fuel cleaning or treatment or innovative fuel combination techniques for control of such pollutant. In no event shall application of best available control technology result in emissions of any pollutant that would exceed the emissions allowed by any applicable standard under </w:t>
      </w:r>
      <w:hyperlink r:id="rId19">
        <w:r>
          <w:rPr>
            <w:rStyle w:val="Hyperlink"/>
            <w:rFonts w:ascii="Times New Roman" w:hAnsi="Times New Roman"/>
            <w:b w:val="false"/>
            <w:i w:val="false"/>
            <w:color w:val="000000"/>
            <w:sz w:val="22"/>
          </w:rPr>
          <w:t>567—subrules 23.1(2) through 23.1(5)</w:t>
        </w:r>
      </w:hyperlink>
      <w:r>
        <w:rPr>
          <w:rFonts w:ascii="Times New Roman" w:hAnsi="Times New Roman"/>
          <w:b w:val="false"/>
          <w:i w:val="false"/>
          <w:color w:val="000000"/>
          <w:sz w:val="22"/>
        </w:rPr>
        <w:t xml:space="preserve"> (standards for new stationary sources, federal standards for hazardous air pollutants, and federal emissions guidelines), or federal regulations as set forth in 40 CFR Parts 60, 61 and 63 but not adopted by the state. If the department determines that technological or economic limitations on the application of measurement methodology to a particular emissions unit would make the imposition of an emissions standard infeasible, a design, equipment, work practice, operational standard or combination thereof may be prescribed instead to satisfy the requirement for the application of best available control technology. Such standard shall, to the degree possible, set forth the emissions reduction achievable by implementation of such design, equipment, work practice or operation and shall provide for compliance by means that achieve equivalent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structure, facility, or installation” </w:t>
      </w:r>
      <w:r>
        <w:rPr>
          <w:rFonts w:ascii="Times New Roman" w:hAnsi="Times New Roman"/>
          <w:b w:val="false"/>
          <w:i w:val="false"/>
          <w:color w:val="000000"/>
          <w:sz w:val="22"/>
        </w:rPr>
        <w:t>means all of the pollutant-emitting activities that belong to the same industrial grouping, are located on one or more contiguous or adjacent properties, and are under the control of the same person (or persons under common control) except the activities of any vessel. Pollutant-emitting activities shall be considered as part of the same industrial grouping if they belong to the same major group (i.e., that have the same two-digit code) as described in the Standard Industrial Classification Manual, 1972, as amended by the 1977 Supplement (U.S. Government Printing Office stock numbers 4101-0066 and 003-005-00176-0,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with standard references in this chapter by title and part, so that “40 CFR 51” or “40 CFR Part 51” means “Title 40 Code of Federal Regulations, Part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coal technology” </w:t>
      </w:r>
      <w:r>
        <w:rPr>
          <w:rFonts w:ascii="Times New Roman" w:hAnsi="Times New Roman"/>
          <w:b w:val="false"/>
          <w:i w:val="false"/>
          <w:color w:val="000000"/>
          <w:sz w:val="22"/>
        </w:rPr>
        <w:t>means the definition of “clean coal technology” set forth in 40 CFR 52.21(b)(34)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coal technology demonstration project” </w:t>
      </w:r>
      <w:r>
        <w:rPr>
          <w:rFonts w:ascii="Times New Roman" w:hAnsi="Times New Roman"/>
          <w:b w:val="false"/>
          <w:i w:val="false"/>
          <w:color w:val="000000"/>
          <w:sz w:val="22"/>
        </w:rPr>
        <w:t>means the definition of “clean coal technology demonstration project” set forth in 40 CFR 52.21(b)(35)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“Commence,” </w:t>
      </w:r>
      <w:r>
        <w:rPr>
          <w:rFonts w:ascii="Times New Roman" w:hAnsi="Times New Roman"/>
          <w:b w:val="false"/>
          <w:i w:val="false"/>
          <w:color w:val="000000"/>
          <w:sz w:val="22"/>
        </w:rPr>
        <w:t>as applied to construction of a major stationary source or major modification, means that the owner or operator has all necessary preconstruction approvals or permits and either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Begun, or caused to begin, a continuous program of actual on-site construction of the source, to be completed within a reasonable time;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Entered into binding agreements or contractual obligations, which cannot be canceled or modified without substantial loss to the owner or operator, to undertake a program of actual construction of the source to be completed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w:t>
      </w:r>
      <w:r>
        <w:rPr>
          <w:rFonts w:ascii="Times New Roman" w:hAnsi="Times New Roman"/>
          <w:b w:val="false"/>
          <w:i w:val="false"/>
          <w:color w:val="000000"/>
          <w:sz w:val="22"/>
        </w:rPr>
        <w:t>means, in reference to an application for a permit, that the application contains all the information necessary for processing the application. Designating an application complete for purposes of permit processing does not preclude the department from requesting or accepting any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any physical change or change in the method of operation, including fabrication, erection, installation, demolition, or modification of an emissions unit, that would result in a change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emissions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“CEMS” </w:t>
      </w:r>
      <w:r>
        <w:rPr>
          <w:rFonts w:ascii="Times New Roman" w:hAnsi="Times New Roman"/>
          <w:b w:val="false"/>
          <w:i w:val="false"/>
          <w:color w:val="000000"/>
          <w:sz w:val="22"/>
        </w:rPr>
        <w:t>means the definition of “continuous emissions monitoring system” set forth in 40 CFR 52.21(b)(44)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emissions rate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“CERMS” </w:t>
      </w:r>
      <w:r>
        <w:rPr>
          <w:rFonts w:ascii="Times New Roman" w:hAnsi="Times New Roman"/>
          <w:b w:val="false"/>
          <w:i w:val="false"/>
          <w:color w:val="000000"/>
          <w:sz w:val="22"/>
        </w:rPr>
        <w:t>means the definition of “continuous emissions rate monitoring system” set forth in 40 CFR 52.21(b)(47)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parameter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“CPMS” </w:t>
      </w:r>
      <w:r>
        <w:rPr>
          <w:rFonts w:ascii="Times New Roman" w:hAnsi="Times New Roman"/>
          <w:b w:val="false"/>
          <w:i w:val="false"/>
          <w:color w:val="000000"/>
          <w:sz w:val="22"/>
        </w:rPr>
        <w:t>means the definition of “continuous parameter monitoring system” set forth in 40 CFR 52.21(b)(46)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utility steam generating unit” </w:t>
      </w:r>
      <w:r>
        <w:rPr>
          <w:rFonts w:ascii="Times New Roman" w:hAnsi="Times New Roman"/>
          <w:b w:val="false"/>
          <w:i w:val="false"/>
          <w:color w:val="000000"/>
          <w:sz w:val="22"/>
        </w:rPr>
        <w:t>means any steam electric generating unit that is constructed for the purpose of supplying more than one-third of its potential electric output capacity and more than 25 MW electrical output to any utility power distribution system for sale. Any steam supplied to a steam distribution system for the purpose of providing steam to a steam-electric generator that would produce electrical energy for sale is also considered in determining the electrical energy output capacity of the affected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unit” </w:t>
      </w:r>
      <w:r>
        <w:rPr>
          <w:rFonts w:ascii="Times New Roman" w:hAnsi="Times New Roman"/>
          <w:b w:val="false"/>
          <w:i w:val="false"/>
          <w:color w:val="000000"/>
          <w:sz w:val="22"/>
        </w:rPr>
        <w:t>means any part of a stationary source that emits or would have the potential to emit any regulated NSR pollutant and includes an electric utility steam generating unit. For purposes of this chapter, there are two types of emissions units: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new emissions unit is any emissions unit that is (or will be) newly constructed and that has existed for less than two years from the date such emissions unit first operated.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emissions unit is any emissions unit that does not meet the requirements in paragraph “1.” A replacement unit is an existing emissions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“Enforceable permit condition,” </w:t>
      </w:r>
      <w:r>
        <w:rPr>
          <w:rFonts w:ascii="Times New Roman" w:hAnsi="Times New Roman"/>
          <w:b w:val="false"/>
          <w:i w:val="false"/>
          <w:color w:val="000000"/>
          <w:sz w:val="22"/>
        </w:rPr>
        <w:t>for the purpose of this chapter, means any of the following limitations and conditions: requirements developed pursuant to new source performance standards, prevention of significant deterioration standards, emissions standards for hazardous air pollutants, requirements within the SIP, and any permit requirements established pursuant to this chapter, any permit requirements established pursuant to 40 CFR 52.21 or Part 51, Subpart I, as amended through October 20, 2010, or under construction or Title V operating permit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land manager” </w:t>
      </w:r>
      <w:r>
        <w:rPr>
          <w:rFonts w:ascii="Times New Roman" w:hAnsi="Times New Roman"/>
          <w:b w:val="false"/>
          <w:i w:val="false"/>
          <w:color w:val="000000"/>
          <w:sz w:val="22"/>
        </w:rPr>
        <w:t>means, with respect to any lands in the United States, the secretary of the department with authority over such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enforceable” </w:t>
      </w:r>
      <w:r>
        <w:rPr>
          <w:rFonts w:ascii="Times New Roman" w:hAnsi="Times New Roman"/>
          <w:b w:val="false"/>
          <w:i w:val="false"/>
          <w:color w:val="000000"/>
          <w:sz w:val="22"/>
        </w:rPr>
        <w:t xml:space="preserve">means all limitations and conditions that are enforceable by the Administrator and the department, including those federal requirements not adopted by the state, developed pursuant to 40 CFR Parts 60, 61 and 63; requirements within </w:t>
      </w:r>
      <w:hyperlink r:id="rId20">
        <w:r>
          <w:rPr>
            <w:rStyle w:val="Hyperlink"/>
            <w:rFonts w:ascii="Times New Roman" w:hAnsi="Times New Roman"/>
            <w:b w:val="false"/>
            <w:i w:val="false"/>
            <w:color w:val="000000"/>
            <w:sz w:val="22"/>
          </w:rPr>
          <w:t>567—subrules 23.1(2) through 23.1(5)</w:t>
        </w:r>
      </w:hyperlink>
      <w:r>
        <w:rPr>
          <w:rFonts w:ascii="Times New Roman" w:hAnsi="Times New Roman"/>
          <w:b w:val="false"/>
          <w:i w:val="false"/>
          <w:color w:val="000000"/>
          <w:sz w:val="22"/>
        </w:rPr>
        <w:t>; requirements within the SIP; any permit requirements established pursuant to 40 CFR 52.21 or under regulations approved pursuant to 40 CFR Part 51, Subpart I, as amended through October 20, 2010, including operating permits issued under an EPA-approved program, that are incorporated into the SIP and expressly require adherence to any permit issued under such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emissions” </w:t>
      </w:r>
      <w:r>
        <w:rPr>
          <w:rFonts w:ascii="Times New Roman" w:hAnsi="Times New Roman"/>
          <w:b w:val="false"/>
          <w:i w:val="false"/>
          <w:color w:val="000000"/>
          <w:sz w:val="22"/>
        </w:rPr>
        <w:t>means those emissions that could not reasonably pass through a stack, chimney, vent, or other functionally equivalent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terrain” </w:t>
      </w:r>
      <w:r>
        <w:rPr>
          <w:rFonts w:ascii="Times New Roman" w:hAnsi="Times New Roman"/>
          <w:b w:val="false"/>
          <w:i w:val="false"/>
          <w:color w:val="000000"/>
          <w:sz w:val="22"/>
        </w:rPr>
        <w:t>means any area having an elevation 900 feet or more above the base of the stack of a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“Indian governing body” </w:t>
      </w:r>
      <w:r>
        <w:rPr>
          <w:rFonts w:ascii="Times New Roman" w:hAnsi="Times New Roman"/>
          <w:b w:val="false"/>
          <w:i w:val="false"/>
          <w:color w:val="000000"/>
          <w:sz w:val="22"/>
        </w:rPr>
        <w:t>means the governing body of any tribe, band, or group of Indians subject to the jurisdiction of the United States and recognized by the United States as possessing power of self-government.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“Indian reservation” </w:t>
      </w:r>
      <w:r>
        <w:rPr>
          <w:rFonts w:ascii="Times New Roman" w:hAnsi="Times New Roman"/>
          <w:b w:val="false"/>
          <w:i w:val="false"/>
          <w:color w:val="000000"/>
          <w:sz w:val="22"/>
        </w:rPr>
        <w:t>means any federally recognized reservation established by treaty, agreement, executive order, or Act of Congress.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“Innovative control technology” </w:t>
      </w:r>
      <w:r>
        <w:rPr>
          <w:rFonts w:ascii="Times New Roman" w:hAnsi="Times New Roman"/>
          <w:b w:val="false"/>
          <w:i w:val="false"/>
          <w:color w:val="000000"/>
          <w:sz w:val="22"/>
        </w:rPr>
        <w:t>means the definition of “innovative control technology” set forth in 40 CFR 52.21(b)(19)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“Lowest achievable emissions rate”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“LAER” </w:t>
      </w:r>
      <w:r>
        <w:rPr>
          <w:rFonts w:ascii="Times New Roman" w:hAnsi="Times New Roman"/>
          <w:b w:val="false"/>
          <w:i w:val="false"/>
          <w:color w:val="000000"/>
          <w:sz w:val="22"/>
        </w:rPr>
        <w:t>means the definition of “lowest achievable emissions rate” or “LAER” set forth in 40 CFR 52.21(b)(53)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terrain” </w:t>
      </w:r>
      <w:r>
        <w:rPr>
          <w:rFonts w:ascii="Times New Roman" w:hAnsi="Times New Roman"/>
          <w:b w:val="false"/>
          <w:i w:val="false"/>
          <w:color w:val="000000"/>
          <w:sz w:val="22"/>
        </w:rPr>
        <w:t>means any area other than high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physical change in or change in the method of operation of a major stationary source that would result in a significant emissions increase of a regulated NSR pollutant and a significant net emissions increase of that pollutant from the major stationary source.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significant emissions increase from any emissions units or net emissions increase at a major stationary source that is significant for volatile organic compounds or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xml:space="preserve"> shall be considered significant for ozone.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physical change or change in the method of operation shall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Routine maintenance, repair and replacement;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 of an alternative fuel or raw material by reason of any order under Section 2(a) and (b) of the Energy Supply and Environmental Coordination Act of 1974 or by reason of a natural gas curtailment plan pursuant to the Federal Power 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an alternative fuel by reason of an order or rule under Section 125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of an alternative fuel at a steam generating unit to the extent that the fuel is generated from municipal solid waste;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 of an alternative fuel or raw material by a stationary source that the source was capable of accommodating before January 6, 1975, unless such change would be prohibited under any federally enforceable permit condition, or that the source is approved to use under any federally enforceable permit condition;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increase in the hours of operation or in the production rate, unless such change would be prohibited under any federally enforceable permit condition that was established after January 6, 1975;</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change in ownership at a stationary source;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installation, operation, cessation, or removal of a temporary clean coal technology demonstration project, provided that the project complies with the requirements within the SIP; and other requirements necessary to attain and maintain the national ambient air quality standards during the project and after the project is terminated;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installation or operation of a permanent clean coal technology demonstration project that constitutes repowering, provided that the project does not result in an increase in the potential to emit of any regulated pollutant emitted by the unit. This exemption shall apply on a pollutant-by-pollutant basis;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reactivation of a very clean coal-fired electric utility steam generating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This definition shall not apply with respect to a particular regulated NSR pollutant when the major stationary source is complying with the requirements under </w:t>
      </w:r>
      <w:hyperlink r:id="rId21">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 xml:space="preserve">(455B) for a PAL for that pollutant. Instead, the definition under </w:t>
      </w:r>
      <w:hyperlink r:id="rId22">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(455B)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source baseline date” </w:t>
      </w:r>
      <w:r>
        <w:rPr>
          <w:rFonts w:ascii="Times New Roman" w:hAnsi="Times New Roman"/>
          <w:b w:val="false"/>
          <w:i w:val="false"/>
          <w:color w:val="000000"/>
          <w:sz w:val="22"/>
        </w:rPr>
        <w:t>is defined under the definition of “baseline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stationary source”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Any one of the following stationary sources of air pollutants that emits, or has the potential to emit, 100 tons per year or more of any regulated NSR pollutant: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Fossil fuel-fired steam electric plants of more than 250 million British thermal units per hour heat input;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Coal cleaning plants (with thermal dryers);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Kraft pulp mills;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Portland cement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zinc smelters;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Iron and steel mill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aluminum ore reduction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copper smelters;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Municipal incinerators capable of charging more than 50 tons of refuse per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Hydrofluoric, sulfuric, and nitric acid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refineries;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Lime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Phosphate rock processing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Coke oven batteries;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Sulfur recovery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Carbon black plants (furnace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Primary lead smelters;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Fuel conversion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Sintering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Secondary metal production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Chemical process plants (which does not include ethanol production facilities that produce ethanol by natural fermentation included in NAICS code 325193 or 312140);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Fossil-fuel boilers (or combinations thereof) totaling more than 250 million British thermal units per hour heat input;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storage and transfer units with a total storage capacity exceeding 300,000 barrels;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Taconite ore processing plants;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Glass fiber processing plants;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Charcoal production plants.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Notwithstanding the stationary source size specified in paragraph “1”(a), any stationary source that emits, or has the potential to emit, 250 tons per year or more of a regulated NSR pollutant;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physical change that would occur at a stationary source not otherwise qualifying under this definition as a major stationary source if the change would constitute a major stationary source by itself.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major source that is major for volatile organic compounds or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xml:space="preserve"> shall be considered major for ozone.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fugitive emissions of a stationary source shall not be included in determining for any of the purposes of this rule whether it is a major stationary source, unless the source belongs to one of the categories of stationary sources listed in paragraph “1”(a) or to any other stationary source category that, as of August 7, 1980, is being regulated under Section 111 or 112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source baseline date” </w:t>
      </w:r>
      <w:r>
        <w:rPr>
          <w:rFonts w:ascii="Times New Roman" w:hAnsi="Times New Roman"/>
          <w:b w:val="false"/>
          <w:i w:val="false"/>
          <w:color w:val="000000"/>
          <w:sz w:val="22"/>
        </w:rPr>
        <w:t>is defined under the definition of “baseline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preconstruction approvals or permits” </w:t>
      </w:r>
      <w:r>
        <w:rPr>
          <w:rFonts w:ascii="Times New Roman" w:hAnsi="Times New Roman"/>
          <w:b w:val="false"/>
          <w:i w:val="false"/>
          <w:color w:val="000000"/>
          <w:sz w:val="22"/>
        </w:rPr>
        <w:t>means those permits or approvals required under federal air quality control laws and regulations and those air quality control laws and regulations that are part of the SIP.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emissions increase” </w:t>
      </w:r>
      <w:r>
        <w:rPr>
          <w:rFonts w:ascii="Times New Roman" w:hAnsi="Times New Roman"/>
          <w:b w:val="false"/>
          <w:i w:val="false"/>
          <w:color w:val="000000"/>
          <w:sz w:val="22"/>
        </w:rPr>
        <w:t>means, with respect to any regulated NSR pollutant emitted by a major stationary source, the amount by which the following exceeds zero: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increase in emissions from a particular physical change or change in the method of operation at a stationary source as calculated according to the applicability requirements under </w:t>
      </w:r>
      <w:hyperlink r:id="rId23">
        <w:r>
          <w:rPr>
            <w:rStyle w:val="Hyperlink"/>
            <w:rFonts w:ascii="Times New Roman" w:hAnsi="Times New Roman"/>
            <w:b w:val="false"/>
            <w:i w:val="false"/>
            <w:color w:val="000000"/>
            <w:sz w:val="22"/>
          </w:rPr>
          <w:t>33.3(2)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increases and decreases in actual emissions at the major stationary source that are contemporaneous with the particular change and are otherwise creditable. Baseline actual emissions for calculating increases and decreases under this definition of “net emissions increase” shall be determined as provided for under the definition of “baseline actual emissions,” except that paragraphs “1”(c) and “2”(d) of the definition of “baseline actual emissions,” which describe provisions for multiple emissions units, shall not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increase or decrease in actual emissions is contemporaneous with the increase from the particular change only if the increase or decrease in actual emissions occurs between the date five years before construction on the particular change commences and the date that the increase from the particular change occurs.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increase or decrease in actual emissions is creditable only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increase or decrease in actual emissions occurs within the contemporaneous time period, as noted in paragraph “1” of this definition;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has not relied on the increase or decrease in actual emissions in issuing a permit for the source under this rule, which permit is in effect when the increase in actual emissions from the particular change occurs.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increase or decrease in actual emissions of sulfur dioxide, particulate matter, or nitrogen oxides that occurs before the applicable minor source baseline date is creditable only if the increase or decrease in actual emissions is required to be considered in calculating the amount of maximum allowable increases remaining available.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increase in actual emissions is creditable only to the extent that the new level of actual emissions exceeds the old level.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decrease in actual emissions is creditable only to the extent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old level of actual emissions or the old level of allowable emissions, whichever is lower, exceeds the new level of actual emissions;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decrease in actual emissions is enforceable as a practical matter at and after the time that actual construction on the particular change begins;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decrease in actual emissions has approximately the same qualitative significance for public health and welfare as that attributed to the increase from the particular change.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increase that results from a physical change at a source occurs when the emissions unit on which construction occurred becomes operational and begins to emit a particular pollutant. Any replacement unit that requires shakedown becomes operational only after a reasonable shakedown period, not to exceed 180 days.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definition of “actual emissions,” paragraph “2,” shall not apply for determining creditable increases and decreases.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“Nonattainment area” </w:t>
      </w:r>
      <w:r>
        <w:rPr>
          <w:rFonts w:ascii="Times New Roman" w:hAnsi="Times New Roman"/>
          <w:b w:val="false"/>
          <w:i w:val="false"/>
          <w:color w:val="000000"/>
          <w:sz w:val="22"/>
        </w:rPr>
        <w:t>means an area so designated by the Administrator, acting pursuant to Section 107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“Permitting authority” </w:t>
      </w:r>
      <w:r>
        <w:rPr>
          <w:rFonts w:ascii="Times New Roman" w:hAnsi="Times New Roman"/>
          <w:b w:val="false"/>
          <w:i w:val="false"/>
          <w:color w:val="000000"/>
          <w:sz w:val="22"/>
        </w:rPr>
        <w:t>means the Iowa department of natural resources or the director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“Pollution prevention” </w:t>
      </w:r>
      <w:r>
        <w:rPr>
          <w:rFonts w:ascii="Times New Roman" w:hAnsi="Times New Roman"/>
          <w:b w:val="false"/>
          <w:i w:val="false"/>
          <w:color w:val="000000"/>
          <w:sz w:val="22"/>
        </w:rPr>
        <w:t>means any activity that, through process changes, product reformulation or redesign, or substitution of less polluting raw materials, eliminates or reduces the release of air pollutants (including fugitive emissions) and other pollutants to the environment prior to recycling, treatment, or disposal. “Pollution prevention” does not mean recycling (other than certain “in-process recycling” practices), energy recovery, treatment,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 pollutant under its physical and operational design. Any physical or operational limitation on the capacity of the source to emit a pollutant, including air pollution control equipment and restrictions on hours of operation or on the type or amount of material combusted, stored, or processed, shall be treated as part of its design if the limitation or the effect it would have on emissions is federally enforceable. Secondary emissions do not count in determining the potential to emit of a stationary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“Predictive emissions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“PEMS” </w:t>
      </w:r>
      <w:r>
        <w:rPr>
          <w:rFonts w:ascii="Times New Roman" w:hAnsi="Times New Roman"/>
          <w:b w:val="false"/>
          <w:i w:val="false"/>
          <w:color w:val="000000"/>
          <w:sz w:val="22"/>
        </w:rPr>
        <w:t>means the definition of “predictive emissions monitoring system” set forth in 40 CFR 52.21(b)(45)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of significant deterioration (PSD) program” </w:t>
      </w:r>
      <w:r>
        <w:rPr>
          <w:rFonts w:ascii="Times New Roman" w:hAnsi="Times New Roman"/>
          <w:b w:val="false"/>
          <w:i w:val="false"/>
          <w:color w:val="000000"/>
          <w:sz w:val="22"/>
        </w:rPr>
        <w:t>means a major source preconstruction permit program that has been approved by the Administrator and incorporated into the SIP or means the program in 40 CFR 52.21. Any permit issued under such a program is a major NSR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physical change in, or change in method of operation of, an existing major stationary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“Projected actual emissions,” </w:t>
      </w:r>
      <w:r>
        <w:rPr>
          <w:rFonts w:ascii="Times New Roman" w:hAnsi="Times New Roman"/>
          <w:b w:val="false"/>
          <w:i w:val="false"/>
          <w:color w:val="000000"/>
          <w:sz w:val="22"/>
        </w:rPr>
        <w:t>for the purposes of this chapter, means the maximum annual rate, in tons per year, at which an existing emissions unit is projected to emit a regulated NSR pollutant in any one of the five years (12-month period) beginning on the first day of the month following the date when the unit resumes regular operation after the project, or in any one of the ten years following that date, if the project involves increasing the emissions unit’s design capacity or its potential to emit that regulated NSR pollutant, and full utilization of the unit would result in a significant emissions increase, or a significant net emissions increase at the major stationary source. For purposes of this definition, “regular” shall be determined by the department on a case-by-case basis.</w:t>
      </w:r>
    </w:p>
    <w:p>
      <w:pPr>
        <w:spacing w:before="0" w:after="0"/>
        <w:ind w:left="120"/>
        <w:jc w:val="both"/>
      </w:pPr>
      <w:r>
        <w:rPr>
          <w:rFonts w:ascii="Times New Roman" w:hAnsi="Times New Roman"/>
          <w:b w:val="false"/>
          <w:i w:val="false"/>
          <w:color w:val="000000"/>
          <w:sz w:val="22"/>
        </w:rPr>
        <w:t>In determining the projected actual emissions before beginning actual construction, the owner or operator of the major stationary source: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consider all relevant information including, but not limited to, historical operational data, the company’s own representations, the company’s expected business activity and the company’s highest projections of business activity, the company’s filings with the state or federal regulatory authorities, and compliance plans under the approved plan;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include fugitive emissions to the extent quantifiable and emissions associated with startups, shutdowns, and malfunctions;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Shall exclude, in calculating any increase in emissions that results from the particular project, that portion of the unit’s emissions following the project that an existing unit could have accommodated during the consecutive 24-month period used to establish the baseline actual emissions and that are also unrelated to the particular project, including any increased utilization due to product demand growth;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lieu of using the method set out in paragraphs “1” through “3,” may elect to use the emissions unit’s potential to emit, in tons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“Reactivation of a very clean coal-fired electric utility steam generating unit” </w:t>
      </w:r>
      <w:r>
        <w:rPr>
          <w:rFonts w:ascii="Times New Roman" w:hAnsi="Times New Roman"/>
          <w:b w:val="false"/>
          <w:i w:val="false"/>
          <w:color w:val="000000"/>
          <w:sz w:val="22"/>
        </w:rPr>
        <w:t>means the definition of “reactivation of a very clean coal-fired electric utility steam generating unit” set forth in 40 CFR 52.21(b)(38)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NSR pollutant”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pollutant for which a national ambient air quality standard has been promulgated and any constituents or precursors for such pollutants identified by the Administrator: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Volatile organic compounds and nitrogen oxides are precursors to ozone in all attainment and unclassifiable areas;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Sulfur dioxide is a precursor to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in all attainment and unclassifiable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Nitrogen oxides are presumed to be precursors to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in all attainment and unclassifiable areas, unless the department demonstrates to EPA’s satisfaction or EPA demonstrates that emissions of nitrogen oxides from sources in a specific area are not a significant contributor to the area’s ambient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concentrations;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Volatile organic compounds are presumed not to be precursors to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in any attainment and unclassifiable areas, unless the department demonstrates to EPA’s satisfaction or EPA demonstrates that emissions of volatile organic compounds from sources in a specific area are a significant contributor to that area’s ambient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concentrations;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pollutant that is subject to any standard promulgated under Section 111 of the 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Class I or Class II substance subject to a standard promulgated under or established by Title VI of the Act;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pollutant that otherwise is subject to regulation under the Act as defined in </w:t>
      </w:r>
      <w:hyperlink r:id="rId24">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definition of “subject to regulation.”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Notwithstanding paragraphs “1” through “4,” the definition of “regulated NSR pollutant” shall not include any or all hazardous air pollutants that are either listed in Section 112 of the Act or added to the list pursuant to Section 112(b)(2) of the Act and that have not been delisted pursuant to Section 112(b)(3) of the Act, unless the listed hazardous air pollutant is also regulated as a constituent or precursor of a general pollutant listed under Section 108 of the Act.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Particulate matter (PM) emissions,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emissions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shall include gaseous emissions from a source or activity that condense to form particulate matter at ambient temperatures.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unit” </w:t>
      </w:r>
      <w:r>
        <w:rPr>
          <w:rFonts w:ascii="Times New Roman" w:hAnsi="Times New Roman"/>
          <w:b w:val="false"/>
          <w:i w:val="false"/>
          <w:color w:val="000000"/>
          <w:sz w:val="22"/>
        </w:rPr>
        <w:t>means an emissions unit for which all the criteria listed in paragraphs “1” through “4” are met. No creditable emissions reductions shall be generated from shutting down the existing emissions unit that is replaced.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emissions unit is a reconstructed unit within the meaning of 40 CFR 60.15(b)(1) as amended through December 16, 1975, or the emissions unit completely takes the place of an existing emissions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emissions unit is identical to or functionally equivalent to the replaced emissions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replacement does not change the basic design parameter(s) of the process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replaced emissions unit is permanently removed from the major stationary source, otherwise permanently disabled, or permanently barred from operation by a permit that is enforceable as a practical matter. If the replaced emissions unit is brought back into operation, it shall constitute a new emissions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“Repowering” </w:t>
      </w:r>
      <w:r>
        <w:rPr>
          <w:rFonts w:ascii="Times New Roman" w:hAnsi="Times New Roman"/>
          <w:b w:val="false"/>
          <w:i w:val="false"/>
          <w:color w:val="000000"/>
          <w:sz w:val="22"/>
        </w:rPr>
        <w:t>means the definition of “repowering” set forth in 40 CFR 52.21(b)(37)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“Reviewing authority” </w:t>
      </w:r>
      <w:r>
        <w:rPr>
          <w:rFonts w:ascii="Times New Roman" w:hAnsi="Times New Roman"/>
          <w:b w:val="false"/>
          <w:i w:val="false"/>
          <w:color w:val="000000"/>
          <w:sz w:val="22"/>
        </w:rPr>
        <w:t>means the department, or the Administrator in the case of EPA-implemented permit programs under 40 CFR 52.21.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emissions” </w:t>
      </w:r>
      <w:r>
        <w:rPr>
          <w:rFonts w:ascii="Times New Roman" w:hAnsi="Times New Roman"/>
          <w:b w:val="false"/>
          <w:i w:val="false"/>
          <w:color w:val="000000"/>
          <w:sz w:val="22"/>
        </w:rPr>
        <w:t>means emissions that occur as a result of the construction or operation of a major stationary source or major modification but do not come from the major stationary source or major modification itself. For the purposes of this chapter, “secondary emissions” must be specific, well-defined, and quantifiable, and must impact the same general areas as the stationary source modification that causes the secondary emissions. “Secondary emissions” includes emissions from any offsite support facility that would not be constructed or increase its emissions except as a result of the construction or operation of the major stationary source or major modification. “Secondary emissions” does not include any emissions that come directly from a mobile source, such as emissions from the tailpipe of a motor vehicle, from a train, or from a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reference to a net emissions increase or the potential of a source to emit any of the following pollutants, a rate of emissions that would equal or exceed any of the following rates:</w:t>
      </w:r>
      <w:r>
        <w:br/>
      </w:r>
    </w:p>
    <w:p>
      <w:pPr>
        <w:spacing w:before="0" w:after="0"/>
        <w:ind w:left="120"/>
        <w:jc w:val="both"/>
      </w:pPr>
      <w:r>
        <w:rPr>
          <w:rFonts w:ascii="Times New Roman" w:hAnsi="Times New Roman"/>
          <w:b w:val="false"/>
          <w:i w:val="false"/>
          <w:color w:val="000000"/>
          <w:sz w:val="22"/>
        </w:rPr>
        <w:t>Pollutant and Emissions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Carbon monoxide: 100 tons per year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Nitrogen oxides: 40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Sulfur dioxide: 40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Particulate matter: 25 tpy of particulate matter emissions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15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10 tpy of direct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emissions; 40 tpy of sulfur dioxide emissions; 40 tpy of nitrogen oxide emissions (unless the department demonstrates to EPA’s satisfaction that emissions of nitrogen oxides from sources in a specific area are not a significant contributor to the area’s ambient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concentrations)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Ozone: 40 tpy of volatile organic compounds or NO</w:t>
      </w:r>
      <w:r>
        <w:rPr>
          <w:rFonts w:ascii="Times New Roman" w:hAnsi="Times New Roman"/>
          <w:b w:val="false"/>
          <w:i w:val="false"/>
          <w:color w:val="000000"/>
          <w:sz w:val="18"/>
          <w:vertAlign w:val="subscript"/>
        </w:rPr>
        <w:t>x</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 0.6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Fluorides: 3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Sulfuric acid mist: 7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Hydrogen sulfide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 10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Total reduced sulfur (including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 10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Reduced sulfur compounds (including H</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S): 10 tpy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Municipal waste combustor organics (measured as total tetra- through octa-chlorinated dibenzo-p-dioxins and dibenzofurans): 3.2 × 10-6 megagrams per year (3.5 × 10-6 tons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Municipal waste combustor metals (measured as particulate matter): 14 megagrams per year (15 tons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Municipal waste combustor acid gases (measured as sulfur dioxide and hydrogen chloride): 36 megagrams per year (40 tons per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Municipal solid waste landfill emissions (measured as nonmethane organic compounds): 45 megagrams per year (50 tons per year)</w:t>
      </w:r>
    </w:p>
    <w:p>
      <w:pPr>
        <w:spacing w:before="0" w:after="0"/>
        <w:ind w:left="120"/>
        <w:jc w:val="both"/>
      </w:pP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“Significant” means, for purposes of this rule and in reference to a net emissions increase or the potential of a source to emit a regulated NSR pollutant not listed in paragraph “1,” any emissions rate.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Notwithstanding paragraph “1,” “significant,” for purposes of this rule, means any emissions rate or any net emissions increase associated with a major stationary source or major modification that would construct within ten kilometers of a Class I area and have an impact on such area equal to or greater than 1 μg/m3 (24-hour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emissions increase” </w:t>
      </w:r>
      <w:r>
        <w:rPr>
          <w:rFonts w:ascii="Times New Roman" w:hAnsi="Times New Roman"/>
          <w:b w:val="false"/>
          <w:i w:val="false"/>
          <w:color w:val="000000"/>
          <w:sz w:val="22"/>
        </w:rPr>
        <w:t>means, for a regulated NSR pollutant, an increase in emissions that is significant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implementation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“SIP” </w:t>
      </w:r>
      <w:r>
        <w:rPr>
          <w:rFonts w:ascii="Times New Roman" w:hAnsi="Times New Roman"/>
          <w:b w:val="false"/>
          <w:i w:val="false"/>
          <w:color w:val="000000"/>
          <w:sz w:val="22"/>
        </w:rPr>
        <w:t>means the plan adopted by the state of Iowa and approved by the Administrator that provides for implementation, maintenance, and enforcement of such primary and secondary ambient air quality standards as they are adopted by the Administrator,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 regulated NSR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to regulation” </w:t>
      </w:r>
      <w:r>
        <w:rPr>
          <w:rFonts w:ascii="Times New Roman" w:hAnsi="Times New Roman"/>
          <w:b w:val="false"/>
          <w:i w:val="false"/>
          <w:color w:val="000000"/>
          <w:sz w:val="22"/>
        </w:rPr>
        <w:t>means, for any air pollutant, that the pollutant is subject to either a provision in the Act, or a nationally applicable regulation codified by the Administrator and published in 40 CFR Subchapter C (Air Programs) that requires actual control of the quantity of emissions of that pollutant, and that such a control requirement has taken effect and is operative to control, limit or restrict the quantity of emissions of that pollutant released from the regulated activity, except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Greenhouse gases (GHGs), the air pollutant defined in 40 CFR 86.1818-12(a) (as amended through September 15, 2011) as the aggregate group of six greenhouse gases that includes carbon dioxide, nitrous oxide, methane, hydrofluorocarbons, perfluorocarbons, and sulfur hexafluoride, shall not be subject to regulation except as provided in paragraph “4,” and shall not be subject to regulation if the stationary source maintains its total sourcewide emissions below the GHG PAL level, meets the requirements in </w:t>
      </w:r>
      <w:hyperlink r:id="rId25">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(455B), and complies with the PAL permit containing the GHG PAL.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purposes of paragraphs “3” and “4,” the term “tpy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equivalent emissions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e)” shall represent an amount of GHGs emitted and shall be computed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Multiply the mass amount of emissions (tpy) for each of the six greenhouse gases in the pollutant GHGs by the associated global warming potential of the gas published at 40 CFR Part 98, Subpart A, Table A-1, “Global Warming Potentials,” (as amended through December 24, 2014). For purposes of this definition, prior to July 21, 2014, the mass of the greenhouse gas carbon dioxide shall not include carbon dioxide emissions resulting from the combustion or decomposition of non-fossilized and biodegradable organic material originating from plants, animals, or microorganisms (including products, by-products, residues and waste from agriculture, forestry and related industries as well as the non-fossilized and biodegradable organic fractions of industrial and municipal wastes, including gases and liquids recovered from the decomposition of non-fossilized and biodegradable organic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 the resultant value from paragraph (a) for each gas to compute a tpy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term “emissions increase,” as used in this paragraph and in paragraph “4,” shall mean that both a significant emissions increase (as calculated using the procedures specified in </w:t>
      </w:r>
      <w:hyperlink r:id="rId26">
        <w:r>
          <w:rPr>
            <w:rStyle w:val="Hyperlink"/>
            <w:rFonts w:ascii="Times New Roman" w:hAnsi="Times New Roman"/>
            <w:b w:val="false"/>
            <w:i w:val="false"/>
            <w:color w:val="000000"/>
            <w:sz w:val="22"/>
          </w:rPr>
          <w:t>33.3(2)</w:t>
        </w:r>
        <w:r>
          <w:rPr>
            <w:rFonts w:ascii="Times New Roman" w:hAnsi="Times New Roman"/>
            <w:b w:val="false"/>
            <w:i/>
            <w:color w:val="000000"/>
            <w:sz w:val="22"/>
          </w:rPr>
          <w:t>“c”</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
        </w:r>
        <w:r>
          <w:rPr>
            <w:rFonts w:ascii="Times New Roman" w:hAnsi="Times New Roman"/>
            <w:b w:val="false"/>
            <w:i/>
            <w:color w:val="000000"/>
            <w:sz w:val="22"/>
          </w:rPr>
          <w:t>“h”</w:t>
        </w:r>
      </w:hyperlink>
      <w:r>
        <w:rPr>
          <w:rFonts w:ascii="Times New Roman" w:hAnsi="Times New Roman"/>
          <w:b w:val="false"/>
          <w:i w:val="false"/>
          <w:color w:val="000000"/>
          <w:sz w:val="22"/>
        </w:rPr>
        <w:t xml:space="preserve">) and a significant net emissions increase (as specified in </w:t>
      </w:r>
      <w:hyperlink r:id="rId28">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in the definitions of “net emissions increase” and “significant”) occur. For the pollutant GHGs, an emissions increase shall be based on tpy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e and shall be calculated assuming the pollutant GHGs are a regulated NSR pollutant, and “significant” is defined as 75,000 tpy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e rather than calculated by applying the value specified in </w:t>
      </w:r>
      <w:hyperlink r:id="rId29">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in paragraph “2” of the definition of “significant.”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Beginning January 2, 2011, the pollutant GHGs are subject to regulation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stationary source is a new major stationary source for a regulated NSR pollutant that is not a GHG, and also will emit or will have the potential to emit 75,000 tpy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e or more,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stationary source is an existing major stationary source for a regulated NSR pollutant that is not a GHG, and also will have an emissions increase of a regulated NSR pollutant and an emissions increase of 75,000 tpy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e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clean coal technology demonstration project” </w:t>
      </w:r>
      <w:r>
        <w:rPr>
          <w:rFonts w:ascii="Times New Roman" w:hAnsi="Times New Roman"/>
          <w:b w:val="false"/>
          <w:i w:val="false"/>
          <w:color w:val="000000"/>
          <w:sz w:val="22"/>
        </w:rPr>
        <w:t>means the definition of “temporary clean coal technology demonstration project” set forth in 40 CFR 52.21(b)(36) and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V permit” </w:t>
      </w:r>
      <w:r>
        <w:rPr>
          <w:rFonts w:ascii="Times New Roman" w:hAnsi="Times New Roman"/>
          <w:b w:val="false"/>
          <w:i w:val="false"/>
          <w:color w:val="000000"/>
          <w:sz w:val="22"/>
        </w:rPr>
        <w:t>means an operating permit under Title V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“Volatile organic compounds”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“VOC” </w:t>
      </w:r>
      <w:r>
        <w:rPr>
          <w:rFonts w:ascii="Times New Roman" w:hAnsi="Times New Roman"/>
          <w:b w:val="false"/>
          <w:i w:val="false"/>
          <w:color w:val="000000"/>
          <w:sz w:val="22"/>
        </w:rPr>
        <w:t>means any compound included in the definition of “volatile organic compounds” found at 40 CFR 51.100(s) as amended through February 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requirements of this rule (PSD program requirements) apply to the construction of any new “major stationary source” as defined in </w:t>
      </w:r>
      <w:hyperlink r:id="rId30">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xml:space="preserve"> or any project at an existing major stationary source in an area designated as attainment or unclassifiable under Section 107(d)(1)(A)(ii) or (iii) of the Act. </w:t>
      </w:r>
    </w:p>
    <w:p>
      <w:pPr>
        <w:spacing w:before="0" w:after="0"/>
        <w:ind w:left="120"/>
        <w:jc w:val="both"/>
      </w:pPr>
      <w:r>
        <w:rPr>
          <w:rFonts w:ascii="Times New Roman" w:hAnsi="Times New Roman"/>
          <w:b w:val="false"/>
          <w:i w:val="false"/>
          <w:color w:val="000000"/>
          <w:sz w:val="22"/>
        </w:rPr>
        <w:t xml:space="preserve">In addition to the provisions set forth in </w:t>
      </w:r>
      <w:hyperlink r:id="rId31">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through </w:t>
      </w:r>
      <w:hyperlink r:id="rId32">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 xml:space="preserve">(455B), the provisions of 40 CFR Part 51, Appendix W (Guideline on Air Quality Models) as amended through January 17, 2017, are adopted by reference. Provisions set forth in </w:t>
      </w:r>
      <w:hyperlink r:id="rId33">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through </w:t>
      </w:r>
      <w:hyperlink r:id="rId34">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(455B) that are adopted by reference from 40 CFR 51.166 or 52.21 are as amended through July 19, 2021, unless otherwise noted. The following phrases contained in 40 CFR 51.166 are not adopted by reference: “it shall also provide that,” “mechanism whereby,” “the plan may provide that,” “the plan provides that,” “the plan shall provide,” and “the plan shall provide that.” Additionally, the term “the plan” shall mean “State Implementation Plan” or “SIP.”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w:t>
      </w:r>
      <w:hyperlink r:id="rId35">
        <w:r>
          <w:rPr>
            <w:rStyle w:val="Hyperlink"/>
            <w:rFonts w:ascii="Times New Roman" w:hAnsi="Times New Roman"/>
            <w:b w:val="false"/>
            <w:i w:val="false"/>
            <w:color w:val="000000"/>
            <w:sz w:val="22"/>
          </w:rPr>
          <w:t>33.3(10)</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33.3(18)</w:t>
        </w:r>
      </w:hyperlink>
      <w:r>
        <w:rPr>
          <w:rFonts w:ascii="Times New Roman" w:hAnsi="Times New Roman"/>
          <w:b w:val="false"/>
          <w:i w:val="false"/>
          <w:color w:val="000000"/>
          <w:sz w:val="22"/>
        </w:rPr>
        <w:t xml:space="preserve"> apply to the construction of any new major stationary source or the major modification of any existing major stationary source, except as this rule (PSD program requirements) otherwise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new major stationary source or major modification to which the requirements of </w:t>
      </w:r>
      <w:hyperlink r:id="rId37">
        <w:r>
          <w:rPr>
            <w:rStyle w:val="Hyperlink"/>
            <w:rFonts w:ascii="Times New Roman" w:hAnsi="Times New Roman"/>
            <w:b w:val="false"/>
            <w:i w:val="false"/>
            <w:color w:val="000000"/>
            <w:sz w:val="22"/>
          </w:rPr>
          <w:t>33.3(10)</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33.3(18)</w:t>
        </w:r>
      </w:hyperlink>
      <w:r>
        <w:rPr>
          <w:rFonts w:ascii="Times New Roman" w:hAnsi="Times New Roman"/>
          <w:b w:val="false"/>
          <w:i/>
          <w:color w:val="000000"/>
          <w:sz w:val="22"/>
        </w:rPr>
        <w:t>“e”</w:t>
      </w:r>
      <w:r>
        <w:rPr>
          <w:rFonts w:ascii="Times New Roman" w:hAnsi="Times New Roman"/>
          <w:b w:val="false"/>
          <w:i w:val="false"/>
          <w:color w:val="000000"/>
          <w:sz w:val="22"/>
        </w:rPr>
        <w:t xml:space="preserve"> apply shall begin actual construction without a permit that states that the major stationary source or major modification will meet those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w:t>
      </w:r>
      <w:hyperlink r:id="rId39">
        <w:r>
          <w:rPr>
            <w:rStyle w:val="Hyperlink"/>
            <w:rFonts w:ascii="Times New Roman" w:hAnsi="Times New Roman"/>
            <w:b w:val="false"/>
            <w:i w:val="false"/>
            <w:color w:val="000000"/>
            <w:sz w:val="22"/>
          </w:rPr>
          <w:t>33.3(2)</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and consistent with the definition of “major modification” contained in </w:t>
      </w:r>
      <w:hyperlink r:id="rId40">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a project is a major modification for a “regulated NSR pollutant” if it causes two types of emissions increases: a “significant emissions increase” and a “net emissions increase” that is “significant.” The project is not a major modification if it does not cause a significant emissions increase. If the project causes a significant emissions increase, then the project is a major modification only if it also results in a significant net emissions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calculating (before beginning actual construction) whether a significant emissions increase (i.e., the first step of the process) will occur depends upon the type of emissions units being modified, according to paragraphs </w:t>
      </w:r>
      <w:hyperlink r:id="rId41">
        <w:r>
          <w:rPr>
            <w:rStyle w:val="Hyperlink"/>
            <w:rFonts w:ascii="Times New Roman" w:hAnsi="Times New Roman"/>
            <w:b w:val="false"/>
            <w:i w:val="false"/>
            <w:color w:val="000000"/>
            <w:sz w:val="22"/>
          </w:rPr>
          <w:t>33.3(2)</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 The procedure for calculating (before beginning actual construction) whether a significant net emissions increase will occur at the major stationary source (i.e., the second step of the process) is contained in the definition of “net emissions increase.” Regardless of any such preconstruction projections, a major modification results if the project causes a significant emissions increase and a significant net emissions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Actual-to-projected-actual applicability test for projects that only involve existing emissions units. A significant emissions increase of a regulated NSR pollutant is projected to occur if the sum of the difference between the “projected actual emissions” and the “baseline actual emissions” for each existing emissions unit equals or exceeds the significant amount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Actual-to-potential test for projects that involve only construction of a new emissions unit(s). A significant emissions increase of a regulated NSR pollutant is projected to occur if the sum of the difference between the “potential to emit” from each new emissions unit following completion of the project and the “baseline actual emissions” for a new emissions unit before the project equals or exceeds the significant amount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Hybrid test for projects that involve multiple types of emissions units. A significant emissions increase of a regulated NSR pollutant is projected to occur if the sum of the emissions increases for each emissions unit, using the method specified in paragraphs </w:t>
      </w:r>
      <w:hyperlink r:id="rId42">
        <w:r>
          <w:rPr>
            <w:rStyle w:val="Hyperlink"/>
            <w:rFonts w:ascii="Times New Roman" w:hAnsi="Times New Roman"/>
            <w:b w:val="false"/>
            <w:i w:val="false"/>
            <w:color w:val="000000"/>
            <w:sz w:val="22"/>
          </w:rPr>
          <w:t>33.3(2)</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of this subrule, as applicable with respect to each emissions unit, for each type of emissions unit equals or exceeds the significant amount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major stationary source with a PAL for a regulated NSR pollutant, the major stationary source shall comply with rule requirements under </w:t>
      </w:r>
      <w:hyperlink r:id="rId43">
        <w:r>
          <w:rPr>
            <w:rStyle w:val="Hyperlink"/>
            <w:rFonts w:ascii="Times New Roman" w:hAnsi="Times New Roman"/>
            <w:b w:val="false"/>
            <w:i w:val="false"/>
            <w:color w:val="000000"/>
            <w:sz w:val="22"/>
          </w:rPr>
          <w:t>567—33.9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Ambient air increments. </w:t>
      </w:r>
      <w:r>
        <w:rPr>
          <w:rFonts w:ascii="Times New Roman" w:hAnsi="Times New Roman"/>
          <w:b w:val="false"/>
          <w:i w:val="false"/>
          <w:color w:val="000000"/>
          <w:sz w:val="22"/>
        </w:rPr>
        <w:t>The provisions for ambient air increments as specified in 40 CFR 52.21(c) as amended through October 20, 2010,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color w:val="000000"/>
          <w:sz w:val="22"/>
        </w:rPr>
        <w:t xml:space="preserve">Ambient air ceilings. </w:t>
      </w:r>
      <w:r>
        <w:rPr>
          <w:rFonts w:ascii="Times New Roman" w:hAnsi="Times New Roman"/>
          <w:b w:val="false"/>
          <w:i w:val="false"/>
          <w:color w:val="000000"/>
          <w:sz w:val="22"/>
        </w:rPr>
        <w:t>The provisions for ambient air ceilings as specified in 40 CFR 52.21(d)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33.3(5)</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area classifications. </w:t>
      </w:r>
      <w:r>
        <w:rPr>
          <w:rFonts w:ascii="Times New Roman" w:hAnsi="Times New Roman"/>
          <w:b w:val="false"/>
          <w:i w:val="false"/>
          <w:color w:val="000000"/>
          <w:sz w:val="22"/>
        </w:rPr>
        <w:t>The provisions for restrictions on area classifications as specified in 40 CFR 52.21(e)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33.3(6)</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increment consumption. </w:t>
      </w:r>
      <w:r>
        <w:rPr>
          <w:rFonts w:ascii="Times New Roman" w:hAnsi="Times New Roman"/>
          <w:b w:val="false"/>
          <w:i w:val="false"/>
          <w:color w:val="000000"/>
          <w:sz w:val="22"/>
        </w:rPr>
        <w:t xml:space="preserve">The provisions by which the SIP may provide for exclusions from increment consumption as specified in 40 CFR 51.166(f) are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33.3(7)</w:t>
      </w:r>
      <w:r>
        <w:rPr>
          <w:rFonts w:ascii="Times New Roman" w:hAnsi="Times New Roman"/>
          <w:b w:val="false"/>
          <w:i w:val="false"/>
          <w:color w:val="000000"/>
          <w:sz w:val="22"/>
        </w:rPr>
        <w:t> </w:t>
      </w:r>
      <w:r>
        <w:rPr>
          <w:rFonts w:ascii="Times New Roman" w:hAnsi="Times New Roman"/>
          <w:b w:val="false"/>
          <w:i/>
          <w:color w:val="000000"/>
          <w:sz w:val="22"/>
        </w:rPr>
        <w:t xml:space="preserve">Redesignation. </w:t>
      </w:r>
      <w:r>
        <w:rPr>
          <w:rFonts w:ascii="Times New Roman" w:hAnsi="Times New Roman"/>
          <w:b w:val="false"/>
          <w:i w:val="false"/>
          <w:color w:val="000000"/>
          <w:sz w:val="22"/>
        </w:rPr>
        <w:t>The provisions for redesignation as specified in 40 CFR 52.21(g)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33.3(8)</w:t>
      </w:r>
      <w:r>
        <w:rPr>
          <w:rFonts w:ascii="Times New Roman" w:hAnsi="Times New Roman"/>
          <w:b w:val="false"/>
          <w:i w:val="false"/>
          <w:color w:val="000000"/>
          <w:sz w:val="22"/>
        </w:rPr>
        <w:t> </w:t>
      </w:r>
      <w:r>
        <w:rPr>
          <w:rFonts w:ascii="Times New Roman" w:hAnsi="Times New Roman"/>
          <w:b w:val="false"/>
          <w:i/>
          <w:color w:val="000000"/>
          <w:sz w:val="22"/>
        </w:rPr>
        <w:t xml:space="preserve">Stack heights. </w:t>
      </w:r>
      <w:r>
        <w:rPr>
          <w:rFonts w:ascii="Times New Roman" w:hAnsi="Times New Roman"/>
          <w:b w:val="false"/>
          <w:i w:val="false"/>
          <w:color w:val="000000"/>
          <w:sz w:val="22"/>
        </w:rPr>
        <w:t>The provisions for stack heights as specified in 40 CFR 52.21(h)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33.3(9)</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provisions for allowing exemptions from certain requirements for PSD-subject sources as specified in 40 CFR 52.21(i)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33.3(10)</w:t>
      </w:r>
      <w:r>
        <w:rPr>
          <w:rFonts w:ascii="Times New Roman" w:hAnsi="Times New Roman"/>
          <w:b w:val="false"/>
          <w:i w:val="false"/>
          <w:color w:val="000000"/>
          <w:sz w:val="22"/>
        </w:rPr>
        <w:t> </w:t>
      </w:r>
      <w:r>
        <w:rPr>
          <w:rFonts w:ascii="Times New Roman" w:hAnsi="Times New Roman"/>
          <w:b w:val="false"/>
          <w:i/>
          <w:color w:val="000000"/>
          <w:sz w:val="22"/>
        </w:rPr>
        <w:t xml:space="preserve">Control technology review. </w:t>
      </w:r>
      <w:r>
        <w:rPr>
          <w:rFonts w:ascii="Times New Roman" w:hAnsi="Times New Roman"/>
          <w:b w:val="false"/>
          <w:i w:val="false"/>
          <w:color w:val="000000"/>
          <w:sz w:val="22"/>
        </w:rPr>
        <w:t>The provisions for control technology review as specified in 40 CFR 52.21(j)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33.3(11)</w:t>
      </w:r>
      <w:r>
        <w:rPr>
          <w:rFonts w:ascii="Times New Roman" w:hAnsi="Times New Roman"/>
          <w:b w:val="false"/>
          <w:i w:val="false"/>
          <w:color w:val="000000"/>
          <w:sz w:val="22"/>
        </w:rPr>
        <w:t> </w:t>
      </w:r>
      <w:r>
        <w:rPr>
          <w:rFonts w:ascii="Times New Roman" w:hAnsi="Times New Roman"/>
          <w:b w:val="false"/>
          <w:i/>
          <w:color w:val="000000"/>
          <w:sz w:val="22"/>
        </w:rPr>
        <w:t xml:space="preserve">Source impact analysis. </w:t>
      </w:r>
      <w:r>
        <w:rPr>
          <w:rFonts w:ascii="Times New Roman" w:hAnsi="Times New Roman"/>
          <w:b w:val="false"/>
          <w:i w:val="false"/>
          <w:color w:val="000000"/>
          <w:sz w:val="22"/>
        </w:rPr>
        <w:t>The provisions for a source impact analysis as specified in 40 CFR 52.21(k)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33.3(12)</w:t>
      </w:r>
      <w:r>
        <w:rPr>
          <w:rFonts w:ascii="Times New Roman" w:hAnsi="Times New Roman"/>
          <w:b w:val="false"/>
          <w:i w:val="false"/>
          <w:color w:val="000000"/>
          <w:sz w:val="22"/>
        </w:rPr>
        <w:t> </w:t>
      </w:r>
      <w:r>
        <w:rPr>
          <w:rFonts w:ascii="Times New Roman" w:hAnsi="Times New Roman"/>
          <w:b w:val="false"/>
          <w:i/>
          <w:color w:val="000000"/>
          <w:sz w:val="22"/>
        </w:rPr>
        <w:t xml:space="preserve">Air quality models. </w:t>
      </w:r>
      <w:r>
        <w:rPr>
          <w:rFonts w:ascii="Times New Roman" w:hAnsi="Times New Roman"/>
          <w:b w:val="false"/>
          <w:i w:val="false"/>
          <w:color w:val="000000"/>
          <w:sz w:val="22"/>
        </w:rPr>
        <w:t>The provisions for air quality models as specified in 40 CFR 52.21(l)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33.3(13)</w:t>
      </w:r>
      <w:r>
        <w:rPr>
          <w:rFonts w:ascii="Times New Roman" w:hAnsi="Times New Roman"/>
          <w:b w:val="false"/>
          <w:i w:val="false"/>
          <w:color w:val="000000"/>
          <w:sz w:val="22"/>
        </w:rPr>
        <w:t> </w:t>
      </w:r>
      <w:r>
        <w:rPr>
          <w:rFonts w:ascii="Times New Roman" w:hAnsi="Times New Roman"/>
          <w:b w:val="false"/>
          <w:i/>
          <w:color w:val="000000"/>
          <w:sz w:val="22"/>
        </w:rPr>
        <w:t xml:space="preserve">Air quality analysis. </w:t>
      </w:r>
      <w:r>
        <w:rPr>
          <w:rFonts w:ascii="Times New Roman" w:hAnsi="Times New Roman"/>
          <w:b w:val="false"/>
          <w:i w:val="false"/>
          <w:color w:val="000000"/>
          <w:sz w:val="22"/>
        </w:rPr>
        <w:t>The provisions for an air quality analysis as specified in 40 CFR 52.21(m)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33.3(14)</w:t>
      </w:r>
      <w:r>
        <w:rPr>
          <w:rFonts w:ascii="Times New Roman" w:hAnsi="Times New Roman"/>
          <w:b w:val="false"/>
          <w:i w:val="false"/>
          <w:color w:val="000000"/>
          <w:sz w:val="22"/>
        </w:rPr>
        <w:t> </w:t>
      </w:r>
      <w:r>
        <w:rPr>
          <w:rFonts w:ascii="Times New Roman" w:hAnsi="Times New Roman"/>
          <w:b w:val="false"/>
          <w:i/>
          <w:color w:val="000000"/>
          <w:sz w:val="22"/>
        </w:rPr>
        <w:t xml:space="preserve">Source information. </w:t>
      </w:r>
      <w:r>
        <w:rPr>
          <w:rFonts w:ascii="Times New Roman" w:hAnsi="Times New Roman"/>
          <w:b w:val="false"/>
          <w:i w:val="false"/>
          <w:color w:val="000000"/>
          <w:sz w:val="22"/>
        </w:rPr>
        <w:t>The provisions for providing source information as specified in 40 CFR 52.21(n)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33.3(15)</w:t>
      </w:r>
      <w:r>
        <w:rPr>
          <w:rFonts w:ascii="Times New Roman" w:hAnsi="Times New Roman"/>
          <w:b w:val="false"/>
          <w:i w:val="false"/>
          <w:color w:val="000000"/>
          <w:sz w:val="22"/>
        </w:rPr>
        <w:t> </w:t>
      </w:r>
      <w:r>
        <w:rPr>
          <w:rFonts w:ascii="Times New Roman" w:hAnsi="Times New Roman"/>
          <w:b w:val="false"/>
          <w:i/>
          <w:color w:val="000000"/>
          <w:sz w:val="22"/>
        </w:rPr>
        <w:t xml:space="preserve">Additional impact analyses. </w:t>
      </w:r>
      <w:r>
        <w:rPr>
          <w:rFonts w:ascii="Times New Roman" w:hAnsi="Times New Roman"/>
          <w:b w:val="false"/>
          <w:i w:val="false"/>
          <w:color w:val="000000"/>
          <w:sz w:val="22"/>
        </w:rPr>
        <w:t>The provisions for an additional impact analysis as specified in 40 CFR 52.21(o)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33.3(16)</w:t>
      </w:r>
      <w:r>
        <w:rPr>
          <w:rFonts w:ascii="Times New Roman" w:hAnsi="Times New Roman"/>
          <w:b w:val="false"/>
          <w:i w:val="false"/>
          <w:color w:val="000000"/>
          <w:sz w:val="22"/>
        </w:rPr>
        <w:t> </w:t>
      </w:r>
      <w:r>
        <w:rPr>
          <w:rFonts w:ascii="Times New Roman" w:hAnsi="Times New Roman"/>
          <w:b w:val="false"/>
          <w:i/>
          <w:color w:val="000000"/>
          <w:sz w:val="22"/>
        </w:rPr>
        <w:t xml:space="preserve">Sources impacting federal Class I areas—additional requirements. </w:t>
      </w:r>
      <w:r>
        <w:rPr>
          <w:rFonts w:ascii="Times New Roman" w:hAnsi="Times New Roman"/>
          <w:b w:val="false"/>
          <w:i w:val="false"/>
          <w:color w:val="000000"/>
          <w:sz w:val="22"/>
        </w:rPr>
        <w:t xml:space="preserve">The provisions for sources impacting federal Class I areas as specified in 40 CFR 51.166(p) are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33.3(17)</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all applicants within 30 days as to the completeness of the application or any deficiency in the application or information submitted. In the event of such a deficiency, the date of receipt of the application shall be the date on which the department received all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one year after receipt of a complete application,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 preliminary determination whether construction should be approved, approved with conditions, or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available in at least one location in each region in which the proposed source would be constructed a copy of all materials the applicant submitted, a copy of the preliminary determination, and a copy or summary of other materials, if any, considered in making the preliminary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Notify the public, by posting on a publicly available website identified by the department, of the application, of the preliminary determination, of the degree of increment consumption that is expected from the source or modification, and of the opportunity for comment at a public hearing as well as written public comment. The electronic notice shall be available for the duration of the public comment period and shall include the notice of public comment, the draft permit(s), information on how to access the administrative record for the draft permit(s) and how to request or attend a public hearing on the draft permit(s). The department may use other means if necessary to ensure adequate notice to the affected public. At least 30 days shall be provided for public comment and for notification of any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Send a copy of the notice of public comment to the applicant, to the Administrator and to officials and agencies having cognizance over the location where the proposed construction would occur as follows: any other state or local air pollution control agencies; the chief executives of the city and county where the source would be located; any comprehensive regional land use planning agency; and any state, federal land manager, or Indian governing body whose lands may be affected by emissions from the source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opportunity for a public hearing for interested persons to appear and submit written or oral comments on the air quality impact of the source, alternatives to the proposed source or modification, the control technology required, and other appropriate considerations. At least 30 days’ notice shall be provided for any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Consider all written comments submitted within a time specified in the notice of public comment and all comments received at any public hearing(s) in making a final decision on the approvability of the application. The department shall make all comments available for public inspection at the same locations where the department made available preconstruction information relating to the proposed source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Make a final determination whether construction should be approved, approved with conditions, or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Notify the applicant in writing of the final determination and make such notification available for public inspection at the same locations where the department made available preconstruction information and public comments relating to the proposed source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Reopening of the public comment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comments submitted during the public comment period raise substantial new issues concerning the permit, the department may, at its discretion,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 a new draft permit, appropriately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Prepare a revised fact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Prepare a revised fact sheet and reopen the public comment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Reopen or extend the public comment period to provide interested persons an opportunity to comment on the comments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notice provided by the department pursuant to this rule shall define the scope of the reopening. Department review of any comments filed during a reopened comment period shall be limited to comments pertaining to the substantial new issues causing the reopening.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33.3(18)</w:t>
      </w:r>
      <w:r>
        <w:rPr>
          <w:rFonts w:ascii="Times New Roman" w:hAnsi="Times New Roman"/>
          <w:b w:val="false"/>
          <w:i w:val="false"/>
          <w:color w:val="000000"/>
          <w:sz w:val="22"/>
        </w:rPr>
        <w:t> </w:t>
      </w:r>
      <w:r>
        <w:rPr>
          <w:rFonts w:ascii="Times New Roman" w:hAnsi="Times New Roman"/>
          <w:b w:val="false"/>
          <w:i/>
          <w:color w:val="000000"/>
          <w:sz w:val="22"/>
        </w:rPr>
        <w:t xml:space="preserve">Source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to construct shall not relieve any owner or operator of the responsibility to comply fully with applicable provisions of the plan and any other requirements under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such time that a particular source or modification becomes a major stationary source or major modification solely by virtue of a relaxation in any enforceable limitation that was established after August 7, 1980, on the capacity of the source or modification otherwise to emit a pollutant, such as a restriction on hours of operation, the requirements of </w:t>
      </w:r>
      <w:hyperlink r:id="rId44">
        <w:r>
          <w:rPr>
            <w:rStyle w:val="Hyperlink"/>
            <w:rFonts w:ascii="Times New Roman" w:hAnsi="Times New Roman"/>
            <w:b w:val="false"/>
            <w:i w:val="false"/>
            <w:color w:val="000000"/>
            <w:sz w:val="22"/>
          </w:rPr>
          <w:t>33.3(10)</w:t>
        </w:r>
      </w:hyperlink>
      <w:r>
        <w:rPr>
          <w:rFonts w:ascii="Times New Roman" w:hAnsi="Times New Roman"/>
          <w:b w:val="false"/>
          <w:i w:val="false"/>
          <w:color w:val="000000"/>
          <w:sz w:val="22"/>
        </w:rPr>
        <w:t xml:space="preserve"> through </w:t>
      </w:r>
      <w:hyperlink r:id="rId45">
        <w:r>
          <w:rPr>
            <w:rStyle w:val="Hyperlink"/>
            <w:rFonts w:ascii="Times New Roman" w:hAnsi="Times New Roman"/>
            <w:b w:val="false"/>
            <w:i w:val="false"/>
            <w:color w:val="000000"/>
            <w:sz w:val="22"/>
          </w:rPr>
          <w:t>33.3(19)</w:t>
        </w:r>
      </w:hyperlink>
      <w:r>
        <w:rPr>
          <w:rFonts w:ascii="Times New Roman" w:hAnsi="Times New Roman"/>
          <w:b w:val="false"/>
          <w:i w:val="false"/>
          <w:color w:val="000000"/>
          <w:sz w:val="22"/>
        </w:rPr>
        <w:t xml:space="preserve"> shall apply to the source or modification as though construction had not yet commenced on the source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owner or operator who constructs or operates a source or modification not in accordance with the application pursuant to the provisions in </w:t>
      </w:r>
      <w:hyperlink r:id="rId46">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or with the terms of any approval to construct, or any owner or operator of a source or modification subject to the provisions in </w:t>
      </w:r>
      <w:hyperlink r:id="rId47">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 who commences construction after April 15, 1987 (the effective date of Iowa’s PSD program), without applying for and receiving department approval, shall be subject to appropriate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to construct shall become invalid if construction is not commenced within 18 months after receipt of such approval, if construction is discontinued for a period of 18 months or more, or if construction is not completed within a reasonable time. The department may extend the 18-month period upon a satisfactory showing that an extension is justified. These provisions do not apply to the time between construction of the approved phases of a phased construction project; each phase must commence construction within 18 months of the projected and approved commencement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subparagraph (8), the following specific provisions shall apply with respect to any regulated NSR pollutant emitted from projects at existing emissions units at a major stationary source, other than projects at a source with a PAL, in circumstances where there is a “reasonable possibility,” within the meaning of subparagraph (8), that a project that is not part of a major modification may result in a significant emissions increase of such pollutant, and the owner or operator elects to use the method for calculating projected actual emissions as specified in </w:t>
      </w:r>
      <w:hyperlink r:id="rId48">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paragraphs “1” through “3” of the definition of “projected actual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beginning actual construction of the project, the owner or operator shall document and maintain a record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the emissions unit(s) whose emissions of a regulated NSR pollutant could be affected by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applicability test used to determine that the project is not a major modification for any regulated NSR pollutant, including the baseline actual emissions, the projected actual emissions, the amount of emissions excluded under paragraph “3” of the definition of “projected actual emissions” in </w:t>
      </w:r>
      <w:hyperlink r:id="rId49">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an explanation describing why such amount was excluded, and any netting calculations,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less than 30 days before beginning actual construction, the owner or operator shall meet with the department to discuss the owner’s or operator’s determination of projected actual emissions for the project and shall provide to the department a copy of the information specified in </w:t>
      </w:r>
      <w:hyperlink r:id="rId50">
        <w:r>
          <w:rPr>
            <w:rStyle w:val="Hyperlink"/>
            <w:rFonts w:ascii="Times New Roman" w:hAnsi="Times New Roman"/>
            <w:b w:val="false"/>
            <w:i w:val="false"/>
            <w:color w:val="000000"/>
            <w:sz w:val="22"/>
          </w:rPr>
          <w:t>33.3(18)</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owner or operator is not required to obtain a determination from the department regarding the project’s projected actual emissions prior to beginning actual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emissions unit is an existing electric utility steam generating unit, before beginning actual construction, the owner or operator shall provide a copy of the information set out in subparagraph (1) to the department. The requirements in subparagraphs (1), (2) and (3) shall not be construed to require the owner or operator of such a unit to obtain any determination from the department before beginning actual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 the emissions of any regulated NSR pollutant that could increase as a result of the project and that is emitted by any emissions unit identified in subparagraph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Calculate the annual emissions, in tons per year on a calendar-year basis, for a period of five years following resumption of regular operations and maintain a record of regular operations after the change, or for a period of ten years following resumption of regular operations after the change if the project increases the design capacity or potential to emit of that regulated NSR pollutant at such emissions unit (for purposes of this requirement, “regular” shall be determined by the department on a case-by-case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a written record containing the information required in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written record containing the information required in subparagraph (4) shall be retained by the owner or operator for a period of ten years after the project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unit is an existing electric utility steam generating unit, the owner or operator shall submit a report to the department within 60 days after the end of each year during which records must be generated under subparagraph (4) setting out the unit’s annual emissions during the calendar year that preceded submission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is an existing unit other than an electric utility steam generating unit, the owner or operator shall submit a report to the department if the annual emissions, in tons per year, from the project identified in subparagraph (1), exceed the baseline actual emissions, as documented and maintained pursuant to subparagraph (4), by an amount that is “significant” as defined in </w:t>
      </w:r>
      <w:hyperlink r:id="rId51">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xml:space="preserve"> for that regulated NSR pollutant, and if such emissions differ from the preconstruction projection as documented and maintained pursuant to subparagraph (4). Such report shall be submitted to the department within 60 days after the end of such year. The report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major stationary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emissions as calculated pursuant to subparagraph (4);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the owner or operator wishes to include in the report (e.g., an explanation as to why the emissions differ from the preconstruction projection).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“reasonable possibility” under this paragraph (</w:t>
      </w:r>
      <w:hyperlink r:id="rId52">
        <w:r>
          <w:rPr>
            <w:rStyle w:val="Hyperlink"/>
            <w:rFonts w:ascii="Times New Roman" w:hAnsi="Times New Roman"/>
            <w:b w:val="false"/>
            <w:i w:val="false"/>
            <w:color w:val="000000"/>
            <w:sz w:val="22"/>
          </w:rPr>
          <w:t>33.3(18)</w:t>
        </w:r>
        <w:r>
          <w:rPr>
            <w:rFonts w:ascii="Times New Roman" w:hAnsi="Times New Roman"/>
            <w:b w:val="false"/>
            <w:i/>
            <w:color w:val="000000"/>
            <w:sz w:val="22"/>
          </w:rPr>
          <w:t>“f”</w:t>
        </w:r>
      </w:hyperlink>
      <w:r>
        <w:rPr>
          <w:rFonts w:ascii="Times New Roman" w:hAnsi="Times New Roman"/>
          <w:b w:val="false"/>
          <w:i w:val="false"/>
          <w:color w:val="000000"/>
          <w:sz w:val="22"/>
        </w:rPr>
        <w:t>) occurs when the owner or operator calculates the project to result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projected actual emissions increase of at least 50 percent of the amount that is a “significant emissions increase,” as defined under </w:t>
      </w:r>
      <w:hyperlink r:id="rId53">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xml:space="preserve"> (without reference to the amount that is a significant net emissions increase), for the regulated NSR pollutant;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projected actual emissions increase that, when added to the amount of emissions excluded under </w:t>
      </w:r>
      <w:hyperlink r:id="rId54">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xml:space="preserve">, paragraph “3” of the definition of “projected actual emissions,” equals at least 50 percent of the amount that is a “significant emissions increase,” as defined under </w:t>
      </w:r>
      <w:hyperlink r:id="rId55">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xml:space="preserve"> (without reference to the amount that is a significant net emissions increase), for the regulated NSR pollutant. For a project for which a reasonable possibility occurs only within the meaning of this numbered paragraph, and not also within the meaning of numbered paragraph “1” of this subparagraph (subparagraph (8)), then the provisions of subparagraphs (3) through (7) do not apply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the source shall make the information required to be documented and maintained pursuant to paragraph </w:t>
      </w:r>
      <w:hyperlink r:id="rId56">
        <w:r>
          <w:rPr>
            <w:rStyle w:val="Hyperlink"/>
            <w:rFonts w:ascii="Times New Roman" w:hAnsi="Times New Roman"/>
            <w:b w:val="false"/>
            <w:i w:val="false"/>
            <w:color w:val="000000"/>
            <w:sz w:val="22"/>
          </w:rPr>
          <w:t>33.3(18)</w:t>
        </w:r>
      </w:hyperlink>
      <w:r>
        <w:rPr>
          <w:rFonts w:ascii="Times New Roman" w:hAnsi="Times New Roman"/>
          <w:b w:val="false"/>
          <w:i/>
          <w:color w:val="000000"/>
          <w:sz w:val="22"/>
        </w:rPr>
        <w:t>“f”</w:t>
      </w:r>
      <w:r>
        <w:rPr>
          <w:rFonts w:ascii="Times New Roman" w:hAnsi="Times New Roman"/>
          <w:b w:val="false"/>
          <w:i w:val="false"/>
          <w:color w:val="000000"/>
          <w:sz w:val="22"/>
        </w:rPr>
        <w:t xml:space="preserve"> available for review upon request for inspection by the department or the general public pursuant to the requirements for Title V operating permits contained in </w:t>
      </w:r>
      <w:hyperlink r:id="rId57">
        <w:r>
          <w:rPr>
            <w:rStyle w:val="Hyperlink"/>
            <w:rFonts w:ascii="Times New Roman" w:hAnsi="Times New Roman"/>
            <w:b w:val="false"/>
            <w:i w:val="false"/>
            <w:color w:val="000000"/>
            <w:sz w:val="22"/>
          </w:rPr>
          <w:t>567—subrule 22.107(6)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33.3(19)</w:t>
      </w:r>
      <w:r>
        <w:rPr>
          <w:rFonts w:ascii="Times New Roman" w:hAnsi="Times New Roman"/>
          <w:b w:val="false"/>
          <w:i w:val="false"/>
          <w:color w:val="000000"/>
          <w:sz w:val="22"/>
        </w:rPr>
        <w:t> </w:t>
      </w:r>
      <w:r>
        <w:rPr>
          <w:rFonts w:ascii="Times New Roman" w:hAnsi="Times New Roman"/>
          <w:b w:val="false"/>
          <w:i/>
          <w:color w:val="000000"/>
          <w:sz w:val="22"/>
        </w:rPr>
        <w:t xml:space="preserve">Innovative control technology. </w:t>
      </w:r>
      <w:r>
        <w:rPr>
          <w:rFonts w:ascii="Times New Roman" w:hAnsi="Times New Roman"/>
          <w:b w:val="false"/>
          <w:i w:val="false"/>
          <w:color w:val="000000"/>
          <w:sz w:val="22"/>
        </w:rPr>
        <w:t xml:space="preserve">The provisions for innovative control technology as specified in 40 CFR 51.166(s) are adopted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33.3(20)</w:t>
      </w:r>
      <w:r>
        <w:rPr>
          <w:rFonts w:ascii="Times New Roman" w:hAnsi="Times New Roman"/>
          <w:b w:val="false"/>
          <w:i w:val="false"/>
          <w:color w:val="000000"/>
          <w:sz w:val="22"/>
        </w:rPr>
        <w:t> </w:t>
      </w:r>
      <w:r>
        <w:rPr>
          <w:rFonts w:ascii="Times New Roman" w:hAnsi="Times New Roman"/>
          <w:b w:val="false"/>
          <w:i/>
          <w:color w:val="000000"/>
          <w:sz w:val="22"/>
        </w:rPr>
        <w:t xml:space="preserve">Conditions for permit issuance. </w:t>
      </w:r>
      <w:r>
        <w:rPr>
          <w:rFonts w:ascii="Times New Roman" w:hAnsi="Times New Roman"/>
          <w:b w:val="false"/>
          <w:i w:val="false"/>
          <w:color w:val="000000"/>
          <w:sz w:val="22"/>
        </w:rPr>
        <w:t xml:space="preserve">Except as explained below, a permit may not be issued to any new “major stationary source” or “major modification” as defined in </w:t>
      </w:r>
      <w:hyperlink r:id="rId58">
        <w:r>
          <w:rPr>
            <w:rStyle w:val="Hyperlink"/>
            <w:rFonts w:ascii="Times New Roman" w:hAnsi="Times New Roman"/>
            <w:b w:val="false"/>
            <w:i w:val="false"/>
            <w:color w:val="000000"/>
            <w:sz w:val="22"/>
          </w:rPr>
          <w:t>33.3(1)</w:t>
        </w:r>
      </w:hyperlink>
      <w:r>
        <w:rPr>
          <w:rFonts w:ascii="Times New Roman" w:hAnsi="Times New Roman"/>
          <w:b w:val="false"/>
          <w:i w:val="false"/>
          <w:color w:val="000000"/>
          <w:sz w:val="22"/>
        </w:rPr>
        <w:t xml:space="preserve"> that would locate in any area designated as attainment or unclassifiable for any national ambient air quality standard pursuant to Section 107 of the Act, when the source or modification would cause or contribute to a violation of any national ambient air quality standard. A major stationary source or major modification will be considered to cause or contribute to a violation of a national ambient air quality standard when such source or modification would, at a minimum, exceed the following significance levels at any locality that does not or would not meet the applicable national standard: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71"/>
        <w:gridCol w:w="1844"/>
        <w:gridCol w:w="1844"/>
        <w:gridCol w:w="1844"/>
        <w:gridCol w:w="1843"/>
        <w:gridCol w:w="1843"/>
      </w:tblGrid>
      <w:tr>
        <w:trPr>
          <w:trHeight w:val="225" w:hRule="atLeast"/>
        </w:trPr>
        <w:tc>
          <w:tcPr>
            <w:tcW w:w="1971"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Averaging Time</w:t>
            </w:r>
          </w:p>
        </w:tc>
      </w:tr>
      <w:tr>
        <w:trPr>
          <w:trHeight w:val="225" w:hRule="atLeast"/>
        </w:trPr>
        <w:tc>
          <w:tcPr>
            <w:tcW w:w="0" w:type="auto"/>
            <w:vMerge/>
            <w:tcBorders>
              <w:top w:val="nil"/>
              <w:bottom w:val="single" w:color="000000" w:sz="8"/>
              <w:right w:val="single" w:color="000000" w:sz="8"/>
            </w:tcBorders>
          </w:tcPr>
          <w:p/>
        </w:tc>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Annual</w:t>
            </w:r>
          </w:p>
        </w:tc>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24 hrs.</w:t>
            </w:r>
          </w:p>
        </w:tc>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 hrs.</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 hrs.</w:t>
            </w:r>
          </w:p>
        </w:tc>
        <w:tc>
          <w:tcPr>
            <w:tcW w:w="184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 hr.</w:t>
            </w:r>
          </w:p>
        </w:tc>
      </w:tr>
      <w:tr>
        <w:trPr>
          <w:trHeight w:val="255" w:hRule="atLeast"/>
        </w:trPr>
        <w:tc>
          <w:tcPr>
            <w:tcW w:w="1971"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Pollutant</w:t>
            </w:r>
          </w:p>
        </w:tc>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(μg/m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w:t>
            </w:r>
          </w:p>
        </w:tc>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(μg/m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w:t>
            </w:r>
          </w:p>
        </w:tc>
        <w:tc>
          <w:tcPr>
            <w:tcW w:w="184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(μg/m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w:t>
            </w:r>
          </w:p>
        </w:tc>
        <w:tc>
          <w:tcPr>
            <w:tcW w:w="1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(μg/m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w:t>
            </w:r>
          </w:p>
        </w:tc>
        <w:tc>
          <w:tcPr>
            <w:tcW w:w="1843"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(μg/m</w:t>
            </w:r>
            <w:r>
              <w:rPr>
                <w:rFonts w:ascii="Times New Roman" w:hAnsi="Times New Roman"/>
                <w:b w:val="false"/>
                <w:i w:val="false"/>
                <w:color w:val="000000"/>
                <w:sz w:val="18"/>
                <w:vertAlign w:val="superscript"/>
              </w:rPr>
              <w:t>3</w:t>
            </w:r>
            <w:r>
              <w:rPr>
                <w:rFonts w:ascii="Times New Roman" w:hAnsi="Times New Roman"/>
                <w:b w:val="false"/>
                <w:i w:val="false"/>
                <w:color w:val="000000"/>
                <w:sz w:val="16"/>
              </w:rPr>
              <w:t>)</w:t>
            </w:r>
          </w:p>
        </w:tc>
      </w:tr>
      <w:tr>
        <w:trPr>
          <w:trHeight w:val="270" w:hRule="atLeast"/>
        </w:trPr>
        <w:tc>
          <w:tcPr>
            <w:tcW w:w="1971"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SO</w:t>
            </w:r>
            <w:r>
              <w:rPr>
                <w:rFonts w:ascii="Times New Roman" w:hAnsi="Times New Roman"/>
                <w:b w:val="false"/>
                <w:i w:val="false"/>
                <w:color w:val="000000"/>
                <w:sz w:val="18"/>
                <w:vertAlign w:val="subscript"/>
              </w:rPr>
              <w:t>2</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r>
      <w:tr>
        <w:trPr>
          <w:trHeight w:val="270" w:hRule="atLeast"/>
        </w:trPr>
        <w:tc>
          <w:tcPr>
            <w:tcW w:w="1971"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PM</w:t>
            </w:r>
            <w:r>
              <w:rPr>
                <w:rFonts w:ascii="Times New Roman" w:hAnsi="Times New Roman"/>
                <w:b w:val="false"/>
                <w:i w:val="false"/>
                <w:color w:val="000000"/>
                <w:sz w:val="18"/>
                <w:vertAlign w:val="subscript"/>
              </w:rPr>
              <w:t>10</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r>
      <w:tr>
        <w:trPr>
          <w:trHeight w:val="270" w:hRule="atLeast"/>
        </w:trPr>
        <w:tc>
          <w:tcPr>
            <w:tcW w:w="1971"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PM</w:t>
            </w:r>
            <w:r>
              <w:rPr>
                <w:rFonts w:ascii="Times New Roman" w:hAnsi="Times New Roman"/>
                <w:b w:val="false"/>
                <w:i w:val="false"/>
                <w:color w:val="000000"/>
                <w:sz w:val="18"/>
                <w:vertAlign w:val="subscript"/>
              </w:rPr>
              <w:t>2.5</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0.3</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r>
      <w:tr>
        <w:trPr>
          <w:trHeight w:val="270" w:hRule="atLeast"/>
        </w:trPr>
        <w:tc>
          <w:tcPr>
            <w:tcW w:w="1971"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NO</w:t>
            </w:r>
            <w:r>
              <w:rPr>
                <w:rFonts w:ascii="Times New Roman" w:hAnsi="Times New Roman"/>
                <w:b w:val="false"/>
                <w:i w:val="false"/>
                <w:color w:val="000000"/>
                <w:sz w:val="18"/>
                <w:vertAlign w:val="subscript"/>
              </w:rPr>
              <w:t>2</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r>
      <w:tr>
        <w:trPr>
          <w:trHeight w:val="225" w:hRule="atLeast"/>
        </w:trPr>
        <w:tc>
          <w:tcPr>
            <w:tcW w:w="1971"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CO</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w:t>
            </w:r>
          </w:p>
        </w:tc>
        <w:tc>
          <w:tcPr>
            <w:tcW w:w="1843"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w:t>
            </w:r>
          </w:p>
        </w:tc>
        <w:tc>
          <w:tcPr>
            <w:tcW w:w="184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w:t>
            </w:r>
          </w:p>
        </w:tc>
      </w:tr>
    </w:tbl>
    <w:p>
      <w:pPr>
        <w:spacing w:before="0" w:after="0"/>
        <w:ind w:left="120"/>
        <w:jc w:val="both"/>
      </w:pPr>
      <w:r>
        <w:rPr>
          <w:rFonts w:ascii="Times New Roman" w:hAnsi="Times New Roman"/>
          <w:b w:val="false"/>
          <w:i w:val="false"/>
          <w:color w:val="000000"/>
          <w:sz w:val="22"/>
        </w:rPr>
        <w:t>A permit may be granted to a major stationary source or major modification as identified above if the major stationary source or major modification reduces the impact of its emissions upon air quality by obtaining sufficient emissions reductions to compensate for its adverse ambient air impact where the major stationary source or major modification would otherwise contribute to a violation of any national ambient air quality standard. This subrule shall not apply to a major stationary source or major modification with respect to a particular pollutant if the owner or operator demonstrates that the source is located in an area designated under Section 107 of the Act as nonattainment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for an administrative amendment, the department may take final action on any such request and may incorporate the requested changes without providing notice to the public or to affected states, provided that the department designates any such permit revisions as having been made pursuant to </w:t>
      </w:r>
      <w:hyperlink r:id="rId59">
        <w:r>
          <w:rPr>
            <w:rStyle w:val="Hyperlink"/>
            <w:rFonts w:ascii="Times New Roman" w:hAnsi="Times New Roman"/>
            <w:b w:val="false"/>
            <w:i w:val="false"/>
            <w:color w:val="000000"/>
            <w:sz w:val="22"/>
          </w:rPr>
          <w:t>33.3(21)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amendment is a permit revision that does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Corrects typographical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Corrects word processing errors;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Identifies a change in name, address or telephone number of any person identified in the permit or provides a similar minor administrative change at the source;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Allows for a change in ownership or operational control of a source where the department determines that no other change in the permit is necessary, provided that a written agreement that contains a specific date for transfer of permit responsibility, coverage, and liability between the current permittee and the new permittee has been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33.3(22)</w:t>
      </w:r>
      <w:r>
        <w:rPr>
          <w:rFonts w:ascii="Times New Roman" w:hAnsi="Times New Roman"/>
          <w:b w:val="false"/>
          <w:i w:val="false"/>
          <w:color w:val="000000"/>
          <w:sz w:val="22"/>
        </w:rPr>
        <w:t> </w:t>
      </w:r>
      <w:r>
        <w:rPr>
          <w:rFonts w:ascii="Times New Roman" w:hAnsi="Times New Roman"/>
          <w:b w:val="false"/>
          <w:i/>
          <w:color w:val="000000"/>
          <w:sz w:val="22"/>
        </w:rPr>
        <w:t xml:space="preserve">Permit rescission. </w:t>
      </w:r>
      <w:r>
        <w:rPr>
          <w:rFonts w:ascii="Times New Roman" w:hAnsi="Times New Roman"/>
          <w:b w:val="false"/>
          <w:i w:val="false"/>
          <w:color w:val="000000"/>
          <w:sz w:val="22"/>
        </w:rPr>
        <w:t xml:space="preserve">Any permit issued under 40 CFR 52.21 or this chapter or any permit issued under </w:t>
      </w:r>
      <w:hyperlink r:id="rId60">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shall remain in effect unless and until it expires or is rescinded under 40 CFR 52.21(w) or this chapter. The provisions for permit rescission as set forth in 40 CFR 52.21(w) are adopted by reference. The department will consider requests for rescission that meet the conditions specified in this subrule. If the department rescinds a permit or a condition in a permit issued under 40 CFR 52.21, this chapter, or </w:t>
      </w:r>
      <w:hyperlink r:id="rId61">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(455B), the public shall be given adequate notice of the proposed rescission. Posting of an announcement of rescission on a publicly available website identified by the department 60 days prior to the proposed date for rescission shall be considered adequate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567—33.4</w:t>
      </w:r>
      <w:r>
        <w:rPr>
          <w:rFonts w:ascii="Times New Roman" w:hAnsi="Times New Roman"/>
          <w:b w:val="false"/>
          <w:i w:val="false"/>
          <w:color w:val="000000"/>
          <w:sz w:val="22"/>
        </w:rPr>
        <w:t xml:space="preserve"> to </w:t>
      </w:r>
      <w:r>
        <w:rPr>
          <w:rFonts w:ascii="Times New Roman" w:hAnsi="Times New Roman"/>
          <w:b/>
          <w:i w:val="false"/>
          <w:color w:val="000000"/>
          <w:sz w:val="22"/>
        </w:rPr>
        <w:t>33.8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567—33.9</w:t>
      </w:r>
      <w:r>
        <w:rPr>
          <w:rFonts w:ascii="Times New Roman" w:hAnsi="Times New Roman"/>
          <w:b/>
          <w:i w:val="false"/>
          <w:color w:val="000000"/>
          <w:sz w:val="22"/>
        </w:rPr>
        <w:t xml:space="preserve">(455B) </w:t>
      </w:r>
      <w:r>
        <w:rPr>
          <w:rFonts w:ascii="Times New Roman" w:hAnsi="Times New Roman"/>
          <w:b/>
          <w:i w:val="false"/>
          <w:color w:val="000000"/>
          <w:sz w:val="22"/>
        </w:rPr>
        <w:t xml:space="preserve">Plantwide applicability limitations (PALs). </w:t>
      </w:r>
      <w:r>
        <w:rPr>
          <w:rFonts w:ascii="Times New Roman" w:hAnsi="Times New Roman"/>
          <w:b w:val="false"/>
          <w:i w:val="false"/>
          <w:color w:val="000000"/>
          <w:sz w:val="22"/>
        </w:rPr>
        <w:t>This rule provides an existing major source the option of establishing a PAL on emissions, provided the conditions in this rule are met. The provisions for a PAL as set forth in 40 CFR 52.21(aa) are adopted by reference, except that the term “Administrator” shall mean “the department of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567—33.10</w:t>
      </w:r>
      <w:r>
        <w:rPr>
          <w:rFonts w:ascii="Times New Roman" w:hAnsi="Times New Roman"/>
          <w:b/>
          <w:i w:val="false"/>
          <w:color w:val="000000"/>
          <w:sz w:val="22"/>
        </w:rPr>
        <w:t xml:space="preserve">(455B) </w:t>
      </w:r>
      <w:r>
        <w:rPr>
          <w:rFonts w:ascii="Times New Roman" w:hAnsi="Times New Roman"/>
          <w:b/>
          <w:i w:val="false"/>
          <w:color w:val="000000"/>
          <w:sz w:val="22"/>
        </w:rPr>
        <w:t xml:space="preserve">Exceptions to adoption by reference. </w:t>
      </w:r>
      <w:r>
        <w:rPr>
          <w:rFonts w:ascii="Times New Roman" w:hAnsi="Times New Roman"/>
          <w:b w:val="false"/>
          <w:i w:val="false"/>
          <w:color w:val="000000"/>
          <w:sz w:val="22"/>
        </w:rPr>
        <w:t>All references to Clean Units and Pollution Control Projects set forth in 40 CFR 51.166 and 52.21 are not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2">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8/25/06, Notice 6/7/06—published 9/27/06, effective 11/1/06]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emergency 10/4/07 after Notice 8/1/07—published 10/24/07, effective 10/4/07]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8215B</w:t>
      </w:r>
      <w:r>
        <w:rPr>
          <w:rFonts w:ascii="Times New Roman" w:hAnsi="Times New Roman"/>
          <w:b w:val="false"/>
          <w:i w:val="false"/>
          <w:color w:val="000000"/>
          <w:sz w:val="21"/>
        </w:rPr>
        <w:t xml:space="preserve"> (Notice ARC 7855B,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9224B</w:t>
      </w:r>
      <w:r>
        <w:rPr>
          <w:rFonts w:ascii="Times New Roman" w:hAnsi="Times New Roman"/>
          <w:b w:val="false"/>
          <w:i w:val="false"/>
          <w:color w:val="000000"/>
          <w:sz w:val="21"/>
        </w:rPr>
        <w:t xml:space="preserve"> (Notice ARC 8999B,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Emergency After Notice ARC 9906B</w:t>
      </w:r>
      <w:r>
        <w:rPr>
          <w:rFonts w:ascii="Times New Roman" w:hAnsi="Times New Roman"/>
          <w:b w:val="false"/>
          <w:i w:val="false"/>
          <w:color w:val="000000"/>
          <w:sz w:val="21"/>
        </w:rPr>
        <w:t xml:space="preserve"> (Notice ARC 9736B, IAB 9/7/11)</w:t>
      </w:r>
      <w:r>
        <w:rPr>
          <w:rFonts w:ascii="Times New Roman" w:hAnsi="Times New Roman"/>
          <w:b w:val="false"/>
          <w:i w:val="false"/>
          <w:color w:val="000000"/>
          <w:sz w:val="21"/>
        </w:rPr>
        <w:t>, IAB 12/14/11, effective 11/16/11]</w:t>
      </w:r>
    </w:p>
    <w:p>
      <w:pPr>
        <w:spacing w:before="0" w:after="0"/>
        <w:ind w:left="120"/>
        <w:jc w:val="center"/>
      </w:pPr>
      <w:r>
        <w:rPr>
          <w:rFonts w:ascii="Times New Roman" w:hAnsi="Times New Roman"/>
          <w:b w:val="false"/>
          <w:i w:val="false"/>
          <w:color w:val="000000"/>
          <w:sz w:val="21"/>
        </w:rPr>
        <w:t>[Filed ARC 0260C</w:t>
      </w:r>
      <w:r>
        <w:rPr>
          <w:rFonts w:ascii="Times New Roman" w:hAnsi="Times New Roman"/>
          <w:b w:val="false"/>
          <w:i w:val="false"/>
          <w:color w:val="000000"/>
          <w:sz w:val="21"/>
        </w:rPr>
        <w:t xml:space="preserve"> (Notice ARC 0097C, IAB 4/18/12)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0783C</w:t>
      </w:r>
      <w:r>
        <w:rPr>
          <w:rFonts w:ascii="Times New Roman" w:hAnsi="Times New Roman"/>
          <w:b w:val="false"/>
          <w:i w:val="false"/>
          <w:color w:val="000000"/>
          <w:sz w:val="21"/>
        </w:rPr>
        <w:t xml:space="preserve"> (Notice ARC 0648C, IAB 3/20/13)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1227C</w:t>
      </w:r>
      <w:r>
        <w:rPr>
          <w:rFonts w:ascii="Times New Roman" w:hAnsi="Times New Roman"/>
          <w:b w:val="false"/>
          <w:i w:val="false"/>
          <w:color w:val="000000"/>
          <w:sz w:val="21"/>
        </w:rPr>
        <w:t xml:space="preserve"> (Notice ARC 1016C,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7962C</w:t>
      </w:r>
      <w:r>
        <w:rPr>
          <w:rFonts w:ascii="Times New Roman" w:hAnsi="Times New Roman"/>
          <w:b w:val="false"/>
          <w:i w:val="false"/>
          <w:color w:val="000000"/>
          <w:sz w:val="21"/>
        </w:rPr>
        <w:t xml:space="preserve"> (Notice ARC 7223C,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31.pdf" Type="http://schemas.openxmlformats.org/officeDocument/2006/relationships/hyperlink" Id="rId5"/>
    <Relationship TargetMode="External" Target="https://www.legis.iowa.gov/docs/iac/chapter/567.33.pdf" Type="http://schemas.openxmlformats.org/officeDocument/2006/relationships/hyperlink" Id="rId6"/>
    <Relationship TargetMode="External" Target="https://www.legis.iowa.gov/docs/iac/chapter/567.30.pdf" Type="http://schemas.openxmlformats.org/officeDocument/2006/relationships/hyperlink" Id="rId7"/>
    <Relationship TargetMode="External" Target="https://www.legis.iowa.gov/docs/iac/rule/567.33.2.pdf" Type="http://schemas.openxmlformats.org/officeDocument/2006/relationships/hyperlink" Id="rId8"/>
    <Relationship TargetMode="External" Target="https://www.legis.iowa.gov/docs/iac/rule/567.33.3.pdf" Type="http://schemas.openxmlformats.org/officeDocument/2006/relationships/hyperlink" Id="rId9"/>
    <Relationship TargetMode="External" Target="https://www.legis.iowa.gov/docs/iac/rule/567.33.4.pdf" Type="http://schemas.openxmlformats.org/officeDocument/2006/relationships/hyperlink" Id="rId10"/>
    <Relationship TargetMode="External" Target="https://www.legis.iowa.gov/docs/iac/rule/567.33.8.pdf" Type="http://schemas.openxmlformats.org/officeDocument/2006/relationships/hyperlink" Id="rId11"/>
    <Relationship TargetMode="External" Target="https://www.legis.iowa.gov/docs/iac/rule/567.33.9.pdf" Type="http://schemas.openxmlformats.org/officeDocument/2006/relationships/hyperlink" Id="rId12"/>
    <Relationship TargetMode="External" Target="https://www.legis.iowa.gov/docs/iac/rule/567.33.9.pdf" Type="http://schemas.openxmlformats.org/officeDocument/2006/relationships/hyperlink" Id="rId13"/>
    <Relationship TargetMode="External" Target="https://www.legis.iowa.gov/docs/iac/chapter/567.30.pdf" Type="http://schemas.openxmlformats.org/officeDocument/2006/relationships/hyperlink" Id="rId14"/>
    <Relationship TargetMode="External" Target="https://www.legis.iowa.gov/docs/iac/chapter/567.22.pdf" Type="http://schemas.openxmlformats.org/officeDocument/2006/relationships/hyperlink" Id="rId15"/>
    <Relationship TargetMode="External" Target="https://www.legis.iowa.gov/docs/iac/chapter/567.24.pdf" Type="http://schemas.openxmlformats.org/officeDocument/2006/relationships/hyperlink" Id="rId16"/>
    <Relationship TargetMode="External" Target="https://www.legis.iowa.gov/docs/iac/rule/567.33.9.pdf" Type="http://schemas.openxmlformats.org/officeDocument/2006/relationships/hyperlink" Id="rId17"/>
    <Relationship TargetMode="External" Target="https://www.legis.iowa.gov/docs/iac/rule/567.23.1.pdf" Type="http://schemas.openxmlformats.org/officeDocument/2006/relationships/hyperlink" Id="rId18"/>
    <Relationship TargetMode="External" Target="https://www.legis.iowa.gov/docs/iac/rule/567.23.1.pdf" Type="http://schemas.openxmlformats.org/officeDocument/2006/relationships/hyperlink" Id="rId19"/>
    <Relationship TargetMode="External" Target="https://www.legis.iowa.gov/docs/iac/rule/567.23.1.pdf" Type="http://schemas.openxmlformats.org/officeDocument/2006/relationships/hyperlink" Id="rId20"/>
    <Relationship TargetMode="External" Target="https://www.legis.iowa.gov/docs/iac/rule/567.33.9.pdf" Type="http://schemas.openxmlformats.org/officeDocument/2006/relationships/hyperlink" Id="rId21"/>
    <Relationship TargetMode="External" Target="https://www.legis.iowa.gov/docs/iac/rule/567.33.9.pdf" Type="http://schemas.openxmlformats.org/officeDocument/2006/relationships/hyperlink" Id="rId22"/>
    <Relationship TargetMode="External" Target="https://www.legis.iowa.gov/docs/iac/rule/567.33.3.pdf" Type="http://schemas.openxmlformats.org/officeDocument/2006/relationships/hyperlink" Id="rId23"/>
    <Relationship TargetMode="External" Target="https://www.legis.iowa.gov/docs/iac/rule/567.33.3.pdf" Type="http://schemas.openxmlformats.org/officeDocument/2006/relationships/hyperlink" Id="rId24"/>
    <Relationship TargetMode="External" Target="https://www.legis.iowa.gov/docs/iac/rule/567.33.9.pdf" Type="http://schemas.openxmlformats.org/officeDocument/2006/relationships/hyperlink" Id="rId25"/>
    <Relationship TargetMode="External" Target="https://www.legis.iowa.gov/docs/iac/rule/567.33.3.pdf" Type="http://schemas.openxmlformats.org/officeDocument/2006/relationships/hyperlink" Id="rId26"/>
    <Relationship TargetMode="External" Target="https://www.legis.iowa.gov/docs/iac/rule/567.33.3.pdf" Type="http://schemas.openxmlformats.org/officeDocument/2006/relationships/hyperlink" Id="rId27"/>
    <Relationship TargetMode="External" Target="https://www.legis.iowa.gov/docs/iac/rule/567.33.3.pdf" Type="http://schemas.openxmlformats.org/officeDocument/2006/relationships/hyperlink" Id="rId28"/>
    <Relationship TargetMode="External" Target="https://www.legis.iowa.gov/docs/iac/rule/567.33.3.pdf" Type="http://schemas.openxmlformats.org/officeDocument/2006/relationships/hyperlink" Id="rId29"/>
    <Relationship TargetMode="External" Target="https://www.legis.iowa.gov/docs/iac/rule/567.33.3.pdf" Type="http://schemas.openxmlformats.org/officeDocument/2006/relationships/hyperlink" Id="rId30"/>
    <Relationship TargetMode="External" Target="https://www.legis.iowa.gov/docs/iac/rule/567.33.3.pdf" Type="http://schemas.openxmlformats.org/officeDocument/2006/relationships/hyperlink" Id="rId31"/>
    <Relationship TargetMode="External" Target="https://www.legis.iowa.gov/docs/iac/rule/567.33.9.pdf" Type="http://schemas.openxmlformats.org/officeDocument/2006/relationships/hyperlink" Id="rId32"/>
    <Relationship TargetMode="External" Target="https://www.legis.iowa.gov/docs/iac/rule/567.33.3.pdf" Type="http://schemas.openxmlformats.org/officeDocument/2006/relationships/hyperlink" Id="rId33"/>
    <Relationship TargetMode="External" Target="https://www.legis.iowa.gov/docs/iac/rule/567.33.9.pdf" Type="http://schemas.openxmlformats.org/officeDocument/2006/relationships/hyperlink" Id="rId34"/>
    <Relationship TargetMode="External" Target="https://www.legis.iowa.gov/docs/iac/rule/567.33.3.pdf" Type="http://schemas.openxmlformats.org/officeDocument/2006/relationships/hyperlink" Id="rId35"/>
    <Relationship TargetMode="External" Target="https://www.legis.iowa.gov/docs/iac/rule/567.33.3.pdf" Type="http://schemas.openxmlformats.org/officeDocument/2006/relationships/hyperlink" Id="rId36"/>
    <Relationship TargetMode="External" Target="https://www.legis.iowa.gov/docs/iac/rule/567.33.3.pdf" Type="http://schemas.openxmlformats.org/officeDocument/2006/relationships/hyperlink" Id="rId37"/>
    <Relationship TargetMode="External" Target="https://www.legis.iowa.gov/docs/iac/rule/567.33.3.pdf" Type="http://schemas.openxmlformats.org/officeDocument/2006/relationships/hyperlink" Id="rId38"/>
    <Relationship TargetMode="External" Target="https://www.legis.iowa.gov/docs/iac/rule/567.33.3.pdf" Type="http://schemas.openxmlformats.org/officeDocument/2006/relationships/hyperlink" Id="rId39"/>
    <Relationship TargetMode="External" Target="https://www.legis.iowa.gov/docs/iac/rule/567.33.3.pdf" Type="http://schemas.openxmlformats.org/officeDocument/2006/relationships/hyperlink" Id="rId40"/>
    <Relationship TargetMode="External" Target="https://www.legis.iowa.gov/docs/iac/rule/567.33.3.pdf" Type="http://schemas.openxmlformats.org/officeDocument/2006/relationships/hyperlink" Id="rId41"/>
    <Relationship TargetMode="External" Target="https://www.legis.iowa.gov/docs/iac/rule/567.33.3.pdf" Type="http://schemas.openxmlformats.org/officeDocument/2006/relationships/hyperlink" Id="rId42"/>
    <Relationship TargetMode="External" Target="https://www.legis.iowa.gov/docs/iac/rule/567.33.9.pdf" Type="http://schemas.openxmlformats.org/officeDocument/2006/relationships/hyperlink" Id="rId43"/>
    <Relationship TargetMode="External" Target="https://www.legis.iowa.gov/docs/iac/rule/567.33.3.pdf" Type="http://schemas.openxmlformats.org/officeDocument/2006/relationships/hyperlink" Id="rId44"/>
    <Relationship TargetMode="External" Target="https://www.legis.iowa.gov/docs/iac/rule/567.33.3.pdf" Type="http://schemas.openxmlformats.org/officeDocument/2006/relationships/hyperlink" Id="rId45"/>
    <Relationship TargetMode="External" Target="https://www.legis.iowa.gov/docs/iac/rule/567.33.3.pdf" Type="http://schemas.openxmlformats.org/officeDocument/2006/relationships/hyperlink" Id="rId46"/>
    <Relationship TargetMode="External" Target="https://www.legis.iowa.gov/docs/iac/rule/567.33.3.pdf" Type="http://schemas.openxmlformats.org/officeDocument/2006/relationships/hyperlink" Id="rId47"/>
    <Relationship TargetMode="External" Target="https://www.legis.iowa.gov/docs/iac/rule/567.33.3.pdf" Type="http://schemas.openxmlformats.org/officeDocument/2006/relationships/hyperlink" Id="rId48"/>
    <Relationship TargetMode="External" Target="https://www.legis.iowa.gov/docs/iac/rule/567.33.3.pdf" Type="http://schemas.openxmlformats.org/officeDocument/2006/relationships/hyperlink" Id="rId49"/>
    <Relationship TargetMode="External" Target="https://www.legis.iowa.gov/docs/iac/rule/567.33.3.pdf" Type="http://schemas.openxmlformats.org/officeDocument/2006/relationships/hyperlink" Id="rId50"/>
    <Relationship TargetMode="External" Target="https://www.legis.iowa.gov/docs/iac/rule/567.33.3.pdf" Type="http://schemas.openxmlformats.org/officeDocument/2006/relationships/hyperlink" Id="rId51"/>
    <Relationship TargetMode="External" Target="https://www.legis.iowa.gov/docs/iac/rule/567.33.3.pdf" Type="http://schemas.openxmlformats.org/officeDocument/2006/relationships/hyperlink" Id="rId52"/>
    <Relationship TargetMode="External" Target="https://www.legis.iowa.gov/docs/iac/rule/567.33.3.pdf" Type="http://schemas.openxmlformats.org/officeDocument/2006/relationships/hyperlink" Id="rId53"/>
    <Relationship TargetMode="External" Target="https://www.legis.iowa.gov/docs/iac/rule/567.33.3.pdf" Type="http://schemas.openxmlformats.org/officeDocument/2006/relationships/hyperlink" Id="rId54"/>
    <Relationship TargetMode="External" Target="https://www.legis.iowa.gov/docs/iac/rule/567.33.3.pdf" Type="http://schemas.openxmlformats.org/officeDocument/2006/relationships/hyperlink" Id="rId55"/>
    <Relationship TargetMode="External" Target="https://www.legis.iowa.gov/docs/iac/rule/567.33.3.pdf" Type="http://schemas.openxmlformats.org/officeDocument/2006/relationships/hyperlink" Id="rId56"/>
    <Relationship TargetMode="External" Target="https://www.legis.iowa.gov/docs/iac/rule/567.22.107.pdf" Type="http://schemas.openxmlformats.org/officeDocument/2006/relationships/hyperlink" Id="rId57"/>
    <Relationship TargetMode="External" Target="https://www.legis.iowa.gov/docs/iac/rule/567.33.3.pdf" Type="http://schemas.openxmlformats.org/officeDocument/2006/relationships/hyperlink" Id="rId58"/>
    <Relationship TargetMode="External" Target="https://www.legis.iowa.gov/docs/iac/rule/567.33.3.pdf" Type="http://schemas.openxmlformats.org/officeDocument/2006/relationships/hyperlink" Id="rId59"/>
    <Relationship TargetMode="External" Target="https://www.legis.iowa.gov/docs/iac/rule/567.22.4.pdf" Type="http://schemas.openxmlformats.org/officeDocument/2006/relationships/hyperlink" Id="rId60"/>
    <Relationship TargetMode="External" Target="https://www.legis.iowa.gov/docs/iac/rule/567.22.4.pdf" Type="http://schemas.openxmlformats.org/officeDocument/2006/relationships/hyperlink" Id="rId61"/>
    <Relationship TargetMode="External" Target="https://www.legis.iowa.gov/docs/ico/chapter/455B.133.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