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OPERATING PERMITS</w:t>
      </w:r>
    </w:p>
    <w:p>
      <w:pPr>
        <w:spacing w:before="0" w:after="0"/>
        <w:ind w:left="120"/>
        <w:jc w:val="center"/>
      </w:pPr>
      <w:r>
        <w:rPr>
          <w:rFonts w:ascii="Times New Roman" w:hAnsi="Times New Roman"/>
          <w:b w:val="false"/>
          <w:i w:val="false"/>
          <w:color w:val="000000"/>
          <w:sz w:val="14"/>
        </w:rPr>
        <w:t>[Prior to IAB 5/15/24, subject appeared in Ch 22]</w:t>
      </w:r>
    </w:p>
    <w:p>
      <w:pPr>
        <w:spacing w:before="0" w:after="0"/>
        <w:ind w:left="120"/>
        <w:jc w:val="center"/>
      </w:pPr>
      <w:r>
        <w:rPr>
          <w:rFonts w:ascii="Times New Roman" w:hAnsi="Times New Roman"/>
          <w:b w:val="false"/>
          <w:i w:val="false"/>
          <w:color w:val="000000"/>
          <w:sz w:val="14"/>
        </w:rPr>
        <w:t>[Prior to 7/1/83, DEQ Ch 3]</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210" w:after="0"/>
        <w:ind w:left="120"/>
        <w:jc w:val="both"/>
      </w:pPr>
      <w:r>
        <w:rPr>
          <w:rFonts w:ascii="Times New Roman" w:hAnsi="Times New Roman"/>
          <w:b/>
          <w:i w:val="false"/>
          <w:color w:val="000000"/>
          <w:sz w:val="22"/>
        </w:rPr>
        <w:t>567—24.1</w:t>
      </w:r>
      <w:r>
        <w:rPr>
          <w:rFonts w:ascii="Times New Roman" w:hAnsi="Times New Roman"/>
          <w:b w:val="false"/>
          <w:i w:val="false"/>
          <w:color w:val="000000"/>
          <w:sz w:val="22"/>
        </w:rPr>
        <w:t xml:space="preserve"> to </w:t>
      </w:r>
      <w:r>
        <w:rPr>
          <w:rFonts w:ascii="Times New Roman" w:hAnsi="Times New Roman"/>
          <w:b/>
          <w:i w:val="false"/>
          <w:color w:val="000000"/>
          <w:sz w:val="22"/>
        </w:rPr>
        <w:t>24.99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567—24.100</w:t>
      </w:r>
      <w:r>
        <w:rPr>
          <w:rFonts w:ascii="Times New Roman" w:hAnsi="Times New Roman"/>
          <w:b/>
          <w:i w:val="false"/>
          <w:color w:val="000000"/>
          <w:sz w:val="22"/>
        </w:rPr>
        <w:t xml:space="preserve">(455B) </w:t>
      </w:r>
      <w:r>
        <w:rPr>
          <w:rFonts w:ascii="Times New Roman" w:hAnsi="Times New Roman"/>
          <w:b/>
          <w:i w:val="false"/>
          <w:color w:val="000000"/>
          <w:sz w:val="22"/>
        </w:rPr>
        <w:t xml:space="preserve">Title V operating permits—definitions. </w:t>
      </w:r>
      <w:r>
        <w:rPr>
          <w:rFonts w:ascii="Times New Roman" w:hAnsi="Times New Roman"/>
          <w:b w:val="false"/>
          <w:i w:val="false"/>
          <w:color w:val="000000"/>
          <w:sz w:val="22"/>
        </w:rPr>
        <w:t>For purposes of this chapter and unless otherwise stated, the following terms shall have the meaning indicated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“12-month rolling period” </w:t>
      </w:r>
      <w:r>
        <w:rPr>
          <w:rFonts w:ascii="Times New Roman" w:hAnsi="Times New Roman"/>
          <w:b w:val="false"/>
          <w:i w:val="false"/>
          <w:color w:val="000000"/>
          <w:sz w:val="22"/>
        </w:rPr>
        <w:t xml:space="preserve">means the same as defined in </w:t>
      </w:r>
      <w:hyperlink r:id="rId5">
        <w:r>
          <w:rPr>
            <w:rStyle w:val="Hyperlink"/>
            <w:rFonts w:ascii="Times New Roman" w:hAnsi="Times New Roman"/>
            <w:b w:val="false"/>
            <w:i w:val="false"/>
            <w:color w:val="000000"/>
            <w:sz w:val="22"/>
          </w:rPr>
          <w:t>567—22.1(455B)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“40 CFR Part 70” </w:t>
      </w:r>
      <w:r>
        <w:rPr>
          <w:rFonts w:ascii="Times New Roman" w:hAnsi="Times New Roman"/>
          <w:b w:val="false"/>
          <w:i w:val="false"/>
          <w:color w:val="000000"/>
          <w:sz w:val="22"/>
        </w:rPr>
        <w:t xml:space="preserve">means Part 70 or any specific section within Part 70 that is cited in this chapter, as amended through May 6, 2020, unless otherwise noted.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“40 CFR Part 72” </w:t>
      </w:r>
      <w:r>
        <w:rPr>
          <w:rFonts w:ascii="Times New Roman" w:hAnsi="Times New Roman"/>
          <w:b w:val="false"/>
          <w:i w:val="false"/>
          <w:color w:val="000000"/>
          <w:sz w:val="22"/>
        </w:rPr>
        <w:t>means Part 72 or any specific section within Part 72 that is cited in this chapter, as amended through March 28, 2011,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U.S. Clean Air Act (42 U.S.C. §7401, et seq.), as amended through November 15,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“Actual emissions” </w:t>
      </w:r>
      <w:r>
        <w:rPr>
          <w:rFonts w:ascii="Times New Roman" w:hAnsi="Times New Roman"/>
          <w:b w:val="false"/>
          <w:i w:val="false"/>
          <w:color w:val="000000"/>
          <w:sz w:val="22"/>
        </w:rPr>
        <w:t>means the actual rate of emissions of a pollutant from an emissions unit, as determined in accordance with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general, actual emissions as of a particular date shall equal the average rate, in tons per year, at which the unit actually emitted the pollutant during a two-year period that immediately precedes that date and that is representative of normal source operations. The director may allow the use of a different time period upon a demonstration that it is more representative of normal source operations. Actual emissions shall be calculated using the unit’s actual operating hours, production rates, and types of materials processed, stored or combusted during the selected time period. Actual emissions for acid rain-affected sources are calculated using a one-year period.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Lacking specific information to the contrary, the director may presume that source-specific allowable emissions for the unit are equivalent to the actual emissions of the unit.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any emissions unit that has not begun normal operations on a particular date, actual emissions shall equal the potential to emit of the unit on that date.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purposes of calculating early reductions of hazardous air pollutants, actual emissions shall not include excess emissions resulting from a malfunction or from startups and shutdowns associated with a malfunction.</w:t>
      </w:r>
    </w:p>
    <w:p>
      <w:pPr>
        <w:spacing w:before="0" w:after="0"/>
        <w:ind w:left="120"/>
        <w:jc w:val="both"/>
      </w:pPr>
      <w:r>
        <w:rPr>
          <w:rFonts w:ascii="Times New Roman" w:hAnsi="Times New Roman"/>
          <w:b w:val="false"/>
          <w:i w:val="false"/>
          <w:color w:val="000000"/>
          <w:sz w:val="22"/>
        </w:rPr>
        <w:t>Actual emissions for purposes of determining fees shall be the actual emissions calculated over a period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for the United States Environmental Protection Agency (EPA)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source,”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state,” </w:t>
      </w:r>
      <w:r>
        <w:rPr>
          <w:rFonts w:ascii="Times New Roman" w:hAnsi="Times New Roman"/>
          <w:b w:val="false"/>
          <w:i w:val="false"/>
          <w:color w:val="000000"/>
          <w:sz w:val="22"/>
        </w:rPr>
        <w:t xml:space="preserve">as this definition is set forth in 40 CFR §70.2, is adopted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unit,”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“Allowable emissions” </w:t>
      </w:r>
      <w:r>
        <w:rPr>
          <w:rFonts w:ascii="Times New Roman" w:hAnsi="Times New Roman"/>
          <w:b w:val="false"/>
          <w:i w:val="false"/>
          <w:color w:val="000000"/>
          <w:sz w:val="22"/>
        </w:rPr>
        <w:t>means the emission rate of a stationary source calculated using both the maximum rated capacity of the source, unless the source is subject to federally enforceable limits that restrict the operating rate or hours of operation, and the most stringent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applicable new source performance standards or national emissions standards for hazardous air pollutants, contained in </w:t>
      </w:r>
      <w:hyperlink r:id="rId6">
        <w:r>
          <w:rPr>
            <w:rStyle w:val="Hyperlink"/>
            <w:rFonts w:ascii="Times New Roman" w:hAnsi="Times New Roman"/>
            <w:b w:val="false"/>
            <w:i w:val="false"/>
            <w:color w:val="000000"/>
            <w:sz w:val="22"/>
          </w:rPr>
          <w:t>567—subrules 23.1(2)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applicable existing source emission standard contained in </w:t>
      </w:r>
      <w:hyperlink r:id="rId9">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emissions rate specified in the air construction permit for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“Allowance,” </w:t>
      </w:r>
      <w:r>
        <w:rPr>
          <w:rFonts w:ascii="Times New Roman" w:hAnsi="Times New Roman"/>
          <w:b w:val="false"/>
          <w:i w:val="false"/>
          <w:color w:val="000000"/>
          <w:sz w:val="22"/>
        </w:rPr>
        <w:t>as this definition is set forth in 40 CFR §72.2,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“Applicable requirement,”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source” </w:t>
      </w:r>
      <w:r>
        <w:rPr>
          <w:rFonts w:ascii="Times New Roman" w:hAnsi="Times New Roman"/>
          <w:b w:val="false"/>
          <w:i w:val="false"/>
          <w:color w:val="000000"/>
          <w:sz w:val="22"/>
        </w:rPr>
        <w:t xml:space="preserve">means any stationary source of hazardous air pollutants that is not a major source as defined in </w:t>
      </w:r>
      <w:hyperlink r:id="rId10">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with standard references in this chapter by Title and Part, so that “40 CFR 51” means “Title 40 of the Code of Federal Regulations, Part 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“Country grain elevator” </w:t>
      </w:r>
      <w:r>
        <w:rPr>
          <w:rFonts w:ascii="Times New Roman" w:hAnsi="Times New Roman"/>
          <w:b w:val="false"/>
          <w:i w:val="false"/>
          <w:color w:val="000000"/>
          <w:sz w:val="22"/>
        </w:rPr>
        <w:t xml:space="preserve">means the same as defined in </w:t>
      </w:r>
      <w:hyperlink r:id="rId11">
        <w:r>
          <w:rPr>
            <w:rStyle w:val="Hyperlink"/>
            <w:rFonts w:ascii="Times New Roman" w:hAnsi="Times New Roman"/>
            <w:b w:val="false"/>
            <w:i w:val="false"/>
            <w:color w:val="000000"/>
            <w:sz w:val="22"/>
          </w:rPr>
          <w:t>567—subrule 22.10(1)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representative” </w:t>
      </w:r>
      <w:r>
        <w:rPr>
          <w:rFonts w:ascii="Times New Roman" w:hAnsi="Times New Roman"/>
          <w:b w:val="false"/>
          <w:i w:val="false"/>
          <w:color w:val="000000"/>
          <w:sz w:val="22"/>
        </w:rPr>
        <w:t xml:space="preserve">means a responsible natural person authorized by the owner(s) or operator(s) of an affected source and of all affected units at the source, as evidenced by a certificate of representation submitted in accordance with Subpart B of 40 CFR Part 72, to represent and legally bind each owner and operator, as a matter of federal law, in matters pertaining to the acid rain program. Whenever the term “responsible official” is used in </w:t>
      </w:r>
      <w:hyperlink r:id="rId12">
        <w:r>
          <w:rPr>
            <w:rStyle w:val="Hyperlink"/>
            <w:rFonts w:ascii="Times New Roman" w:hAnsi="Times New Roman"/>
            <w:b w:val="false"/>
            <w:i w:val="false"/>
            <w:color w:val="000000"/>
            <w:sz w:val="22"/>
          </w:rPr>
          <w:t>Chapter 24</w:t>
        </w:r>
      </w:hyperlink>
      <w:r>
        <w:rPr>
          <w:rFonts w:ascii="Times New Roman" w:hAnsi="Times New Roman"/>
          <w:b w:val="false"/>
          <w:i w:val="false"/>
          <w:color w:val="000000"/>
          <w:sz w:val="22"/>
        </w:rPr>
        <w:t>, it shall be deemed to refer to the designated representative with regard to all matters under the acid rain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“Draft Title V permit,”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format,” “electronic submittal,”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“electronic submittal format” </w:t>
      </w:r>
      <w:r>
        <w:rPr>
          <w:rFonts w:ascii="Times New Roman" w:hAnsi="Times New Roman"/>
          <w:b w:val="false"/>
          <w:i w:val="false"/>
          <w:color w:val="000000"/>
          <w:sz w:val="22"/>
        </w:rPr>
        <w:t>mean the same as defined in 567—22.1(455B).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generator” </w:t>
      </w:r>
      <w:r>
        <w:rPr>
          <w:rFonts w:ascii="Times New Roman" w:hAnsi="Times New Roman"/>
          <w:b w:val="false"/>
          <w:i w:val="false"/>
          <w:color w:val="000000"/>
          <w:sz w:val="22"/>
        </w:rPr>
        <w:t xml:space="preserve">means the same as defined in </w:t>
      </w:r>
      <w:hyperlink r:id="rId13">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“Emissions allowable under the permit,”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“Emissions unit,”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“EPA conditional method” </w:t>
      </w:r>
      <w:r>
        <w:rPr>
          <w:rFonts w:ascii="Times New Roman" w:hAnsi="Times New Roman"/>
          <w:b w:val="false"/>
          <w:i w:val="false"/>
          <w:color w:val="000000"/>
          <w:sz w:val="22"/>
        </w:rPr>
        <w:t xml:space="preserve">means the same as defined in </w:t>
      </w:r>
      <w:hyperlink r:id="rId14">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“EPA reference method” </w:t>
      </w:r>
      <w:r>
        <w:rPr>
          <w:rFonts w:ascii="Times New Roman" w:hAnsi="Times New Roman"/>
          <w:b w:val="false"/>
          <w:i w:val="false"/>
          <w:color w:val="000000"/>
          <w:sz w:val="22"/>
        </w:rPr>
        <w:t xml:space="preserve">means the same as defined in </w:t>
      </w:r>
      <w:hyperlink r:id="rId15">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hazardous air pollutant source” </w:t>
      </w:r>
      <w:r>
        <w:rPr>
          <w:rFonts w:ascii="Times New Roman" w:hAnsi="Times New Roman"/>
          <w:b w:val="false"/>
          <w:i w:val="false"/>
          <w:color w:val="000000"/>
          <w:sz w:val="22"/>
        </w:rPr>
        <w:t xml:space="preserve">means any source as defined in 40 CFR 61 as adopted by reference in </w:t>
      </w:r>
      <w:hyperlink r:id="rId16">
        <w:r>
          <w:rPr>
            <w:rStyle w:val="Hyperlink"/>
            <w:rFonts w:ascii="Times New Roman" w:hAnsi="Times New Roman"/>
            <w:b w:val="false"/>
            <w:i w:val="false"/>
            <w:color w:val="000000"/>
            <w:sz w:val="22"/>
          </w:rPr>
          <w:t>567—subrule 23.1(3)</w:t>
        </w:r>
      </w:hyperlink>
      <w:r>
        <w:rPr>
          <w:rFonts w:ascii="Times New Roman" w:hAnsi="Times New Roman"/>
          <w:b w:val="false"/>
          <w:i w:val="false"/>
          <w:color w:val="000000"/>
          <w:sz w:val="22"/>
        </w:rPr>
        <w:t xml:space="preserve"> and 40 CFR §63.72 as adopted by reference in </w:t>
      </w:r>
      <w:hyperlink r:id="rId17">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 xml:space="preserve"> with respect to Section 112(i)(5) of the Act, the construction or reconstruction of which commenced prior to proposal of an applicable Section 112(d)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with reference to a stationary source, any apparatus that emits or may emit any air pollutant or contaminant.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implementation plan” </w:t>
      </w:r>
      <w:r>
        <w:rPr>
          <w:rFonts w:ascii="Times New Roman" w:hAnsi="Times New Roman"/>
          <w:b w:val="false"/>
          <w:i w:val="false"/>
          <w:color w:val="000000"/>
          <w:sz w:val="22"/>
        </w:rPr>
        <w:t>means a plan promulgated by the Administrator to fill all or a portion of a gap or otherwise correct all or a portion of an inadequacy in a state implementation plan, and that includes enforceable emission limitations or other control measures, means, or techniques and provides for attainment of the relevant national ambient air quality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“Federally enforceable” </w:t>
      </w:r>
      <w:r>
        <w:rPr>
          <w:rFonts w:ascii="Times New Roman" w:hAnsi="Times New Roman"/>
          <w:b w:val="false"/>
          <w:i w:val="false"/>
          <w:color w:val="000000"/>
          <w:sz w:val="22"/>
        </w:rPr>
        <w:t xml:space="preserve">means all limitations and conditions that are enforceable by the Administrator, including but not limited to the requirements of the new source performance standards and national emission standards for hazardous air pollutants contained in </w:t>
      </w:r>
      <w:hyperlink r:id="rId18">
        <w:r>
          <w:rPr>
            <w:rStyle w:val="Hyperlink"/>
            <w:rFonts w:ascii="Times New Roman" w:hAnsi="Times New Roman"/>
            <w:b w:val="false"/>
            <w:i w:val="false"/>
            <w:color w:val="000000"/>
            <w:sz w:val="22"/>
          </w:rPr>
          <w:t>567—subrules 23.1(2)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 the requirements of such other state rules or orders approved by the Administrator for inclusion in the SIP; and any construction, Title V or other federally approved operating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Title V permit” </w:t>
      </w:r>
      <w:r>
        <w:rPr>
          <w:rFonts w:ascii="Times New Roman" w:hAnsi="Times New Roman"/>
          <w:b w:val="false"/>
          <w:i w:val="false"/>
          <w:color w:val="000000"/>
          <w:sz w:val="22"/>
        </w:rPr>
        <w:t>means the version of a Title V permit issued by the department that has completed all required review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“Fugitive emissions” </w:t>
      </w:r>
      <w:r>
        <w:rPr>
          <w:rFonts w:ascii="Times New Roman" w:hAnsi="Times New Roman"/>
          <w:b w:val="false"/>
          <w:i w:val="false"/>
          <w:color w:val="000000"/>
          <w:sz w:val="22"/>
        </w:rPr>
        <w:t>are those emissions that could not reasonably pass through a stack, chimney, vent or other functionally equivalent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air pollutant” </w:t>
      </w:r>
      <w:r>
        <w:rPr>
          <w:rFonts w:ascii="Times New Roman" w:hAnsi="Times New Roman"/>
          <w:b w:val="false"/>
          <w:i w:val="false"/>
          <w:color w:val="000000"/>
          <w:sz w:val="22"/>
        </w:rPr>
        <w:t xml:space="preserve">means any of the air pollutants listed in Section 112 of the Act and 40 CFR §63.2 as adopted by reference in </w:t>
      </w:r>
      <w:hyperlink r:id="rId21">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“High-risk pollutant” </w:t>
      </w:r>
      <w:r>
        <w:rPr>
          <w:rFonts w:ascii="Times New Roman" w:hAnsi="Times New Roman"/>
          <w:b w:val="false"/>
          <w:i w:val="false"/>
          <w:color w:val="000000"/>
          <w:sz w:val="22"/>
        </w:rPr>
        <w:t xml:space="preserve">means one of the hazardous air pollutants listed in Table 1 in 40 CFR §63.74 as adopted by reference in </w:t>
      </w:r>
      <w:hyperlink r:id="rId22">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source” </w:t>
      </w:r>
      <w:r>
        <w:rPr>
          <w:rFonts w:ascii="Times New Roman" w:hAnsi="Times New Roman"/>
          <w:b w:val="false"/>
          <w:i w:val="false"/>
          <w:color w:val="000000"/>
          <w:sz w:val="22"/>
        </w:rPr>
        <w:t>means any stationary source (or any group of stationary sources located on one or more contiguous or adjacent properties and under common control of the same person or of persons under common control) belonging to a single major industrial grouping that is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major stationary source of air pollutants, as defined in Section 302 of the Act, that directly emits or has the potential to emit 100 tons per year (tpy) or more of any air pollutant subject to regulation (including any major source of fugitive emissions of any such pollutant). The fugitive emissions of a stationary source shall not be considered in determining whether it is a major stationary source for the purposes of Section 302(j) of the Act, unless the source belongs to one of the stationary source categories listed in this chapter.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major source of hazardous air pollutants according to Section 112 of the Act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pollutants other than radionuclides, any stationary source or group of stationary sources located within a contiguous area and under common control that emits or has the potential to emit, in the aggregate, 10 tpy or more of any hazardous air pollutant that has been listed pursuant to Section 112(b) of the Act and these rules or 25 tpy or more of any combination of such hazardous air pollutants. Notwithstanding the previous sentence, emissions from any oil or gas exploration or production well (with its associated equipment) and emission from any pipeline compressor or pump station shall not be aggregated with emissions from other similar units, whether or not such units are in a contiguous area or under common control, to determine whether such units or stations are major sources.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Title V purposes, all fugitive emissions of hazardous air pollutants are to be considered in determining whether a stationary source is a major source.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radionuclides, “major source” shall have the meaning specified by the Administrator by 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major stationary source as defined in Part D of Title I of the Act,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ozone nonattainment areas, sources with the potential to emit 100 tpy or more of volatile organic compounds or oxides of nitrogen in areas classified or treated as classified as “marginal” or “moderate,” 50 tpy or more in areas classified or treated as classified as “serious,” 25 tpy or more in areas classified or treated as classified as “severe” and 10 tpy or more in areas classified or treated as classified as “extreme”; except that the references in this paragraph to 100, 50, 25, and 10 tpy of nitrogen oxides shall not apply with respect to any source for which the Administrator has made a finding, under Section 182(f)(1) or (2) of the Act, that requirements under Section 182(f) of the Act do not apply;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ozone transport regions established pursuant to Section 184 of the Act, sources with potential to emit 50 tpy or more of volatile organic compounds;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carbon monoxide nonattainment areas (1) that are classified or treated as classified as “serious” and (2) in which stationary sources contribute significantly to carbon monoxide levels, and sources with the potential to emit 50 tpy or more of carbon monoxide;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particulate matter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nonattainment areas classified or treated as classified as “serious,” sources with the potential to emit 70 tpy or more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the purposes of defining “major source,” a stationary source or group of stationary sources shall be considered part of a single industrial grouping if all of the pollutant emitting activities at such source or group of sources on contiguous or adjacent properties belong to the same major group (i.e., all have the same two-digit code) as described in the Standard Industrial Classification Manual,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“Manually operated equipment” </w:t>
      </w:r>
      <w:r>
        <w:rPr>
          <w:rFonts w:ascii="Times New Roman" w:hAnsi="Times New Roman"/>
          <w:b w:val="false"/>
          <w:i w:val="false"/>
          <w:color w:val="000000"/>
          <w:sz w:val="22"/>
        </w:rPr>
        <w:t>means a machine or tool that is handheld, such as a handheld circular saw or compressed air chisel; a machine or tool for which the work piece is held or manipulated by hand, such as a bench grinder; a machine or tool for which the tool or bit is manipulated by hand, such as a lathe or drill press; and any dust collection system that is part of such machine or tool; but not including any machine or tool for which the extent of manual operation is to control power to the machine or tool and not including any central dust collection system serving more than one machine or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achievable control technology (MACT) emission limitation for existing sources” </w:t>
      </w:r>
      <w:r>
        <w:rPr>
          <w:rFonts w:ascii="Times New Roman" w:hAnsi="Times New Roman"/>
          <w:b w:val="false"/>
          <w:i w:val="false"/>
          <w:color w:val="000000"/>
          <w:sz w:val="22"/>
        </w:rPr>
        <w:t xml:space="preserve">means the definition adopted by reference in </w:t>
      </w:r>
      <w:hyperlink r:id="rId23">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achievable control technology (MACT) emission limitation for new sources” </w:t>
      </w:r>
      <w:r>
        <w:rPr>
          <w:rFonts w:ascii="Times New Roman" w:hAnsi="Times New Roman"/>
          <w:b w:val="false"/>
          <w:i w:val="false"/>
          <w:color w:val="000000"/>
          <w:sz w:val="22"/>
        </w:rPr>
        <w:t xml:space="preserve">means the definition adopted by reference in </w:t>
      </w:r>
      <w:hyperlink r:id="rId24">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achievable control technology (MACT) floor” </w:t>
      </w:r>
      <w:r>
        <w:rPr>
          <w:rFonts w:ascii="Times New Roman" w:hAnsi="Times New Roman"/>
          <w:b w:val="false"/>
          <w:i w:val="false"/>
          <w:color w:val="000000"/>
          <w:sz w:val="22"/>
        </w:rPr>
        <w:t xml:space="preserve">means the definition adopted by reference in </w:t>
      </w:r>
      <w:hyperlink r:id="rId25">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Title IV affected source or unit” </w:t>
      </w:r>
      <w:r>
        <w:rPr>
          <w:rFonts w:ascii="Times New Roman" w:hAnsi="Times New Roman"/>
          <w:b w:val="false"/>
          <w:i w:val="false"/>
          <w:color w:val="000000"/>
          <w:sz w:val="22"/>
        </w:rPr>
        <w:t>means a unit that commences commercial operation on or after November 15, 1990, including any such unit that serves a generator with a nameplate capacity of 25 MWe or less or that is a simple combustion turbine.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“Nonattainment area” </w:t>
      </w:r>
      <w:r>
        <w:rPr>
          <w:rFonts w:ascii="Times New Roman" w:hAnsi="Times New Roman"/>
          <w:b w:val="false"/>
          <w:i w:val="false"/>
          <w:color w:val="000000"/>
          <w:sz w:val="22"/>
        </w:rPr>
        <w:t>means an area so designated by the Administrator, acting pursuant to Section 107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modification” </w:t>
      </w:r>
      <w:r>
        <w:rPr>
          <w:rFonts w:ascii="Times New Roman" w:hAnsi="Times New Roman"/>
          <w:b w:val="false"/>
          <w:i w:val="false"/>
          <w:color w:val="000000"/>
          <w:sz w:val="22"/>
        </w:rPr>
        <w:t xml:space="preserve">means a revision to a Title V operating permit that cannot be accomplished under the provisions for administrative permit amendments found in </w:t>
      </w:r>
      <w:hyperlink r:id="rId26">
        <w:r>
          <w:rPr>
            <w:rStyle w:val="Hyperlink"/>
            <w:rFonts w:ascii="Times New Roman" w:hAnsi="Times New Roman"/>
            <w:b w:val="false"/>
            <w:i w:val="false"/>
            <w:color w:val="000000"/>
            <w:sz w:val="22"/>
          </w:rPr>
          <w:t>567—24.111</w:t>
        </w:r>
      </w:hyperlink>
      <w:r>
        <w:rPr>
          <w:rFonts w:ascii="Times New Roman" w:hAnsi="Times New Roman"/>
          <w:b w:val="false"/>
          <w:i w:val="false"/>
          <w:color w:val="000000"/>
          <w:sz w:val="22"/>
        </w:rPr>
        <w:t xml:space="preserve">(455B). A permit modification for purposes of the acid rain portion of the permit shall be governed by the regulations pertaining to acid rain found in </w:t>
      </w:r>
      <w:hyperlink r:id="rId27">
        <w:r>
          <w:rPr>
            <w:rStyle w:val="Hyperlink"/>
            <w:rFonts w:ascii="Times New Roman" w:hAnsi="Times New Roman"/>
            <w:b w:val="false"/>
            <w:i w:val="false"/>
            <w:color w:val="000000"/>
            <w:sz w:val="22"/>
          </w:rPr>
          <w:t>567—24.120</w:t>
        </w:r>
      </w:hyperlink>
      <w:r>
        <w:rPr>
          <w:rFonts w:ascii="Times New Roman" w:hAnsi="Times New Roman"/>
          <w:b w:val="false"/>
          <w:i w:val="false"/>
          <w:color w:val="000000"/>
          <w:sz w:val="22"/>
        </w:rPr>
        <w:t xml:space="preserve">(455B) through </w:t>
      </w:r>
      <w:hyperlink r:id="rId28">
        <w:r>
          <w:rPr>
            <w:rStyle w:val="Hyperlink"/>
            <w:rFonts w:ascii="Times New Roman" w:hAnsi="Times New Roman"/>
            <w:b w:val="false"/>
            <w:i w:val="false"/>
            <w:color w:val="000000"/>
            <w:sz w:val="22"/>
          </w:rPr>
          <w:t>567—24.146</w:t>
        </w:r>
      </w:hyperlink>
      <w:r>
        <w:rPr>
          <w:rFonts w:ascii="Times New Roman" w:hAnsi="Times New Roman"/>
          <w:b w:val="false"/>
          <w:i w:val="false"/>
          <w:color w:val="000000"/>
          <w:sz w:val="22"/>
        </w:rPr>
        <w:t>(455B). This definition of “permit modification” shall be used solely for purposes of this chapter governing Title V operating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revision” </w:t>
      </w:r>
      <w:r>
        <w:rPr>
          <w:rFonts w:ascii="Times New Roman" w:hAnsi="Times New Roman"/>
          <w:b w:val="false"/>
          <w:i w:val="false"/>
          <w:color w:val="000000"/>
          <w:sz w:val="22"/>
        </w:rPr>
        <w:t>means any permit modification or administrative permit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“Permitting authority” </w:t>
      </w:r>
      <w:r>
        <w:rPr>
          <w:rFonts w:ascii="Times New Roman" w:hAnsi="Times New Roman"/>
          <w:b w:val="false"/>
          <w:i w:val="false"/>
          <w:color w:val="000000"/>
          <w:sz w:val="22"/>
        </w:rPr>
        <w:t>means the Iowa department of natural resources or the director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“Potential to emit” </w:t>
      </w:r>
      <w:r>
        <w:rPr>
          <w:rFonts w:ascii="Times New Roman" w:hAnsi="Times New Roman"/>
          <w:b w:val="false"/>
          <w:i w:val="false"/>
          <w:color w:val="000000"/>
          <w:sz w:val="22"/>
        </w:rPr>
        <w:t>means the maximum capacity of a stationary source to emit any air pollutant under its physical and operational design. Any physical or operational limitation on the capacity of a source to emit an air pollutant, including air pollution control equipment and restrictions on hours of operation or on the type or amount of material combusted, stored, or processed, shall be treated as part of its design if the limitation is enforceable by the Administrator. This term does not alter or affect the use of this term for any other purposes under the Act, or the term “capacity factor” as used in Title IV of the Act or the regulations relating to acid rain.</w:t>
      </w:r>
      <w:r>
        <w:br/>
      </w:r>
    </w:p>
    <w:p>
      <w:pPr>
        <w:spacing w:before="0" w:after="0"/>
        <w:ind w:left="120"/>
        <w:jc w:val="both"/>
      </w:pPr>
      <w:r>
        <w:rPr>
          <w:rFonts w:ascii="Times New Roman" w:hAnsi="Times New Roman"/>
          <w:b w:val="false"/>
          <w:i w:val="false"/>
          <w:color w:val="000000"/>
          <w:sz w:val="22"/>
        </w:rPr>
        <w:t xml:space="preserve">For the purpose of determining potential to emit for country grain elevators, the provisions set forth in </w:t>
      </w:r>
      <w:hyperlink r:id="rId29">
        <w:r>
          <w:rPr>
            <w:rStyle w:val="Hyperlink"/>
            <w:rFonts w:ascii="Times New Roman" w:hAnsi="Times New Roman"/>
            <w:b w:val="false"/>
            <w:i w:val="false"/>
            <w:color w:val="000000"/>
            <w:sz w:val="22"/>
          </w:rPr>
          <w:t>567—subrule 22.10(2)</w:t>
        </w:r>
      </w:hyperlink>
      <w:r>
        <w:rPr>
          <w:rFonts w:ascii="Times New Roman" w:hAnsi="Times New Roman"/>
          <w:b w:val="false"/>
          <w:i w:val="false"/>
          <w:color w:val="000000"/>
          <w:sz w:val="22"/>
        </w:rPr>
        <w:t xml:space="preserve"> shall apply.</w:t>
      </w:r>
    </w:p>
    <w:p>
      <w:pPr>
        <w:spacing w:before="0" w:after="0"/>
        <w:ind w:left="120"/>
        <w:jc w:val="both"/>
      </w:pPr>
      <w:r>
        <w:br/>
      </w:r>
    </w:p>
    <w:p>
      <w:pPr>
        <w:spacing w:before="0" w:after="0"/>
        <w:ind w:left="120"/>
        <w:jc w:val="both"/>
      </w:pPr>
      <w:r>
        <w:rPr>
          <w:rFonts w:ascii="Times New Roman" w:hAnsi="Times New Roman"/>
          <w:b w:val="false"/>
          <w:i w:val="false"/>
          <w:color w:val="000000"/>
          <w:sz w:val="22"/>
        </w:rPr>
        <w:t>For purposes of calculating potential to emit for emergency generators, “maximum capacity” means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500 hours of operation annually, if the generator has actually been operated less than 500 hours per year for the past five years;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8,760 hours of operation annually, if the generator has actually been operated more than 500 hours in one of the past five years;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hours specified in a state or federally enforceable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Title V permit,”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air contaminant” </w:t>
      </w:r>
      <w:r>
        <w:rPr>
          <w:rFonts w:ascii="Times New Roman" w:hAnsi="Times New Roman"/>
          <w:b w:val="false"/>
          <w:i w:val="false"/>
          <w:color w:val="000000"/>
          <w:sz w:val="22"/>
        </w:rPr>
        <w:t>means the same as “regulated air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air pollutant” </w:t>
      </w:r>
      <w:r>
        <w:rPr>
          <w:rFonts w:ascii="Times New Roman" w:hAnsi="Times New Roman"/>
          <w:b w:val="false"/>
          <w:i w:val="false"/>
          <w:color w:val="000000"/>
          <w:sz w:val="22"/>
        </w:rPr>
        <w:t>means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Nitrogen oxides or any volatile organic compounds;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pollutant for which a national ambient air quality standard has been promulgated;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pollutant that is subject to any standard promulgated under Section 111 of the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Class I or II substance subject to a standard promulgated under or established by Title VI of the Act;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pollutant subject to a standard promulgated under Section 112 or other requirements established under Section 112 of the Act, including Sections 112(g), (j), and (r) of the Act, including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pollutant subject to requirements under Section 112(j) of the Act. If the Administrator fails to promulgate a standard by the date established pursuant to Section 112(e) of the Act, any pollutant for which a subject source would be major shall be considered to be regulated on the date 18 months after the applicable date established pursuant to Section 112(e) of the Act;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pollutant for which the requirements of Section 112(g)(2) of the Act have been met, but only with respect to the individual source subject to the Section 112(g)(2) requirement.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With respect to Title V, particulate matter, except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is not considered a regulated air pollutant for the purpose of determining whether a source is considered to be a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air pollutant or contaminant (for fee calculation),” </w:t>
      </w:r>
      <w:r>
        <w:rPr>
          <w:rFonts w:ascii="Times New Roman" w:hAnsi="Times New Roman"/>
          <w:b w:val="false"/>
          <w:i w:val="false"/>
          <w:color w:val="000000"/>
          <w:sz w:val="22"/>
        </w:rPr>
        <w:t xml:space="preserve">which is used only for purposes of </w:t>
      </w:r>
      <w:hyperlink r:id="rId30">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 means any regulated air pollutant or contaminant except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Carbon monoxide;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Particulate matter, excluding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pollutant that is a regulated air pollutant solely because it is a Class I or II substance subject to a standard promulgated under or established by Title VI of the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pollutant that is a regulated pollutant solely because it is subject to a standard or regulation under Section 112(r) of the Act;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Greenhouse gas, as defined in </w:t>
      </w:r>
      <w:hyperlink r:id="rId31">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means the process by which a permit is reissued at the end of its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official” </w:t>
      </w:r>
      <w:r>
        <w:rPr>
          <w:rFonts w:ascii="Times New Roman" w:hAnsi="Times New Roman"/>
          <w:b w:val="false"/>
          <w:i w:val="false"/>
          <w:color w:val="000000"/>
          <w:sz w:val="22"/>
        </w:rPr>
        <w:t>means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corporation: a president, secretary, treasurer, or vice president of the corporation in charge of a principal business function, or any other person who performs similar policy or decision-making functions for the corporation, or a duly authorized representative of such person if the representative is responsible for the overall operation of one or more manufacturing, production, or operating facilities applying for or subject to a permit and either: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facilities employ more than 250 persons or have gross annual sales or expenditures exceeding $25 million (in second quarter 1980 dollars);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delegation of authority to such representative is approved in advance by the permitting authority;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partnership or sole proprietorship: a general partner or the proprietor, respectively;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 municipality, state, federal, or other public agency: either a principal executive officer or ranking elected official. For the purposes of this chapter, a principal executive officer of a federal agency includes the chief executive officer having responsibility for the overall operations of a principal geographic unit of the agency (e.g., a regional Administrator of EPA);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Title IV affected sources: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designated representative insofar as actions, standards, requirements, or prohibitions under Title IV of the Act or the regulations promulgated thereunder are concerned;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designated representative for any other purposes under this chapter or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“Section 502(b)(10) changes,”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implementation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“SIP” </w:t>
      </w:r>
      <w:r>
        <w:rPr>
          <w:rFonts w:ascii="Times New Roman" w:hAnsi="Times New Roman"/>
          <w:b w:val="false"/>
          <w:i w:val="false"/>
          <w:color w:val="000000"/>
          <w:sz w:val="22"/>
        </w:rPr>
        <w:t>means the plan adopted by the state of Iowa and approved by the Administrator that provides for implementation, maintenance, and enforcement of such primary and secondary ambient air quality standards as are adopted by the Administrator,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“Stationary source” </w:t>
      </w:r>
      <w:r>
        <w:rPr>
          <w:rFonts w:ascii="Times New Roman" w:hAnsi="Times New Roman"/>
          <w:b w:val="false"/>
          <w:i w:val="false"/>
          <w:color w:val="000000"/>
          <w:sz w:val="22"/>
        </w:rPr>
        <w:t>means any building, structure, facility, or installation that emits or may emit any regulated air pollutant or any pollutant listed under Section 112(b)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“Stationary source categories” </w:t>
      </w:r>
      <w:r>
        <w:rPr>
          <w:rFonts w:ascii="Times New Roman" w:hAnsi="Times New Roman"/>
          <w:b w:val="false"/>
          <w:i w:val="false"/>
          <w:color w:val="000000"/>
          <w:sz w:val="22"/>
        </w:rPr>
        <w:t>means any of the following classes of sources: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Coal cleaning plants with thermal dryers;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Kraft pulp mills;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Portland cement plants;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Primary zinc smelters;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Iron and steel mills;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Primary aluminum ore reduction plants;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Primary copper smelters;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Municipal incinerators capable of charging more than 250 tons of refuse per day;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Hydrofluoric, sulfuric, or nitric acid plants;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Petroleum refineries;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Lime plants;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Phosphate rock processing plants;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Coke oven batteries;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Sulfur recovery plants;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Carbon black plants using the furnace process;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Primary lead smelters;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Fuel conversion plants;</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Sintering plants;</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Secondary metal production plants;</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Chemical process plants—The term chemical processing plant shall not include ethanol production facilities that produce ethanol by natural fermentation included in North American Industry Classification System (NAICS) code 325193 or 312140;</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Fossil-fuel boilers, or combinations thereof, totaling more than 250 million Btu per hour heat input;</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Petroleum storage and transfer units with a total storage capacity exceeding 300,000 barrels;</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Taconite ore processing plants;</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Glass fiber processing plants;</w:t>
      </w:r>
    </w:p>
    <w:p>
      <w:pPr>
        <w:spacing w:before="0" w:after="0"/>
        <w:ind w:left="120"/>
        <w:jc w:val="both"/>
      </w:pPr>
      <w:r>
        <w:rPr>
          <w:rFonts w:ascii="Times New Roman" w:hAnsi="Times New Roman"/>
          <w:b w:val="false"/>
          <w:i w:val="false"/>
          <w:color w:val="000000"/>
          <w:sz w:val="22"/>
        </w:rPr>
        <w:t>    25.   </w:t>
      </w:r>
      <w:r>
        <w:rPr>
          <w:rFonts w:ascii="Times New Roman" w:hAnsi="Times New Roman"/>
          <w:b w:val="false"/>
          <w:i w:val="false"/>
          <w:color w:val="000000"/>
          <w:sz w:val="22"/>
        </w:rPr>
        <w:t>Charcoal production plants;</w:t>
      </w:r>
    </w:p>
    <w:p>
      <w:pPr>
        <w:spacing w:before="0" w:after="0"/>
        <w:ind w:left="120"/>
        <w:jc w:val="both"/>
      </w:pPr>
      <w:r>
        <w:rPr>
          <w:rFonts w:ascii="Times New Roman" w:hAnsi="Times New Roman"/>
          <w:b w:val="false"/>
          <w:i w:val="false"/>
          <w:color w:val="000000"/>
          <w:sz w:val="22"/>
        </w:rPr>
        <w:t>    26.   </w:t>
      </w:r>
      <w:r>
        <w:rPr>
          <w:rFonts w:ascii="Times New Roman" w:hAnsi="Times New Roman"/>
          <w:b w:val="false"/>
          <w:i w:val="false"/>
          <w:color w:val="000000"/>
          <w:sz w:val="22"/>
        </w:rPr>
        <w:t>Fossil fuel-fired steam electric plants of more than 250 million Btu per hour heat input;</w:t>
      </w:r>
    </w:p>
    <w:p>
      <w:pPr>
        <w:spacing w:before="0" w:after="0"/>
        <w:ind w:left="120"/>
        <w:jc w:val="both"/>
      </w:pPr>
      <w:r>
        <w:rPr>
          <w:rFonts w:ascii="Times New Roman" w:hAnsi="Times New Roman"/>
          <w:b w:val="false"/>
          <w:i w:val="false"/>
          <w:color w:val="000000"/>
          <w:sz w:val="22"/>
        </w:rPr>
        <w:t>    27.   </w:t>
      </w:r>
      <w:r>
        <w:rPr>
          <w:rFonts w:ascii="Times New Roman" w:hAnsi="Times New Roman"/>
          <w:b w:val="false"/>
          <w:i w:val="false"/>
          <w:color w:val="000000"/>
          <w:sz w:val="22"/>
        </w:rPr>
        <w:t>Any other stationary source category, that as of August 7, 1980, is regulated under Section 111 or 112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“Subject to regulation,”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V permit” </w:t>
      </w:r>
      <w:r>
        <w:rPr>
          <w:rFonts w:ascii="Times New Roman" w:hAnsi="Times New Roman"/>
          <w:b w:val="false"/>
          <w:i w:val="false"/>
          <w:color w:val="000000"/>
          <w:sz w:val="22"/>
        </w:rPr>
        <w:t>means an operating permit under Title V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of Title V operating permit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24.101(1)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32">
        <w:r>
          <w:rPr>
            <w:rStyle w:val="Hyperlink"/>
            <w:rFonts w:ascii="Times New Roman" w:hAnsi="Times New Roman"/>
            <w:b w:val="false"/>
            <w:i w:val="false"/>
            <w:color w:val="000000"/>
            <w:sz w:val="22"/>
          </w:rPr>
          <w:t>567—24.102</w:t>
        </w:r>
      </w:hyperlink>
      <w:r>
        <w:rPr>
          <w:rFonts w:ascii="Times New Roman" w:hAnsi="Times New Roman"/>
          <w:b w:val="false"/>
          <w:i w:val="false"/>
          <w:color w:val="000000"/>
          <w:sz w:val="22"/>
        </w:rPr>
        <w:t xml:space="preserve">(455B), any person who owns or operates any of the following sources shall obtain a Title V operating permit and shall submit fees as required in </w:t>
      </w:r>
      <w:hyperlink r:id="rId33">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affected source subject to the provisions of Title IV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source, including any nonmajor source, subject to a standard, limitation, or other requirement under Section 111 of the Act (</w:t>
      </w:r>
      <w:hyperlink r:id="rId34">
        <w:r>
          <w:rPr>
            <w:rStyle w:val="Hyperlink"/>
            <w:rFonts w:ascii="Times New Roman" w:hAnsi="Times New Roman"/>
            <w:b w:val="false"/>
            <w:i w:val="false"/>
            <w:color w:val="000000"/>
            <w:sz w:val="22"/>
          </w:rPr>
          <w:t>567—subrule 23.1(2)</w:t>
        </w:r>
      </w:hyperlink>
      <w:r>
        <w:rPr>
          <w:rFonts w:ascii="Times New Roman" w:hAnsi="Times New Roman"/>
          <w:b w:val="false"/>
          <w:i w:val="false"/>
          <w:color w:val="000000"/>
          <w:sz w:val="22"/>
        </w:rPr>
        <w:t xml:space="preserve">, new source performance standards; </w:t>
      </w:r>
      <w:hyperlink r:id="rId35">
        <w:r>
          <w:rPr>
            <w:rStyle w:val="Hyperlink"/>
            <w:rFonts w:ascii="Times New Roman" w:hAnsi="Times New Roman"/>
            <w:b w:val="false"/>
            <w:i w:val="false"/>
            <w:color w:val="000000"/>
            <w:sz w:val="22"/>
          </w:rPr>
          <w:t>567—subrule 23.1(5)</w:t>
        </w:r>
      </w:hyperlink>
      <w:r>
        <w:rPr>
          <w:rFonts w:ascii="Times New Roman" w:hAnsi="Times New Roman"/>
          <w:b w:val="false"/>
          <w:i w:val="false"/>
          <w:color w:val="000000"/>
          <w:sz w:val="22"/>
        </w:rPr>
        <w:t>, emission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source, including any area source, subject to a standard or other requirement under Section 112 of the Act (</w:t>
      </w:r>
      <w:hyperlink r:id="rId36">
        <w:r>
          <w:rPr>
            <w:rStyle w:val="Hyperlink"/>
            <w:rFonts w:ascii="Times New Roman" w:hAnsi="Times New Roman"/>
            <w:b w:val="false"/>
            <w:i w:val="false"/>
            <w:color w:val="000000"/>
            <w:sz w:val="22"/>
          </w:rPr>
          <w:t>567—subrules 23.1(3)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 emission standards for hazardous air pollutants), except that a source is not required to obtain a Title V permit solely because it is subject to regulations or requirements under Section 112(r)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solid waste incinerator unit required to obtain a Title V permit under Section 129(e)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source category designated by the Administrator pursuant to 40 CFR §70.3 as amended through December 19,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24.101(2)</w:t>
      </w:r>
      <w:r>
        <w:rPr>
          <w:rFonts w:ascii="Times New Roman" w:hAnsi="Times New Roman"/>
          <w:b w:val="false"/>
          <w:i w:val="false"/>
          <w:color w:val="000000"/>
          <w:sz w:val="22"/>
        </w:rPr>
        <w:t> </w:t>
      </w:r>
      <w:r>
        <w:rPr>
          <w:rFonts w:ascii="Times New Roman" w:hAnsi="Times New Roman"/>
          <w:b w:val="false"/>
          <w:i w:val="false"/>
          <w:color w:val="000000"/>
          <w:sz w:val="22"/>
        </w:rPr>
        <w:t xml:space="preserve">Any nonmajor source required to obtain a Title V operating permit pursuant to </w:t>
      </w:r>
      <w:hyperlink r:id="rId38">
        <w:r>
          <w:rPr>
            <w:rStyle w:val="Hyperlink"/>
            <w:rFonts w:ascii="Times New Roman" w:hAnsi="Times New Roman"/>
            <w:b w:val="false"/>
            <w:i w:val="false"/>
            <w:color w:val="000000"/>
            <w:sz w:val="22"/>
          </w:rPr>
          <w:t>24.101(1)</w:t>
        </w:r>
      </w:hyperlink>
      <w:r>
        <w:rPr>
          <w:rFonts w:ascii="Times New Roman" w:hAnsi="Times New Roman"/>
          <w:b w:val="false"/>
          <w:i w:val="false"/>
          <w:color w:val="000000"/>
          <w:sz w:val="22"/>
        </w:rPr>
        <w:t xml:space="preserve"> is required to obtain a Title V permit only for the emissions units and related equipment causing the source to be subject to the Title V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24.101(3)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567—24.102</w:t>
      </w:r>
      <w:r>
        <w:rPr>
          <w:rFonts w:ascii="Times New Roman" w:hAnsi="Times New Roman"/>
          <w:b/>
          <w:i w:val="false"/>
          <w:color w:val="000000"/>
          <w:sz w:val="22"/>
        </w:rPr>
        <w:t xml:space="preserve">(455B) </w:t>
      </w:r>
      <w:r>
        <w:rPr>
          <w:rFonts w:ascii="Times New Roman" w:hAnsi="Times New Roman"/>
          <w:b/>
          <w:i w:val="false"/>
          <w:color w:val="000000"/>
          <w:sz w:val="22"/>
        </w:rPr>
        <w:t xml:space="preserve">Source category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24.102(1)</w:t>
      </w:r>
      <w:r>
        <w:rPr>
          <w:rFonts w:ascii="Times New Roman" w:hAnsi="Times New Roman"/>
          <w:b w:val="false"/>
          <w:i w:val="false"/>
          <w:color w:val="000000"/>
          <w:sz w:val="22"/>
        </w:rPr>
        <w:t> </w:t>
      </w:r>
      <w:r>
        <w:rPr>
          <w:rFonts w:ascii="Times New Roman" w:hAnsi="Times New Roman"/>
          <w:b w:val="false"/>
          <w:i w:val="false"/>
          <w:color w:val="000000"/>
          <w:sz w:val="22"/>
        </w:rPr>
        <w:t xml:space="preserve">All sources listed in </w:t>
      </w:r>
      <w:hyperlink r:id="rId39">
        <w:r>
          <w:rPr>
            <w:rStyle w:val="Hyperlink"/>
            <w:rFonts w:ascii="Times New Roman" w:hAnsi="Times New Roman"/>
            <w:b w:val="false"/>
            <w:i w:val="false"/>
            <w:color w:val="000000"/>
            <w:sz w:val="22"/>
          </w:rPr>
          <w:t>24.101(1)</w:t>
        </w:r>
      </w:hyperlink>
      <w:r>
        <w:rPr>
          <w:rFonts w:ascii="Times New Roman" w:hAnsi="Times New Roman"/>
          <w:b w:val="false"/>
          <w:i w:val="false"/>
          <w:color w:val="000000"/>
          <w:sz w:val="22"/>
        </w:rPr>
        <w:t xml:space="preserve"> that are not major sources, affected sources subject to the provisions of Title IV of the Act, or solid waste incineration units required to obtain a permit pursuant to Section 129(e) of the Act are exempt from the obligation to obtain a Title V permit until such time as the Administrator completes a rulemaking to determine how the program should be structured for nonmajor sources and the appropriateness of any permanent exemptions in addition to those provided for in </w:t>
      </w:r>
      <w:hyperlink r:id="rId40">
        <w:r>
          <w:rPr>
            <w:rStyle w:val="Hyperlink"/>
            <w:rFonts w:ascii="Times New Roman" w:hAnsi="Times New Roman"/>
            <w:b w:val="false"/>
            <w:i w:val="false"/>
            <w:color w:val="000000"/>
            <w:sz w:val="22"/>
          </w:rPr>
          <w:t>24.102(3)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24.102(2)</w:t>
      </w:r>
      <w:r>
        <w:rPr>
          <w:rFonts w:ascii="Times New Roman" w:hAnsi="Times New Roman"/>
          <w:b w:val="false"/>
          <w:i w:val="false"/>
          <w:color w:val="000000"/>
          <w:sz w:val="22"/>
        </w:rPr>
        <w:t> </w:t>
      </w:r>
      <w:r>
        <w:rPr>
          <w:rFonts w:ascii="Times New Roman" w:hAnsi="Times New Roman"/>
          <w:b w:val="false"/>
          <w:i w:val="false"/>
          <w:color w:val="000000"/>
          <w:sz w:val="22"/>
        </w:rPr>
        <w:t>In the case of nonmajor sources subject to a standard or other requirement under either Section 111 or Section 112 of the Act, the Administrator will determine at the time the new or amended standard is promulgated whether to exempt any or all such applicable sources from the requirement to obtain a Title V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24.102(3)</w:t>
      </w:r>
      <w:r>
        <w:rPr>
          <w:rFonts w:ascii="Times New Roman" w:hAnsi="Times New Roman"/>
          <w:b w:val="false"/>
          <w:i w:val="false"/>
          <w:color w:val="000000"/>
          <w:sz w:val="22"/>
        </w:rPr>
        <w:t> </w:t>
      </w:r>
      <w:r>
        <w:rPr>
          <w:rFonts w:ascii="Times New Roman" w:hAnsi="Times New Roman"/>
          <w:b w:val="false"/>
          <w:i w:val="false"/>
          <w:color w:val="000000"/>
          <w:sz w:val="22"/>
        </w:rPr>
        <w:t>The following source categories are exempt from the obligation to obtain a Title V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sources and source categories that would be required to obtain a Title V permit solely because they are subject to 40 CFR 60, Subpart AAA, Standards of Performance for New Residential Wood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sources and source categories that would be required to obtain a Title V permit solely because they are subject to 40 CFR 61, Subpart M, National Emission Standard for Hazardous Air Pollutants for Asbestos, Section 61.145, Standard for Demolition and Renovation, as adopted by reference in </w:t>
      </w:r>
      <w:hyperlink r:id="rId41">
        <w:r>
          <w:rPr>
            <w:rStyle w:val="Hyperlink"/>
            <w:rFonts w:ascii="Times New Roman" w:hAnsi="Times New Roman"/>
            <w:b w:val="false"/>
            <w:i w:val="false"/>
            <w:color w:val="000000"/>
            <w:sz w:val="22"/>
          </w:rPr>
          <w:t>567—subrule 23.1(3)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sources and source categories that would be required to obtain a Title V permit solely because they are subject to any of the following subparts from 40 CFR 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M, National Perchloroethylene Air Emission Standards for Dry Cleaning Facilities, as adopted by reference in </w:t>
      </w:r>
      <w:hyperlink r:id="rId42">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N, National Emission Standards for Chromium Emissions from Hard and Decorative Chromium Electroplating and Chromium Anodizing Tanks, as adopted by reference in </w:t>
      </w:r>
      <w:hyperlink r:id="rId43">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O, Ethylene Oxide Emissions Standards for Sterilization Facilities, as adopted by reference in </w:t>
      </w:r>
      <w:hyperlink r:id="rId44">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T, National Emission Standards for Halogenated Solvent Cleaning, as adopted by reference in </w:t>
      </w:r>
      <w:hyperlink r:id="rId45">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RRR, National Emission Standards for Hazardous Air Pollutants for Secondary Aluminum Production, as adopted by reference in </w:t>
      </w:r>
      <w:hyperlink r:id="rId46">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VVV, National Emission Standards for Hazardous Air Pollutants: Publicly Owned Treatment Works, as adopted by reference in </w:t>
      </w:r>
      <w:hyperlink r:id="rId47">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567—24.103</w:t>
      </w:r>
      <w:r>
        <w:rPr>
          <w:rFonts w:ascii="Times New Roman" w:hAnsi="Times New Roman"/>
          <w:b/>
          <w:i w:val="false"/>
          <w:color w:val="000000"/>
          <w:sz w:val="22"/>
        </w:rPr>
        <w:t xml:space="preserve">(455B) </w:t>
      </w:r>
      <w:r>
        <w:rPr>
          <w:rFonts w:ascii="Times New Roman" w:hAnsi="Times New Roman"/>
          <w:b/>
          <w:i w:val="false"/>
          <w:color w:val="000000"/>
          <w:sz w:val="22"/>
        </w:rPr>
        <w:t xml:space="preserve">Insignificant activities. </w:t>
      </w:r>
      <w:r>
        <w:rPr>
          <w:rFonts w:ascii="Times New Roman" w:hAnsi="Times New Roman"/>
          <w:b w:val="false"/>
          <w:i w:val="false"/>
          <w:color w:val="000000"/>
          <w:sz w:val="22"/>
        </w:rPr>
        <w:t xml:space="preserve">The following are insignificant activities for purposes of the Title V application if not needed to determine the applicability of or to impose any applicable requirement. Title V permit emissions fees are not required from insignificant activities pursuant to </w:t>
      </w:r>
      <w:hyperlink r:id="rId48">
        <w:r>
          <w:rPr>
            <w:rStyle w:val="Hyperlink"/>
            <w:rFonts w:ascii="Times New Roman" w:hAnsi="Times New Roman"/>
            <w:b w:val="false"/>
            <w:i w:val="false"/>
            <w:color w:val="000000"/>
            <w:sz w:val="22"/>
          </w:rPr>
          <w:t>567—paragraph 30.4(2)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24.103(1)</w:t>
      </w:r>
      <w:r>
        <w:rPr>
          <w:rFonts w:ascii="Times New Roman" w:hAnsi="Times New Roman"/>
          <w:b w:val="false"/>
          <w:i w:val="false"/>
          <w:color w:val="000000"/>
          <w:sz w:val="22"/>
        </w:rPr>
        <w:t> </w:t>
      </w:r>
      <w:r>
        <w:rPr>
          <w:rFonts w:ascii="Times New Roman" w:hAnsi="Times New Roman"/>
          <w:b w:val="false"/>
          <w:i/>
          <w:color w:val="000000"/>
          <w:sz w:val="22"/>
        </w:rPr>
        <w:t xml:space="preserve">Insignificant activities excluded from Title V operating permit application. </w:t>
      </w:r>
      <w:r>
        <w:rPr>
          <w:rFonts w:ascii="Times New Roman" w:hAnsi="Times New Roman"/>
          <w:b w:val="false"/>
          <w:i w:val="false"/>
          <w:color w:val="000000"/>
          <w:sz w:val="22"/>
        </w:rPr>
        <w:t>In accordance with 40 CFR §70.5, these activities need not be included in the Title V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Mobile internal combustion and jet engines, marine vessels, and locomotives.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other than anaerobic lagoons, used for cultivating land, harvesting crops, or raising livestock. This exemption is not applicable if the equipment is used to remove substances from grain that were applied to the grain by another person. This exemption also is not applicable to equipment used by a person to manufacture commercial feed, as defined in Iowa Code section </w:t>
      </w:r>
      <w:hyperlink r:id="rId49">
        <w:r>
          <w:rPr>
            <w:rStyle w:val="Hyperlink"/>
            <w:rFonts w:ascii="Times New Roman" w:hAnsi="Times New Roman"/>
            <w:b w:val="false"/>
            <w:i w:val="false"/>
            <w:color w:val="000000"/>
            <w:sz w:val="22"/>
          </w:rPr>
          <w:t>198.3</w:t>
        </w:r>
      </w:hyperlink>
      <w:r>
        <w:rPr>
          <w:rFonts w:ascii="Times New Roman" w:hAnsi="Times New Roman"/>
          <w:b w:val="false"/>
          <w:i w:val="false"/>
          <w:color w:val="000000"/>
          <w:sz w:val="22"/>
        </w:rPr>
        <w:t>, when that feed is normally not fed to livestock: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Owned by that person or another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Located in a feedlot, as defined in Iowa Code section </w:t>
      </w:r>
      <w:hyperlink r:id="rId50">
        <w:r>
          <w:rPr>
            <w:rStyle w:val="Hyperlink"/>
            <w:rFonts w:ascii="Times New Roman" w:hAnsi="Times New Roman"/>
            <w:b w:val="false"/>
            <w:i w:val="false"/>
            <w:color w:val="000000"/>
            <w:sz w:val="22"/>
          </w:rPr>
          <w:t>172D.1(6)</w:t>
        </w:r>
      </w:hyperlink>
      <w:r>
        <w:rPr>
          <w:rFonts w:ascii="Times New Roman" w:hAnsi="Times New Roman"/>
          <w:b w:val="false"/>
          <w:i w:val="false"/>
          <w:color w:val="000000"/>
          <w:sz w:val="22"/>
        </w:rPr>
        <w:t>, or in a confinement building owned or operated by that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 or control equipment that eliminates all emissions to the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Equipment (other than anaerobic lagoons) or control equipment that emits odors unless such equipment or control equipment also emits particulate matter or any other air pollutant or contaminant.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Air conditioning or ventilating equipment not designed to remove air contaminants generated by or released from associated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Residential wood heaters, cookstoves, or fireplaces.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equipment in laboratories used exclusively for nonproduction chemical and physical analyses. Nonproduction analyses means analyses incidental to the production of a good or service and includes analyses conducted for quality assurance or quality control activities, or for the assessment of environmental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Recreational fireplaces.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Barbecue pits and cookers except at a meat packing plant or a prepared meat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Stacks or vents to prevent escape of sewer gases through plumbing traps for systems handling domestic sewage only. Systems that include any industrial waste are not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Retail gasoline- and diesel fuel-handling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Photographic process equipment by which an image is reproduced upon material sensitized to radiant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Equipment used for hydraulic or hydrostatic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General vehicle maintenance and servicing activities at the source, other than gasoline fuel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Cafeterias, kitchens, and other facilities used for preparing food or beverages primarily for consumption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Equipment using water, water and soap or detergent, or a suspension of abrasives in water for purposes of cleaning or finishing provided no organic solvent has been added to the water, the boiling point of the additive is not less than 100°C (212°F), and the water is not heated above 65.5°C (150°F).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Administrative activities, including but not limited to paper shredding, copying, photographic activities, and blueprinting machines. This does not include incinerators.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Laundry dryers, extractors, and tumblers processing clothing, bedding, and other fabric items used at the source that have been cleaned with water solutions of bleach or detergents provided that any organic solvent present in such items before processing that is retained from cleanup operations shall be addressed as part of the volatile organic compound emissions from use of cleaning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Housekeeping activities for cleaning purposes, including collecting spilled and accumulated materials at the source, but not including use of cleaning materials that contain organic solvent.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Refrigeration systems, including storage tanks used in refrigeration systems, but excluding any combustion equipment associated with such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Activities associated with the construction, on-site repair, maintenance or dismantlement of buildings, utility lines, pipelines, wells, excavations, earthworks and other structures that do not constitute emission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Storage tanks of organic liquids with a capacity of less than 500 gallons, provided the tank is not used for storage of any material listed as a hazardous air pollutant pursuant to Section 112(b)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Piping and storage systems for natural gas, propane, and liquified petroleum gas, excluding pipeline compressor stations and associated storage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Water treatment or storage systems,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for potable water or boiler feedwater.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including cooling towers, for process water provided that such water has not been in direct or indirect contact with process steams that contain volatile organic material or materials listed as hazardous air pollutants pursuant to Section 112(b)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Lawn care, landscape maintenance, and groundskeeping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Containers, reservoirs, or tanks used exclusively in dipping operations to coat objects with oils, waxes, or greases, provided no organic solvent has been mixed with such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Cold cleaning degreasers that are not in-line cleaning machines, where the vapor pressure of the solvents used never exceeds 2 kPa (15 mmHg or 0.3 psi) measured at 38°C (100°F) or 0.7 kPa (5 mmHg or 0.1 psi) at 20°C (68°F). (Note: Cold cleaners subject to 40 CFR Part 63 Subpart T are not considered insignificant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Manually operated equipment used for buffing, polishing, carving, cutting, drilling, machining, routing, sanding, sawing, scarfing, surface grinding or turning.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val="false"/>
          <w:color w:val="000000"/>
          <w:sz w:val="22"/>
        </w:rPr>
        <w:t>Use of consumer products, including hazardous substances as that term is defined in the Federal Hazardous Substances Act (15 U.S.C. 1261 et seq.), when the product is used at a source in the same manner as normal consumer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w:t>
      </w:r>
      <w:r>
        <w:rPr>
          <w:rFonts w:ascii="Times New Roman" w:hAnsi="Times New Roman"/>
          <w:b w:val="false"/>
          <w:i w:val="false"/>
          <w:color w:val="000000"/>
          <w:sz w:val="22"/>
        </w:rPr>
        <w:t>  </w:t>
      </w:r>
      <w:r>
        <w:rPr>
          <w:rFonts w:ascii="Times New Roman" w:hAnsi="Times New Roman"/>
          <w:b w:val="false"/>
          <w:i w:val="false"/>
          <w:color w:val="000000"/>
          <w:sz w:val="22"/>
        </w:rPr>
        <w:t>Activities directly used in the diagnosis and treatment of disease, injury or other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ee.</w:t>
      </w:r>
      <w:r>
        <w:rPr>
          <w:rFonts w:ascii="Times New Roman" w:hAnsi="Times New Roman"/>
          <w:b w:val="false"/>
          <w:i w:val="false"/>
          <w:color w:val="000000"/>
          <w:sz w:val="22"/>
        </w:rPr>
        <w:t>  </w:t>
      </w:r>
      <w:r>
        <w:rPr>
          <w:rFonts w:ascii="Times New Roman" w:hAnsi="Times New Roman"/>
          <w:b w:val="false"/>
          <w:i w:val="false"/>
          <w:color w:val="000000"/>
          <w:sz w:val="22"/>
        </w:rPr>
        <w:t xml:space="preserve">Firefighting activities and training in preparation for fighting fires conducted at the source. (Note: Written notification pursuant to </w:t>
      </w:r>
      <w:hyperlink r:id="rId51">
        <w:r>
          <w:rPr>
            <w:rStyle w:val="Hyperlink"/>
            <w:rFonts w:ascii="Times New Roman" w:hAnsi="Times New Roman"/>
            <w:b w:val="false"/>
            <w:i w:val="false"/>
            <w:color w:val="000000"/>
            <w:sz w:val="22"/>
          </w:rPr>
          <w:t>567—paragraph 23.2(3)</w:t>
        </w:r>
      </w:hyperlink>
      <w:r>
        <w:rPr>
          <w:rFonts w:ascii="Times New Roman" w:hAnsi="Times New Roman"/>
          <w:b w:val="false"/>
          <w:i/>
          <w:color w:val="000000"/>
          <w:sz w:val="22"/>
        </w:rPr>
        <w:t>“g”</w:t>
      </w:r>
      <w:r>
        <w:rPr>
          <w:rFonts w:ascii="Times New Roman" w:hAnsi="Times New Roman"/>
          <w:b w:val="false"/>
          <w:i w:val="false"/>
          <w:color w:val="000000"/>
          <w:sz w:val="22"/>
        </w:rPr>
        <w:t xml:space="preserve"> is required at least ten working days before such action commences.)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ff.</w:t>
      </w:r>
      <w:r>
        <w:rPr>
          <w:rFonts w:ascii="Times New Roman" w:hAnsi="Times New Roman"/>
          <w:b w:val="false"/>
          <w:i w:val="false"/>
          <w:color w:val="000000"/>
          <w:sz w:val="22"/>
        </w:rPr>
        <w:t>  </w:t>
      </w:r>
      <w:r>
        <w:rPr>
          <w:rFonts w:ascii="Times New Roman" w:hAnsi="Times New Roman"/>
          <w:b w:val="false"/>
          <w:i w:val="false"/>
          <w:color w:val="000000"/>
          <w:sz w:val="22"/>
        </w:rPr>
        <w:t>Activities associated with the construction, repair, or maintenance of roads or other paved or open areas, including operation of street sweepers, vacuum trucks, spray trucks, and other vehicles related to the control of fugitive emissions of such roads or other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gg.</w:t>
      </w:r>
      <w:r>
        <w:rPr>
          <w:rFonts w:ascii="Times New Roman" w:hAnsi="Times New Roman"/>
          <w:b w:val="false"/>
          <w:i w:val="false"/>
          <w:color w:val="000000"/>
          <w:sz w:val="22"/>
        </w:rPr>
        <w:t>  </w:t>
      </w:r>
      <w:r>
        <w:rPr>
          <w:rFonts w:ascii="Times New Roman" w:hAnsi="Times New Roman"/>
          <w:b w:val="false"/>
          <w:i w:val="false"/>
          <w:color w:val="000000"/>
          <w:sz w:val="22"/>
        </w:rPr>
        <w:t>Storage and handling of drums or other transportable containers when the containers are sealed during storage and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hh.</w:t>
      </w:r>
      <w:r>
        <w:rPr>
          <w:rFonts w:ascii="Times New Roman" w:hAnsi="Times New Roman"/>
          <w:b w:val="false"/>
          <w:i w:val="false"/>
          <w:color w:val="000000"/>
          <w:sz w:val="22"/>
        </w:rPr>
        <w:t>  </w:t>
      </w:r>
      <w:r>
        <w:rPr>
          <w:rFonts w:ascii="Times New Roman" w:hAnsi="Times New Roman"/>
          <w:b w:val="false"/>
          <w:i w:val="false"/>
          <w:color w:val="000000"/>
          <w:sz w:val="22"/>
        </w:rPr>
        <w:t>Individual points of emission or activities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flanges, valves, pump seals, pressure relief valves, and other individual components that have the potential for leaks.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sampling points, analyzers, and process instrumentation, whose operation may result in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features of an emission unit such as each burner and sootblower in a boiler or each use of cleaning materials on a coating or printing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ii.</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activities at a source solely associated with the modification or building of a facility, an emission unit, or other equipment at the source. (Note: Notwithstanding the status of this activity as insignificant, a particular activity that entails modification or construction of an emission unit or construction of air pollution control equipment may require a construction permit pursuant to </w:t>
      </w:r>
      <w:hyperlink r:id="rId52">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and may subsequently require a revised Title V operating permit. A revised Title V operating permit may also be necessary for operation of an emission unit after completion of a particular activity if the existing Title V operating permit does not accommodate the new state of the emission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jj.</w:t>
      </w:r>
      <w:r>
        <w:rPr>
          <w:rFonts w:ascii="Times New Roman" w:hAnsi="Times New Roman"/>
          <w:b w:val="false"/>
          <w:i w:val="false"/>
          <w:color w:val="000000"/>
          <w:sz w:val="22"/>
        </w:rPr>
        <w:t>  </w:t>
      </w:r>
      <w:r>
        <w:rPr>
          <w:rFonts w:ascii="Times New Roman" w:hAnsi="Times New Roman"/>
          <w:b w:val="false"/>
          <w:i w:val="false"/>
          <w:color w:val="000000"/>
          <w:sz w:val="22"/>
        </w:rPr>
        <w:t>Activities at a source associated with the maintenance, repair, or dismantlement of an emission unit or other equipment installed at the source, including preparation for maintenance, repair, or dismantlement, and preparation for subsequent startup, including preparation of a shutdown vessel for entry, replacement of insulation, welding and cutting, and steam purging of a vessel prior to startup.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24.103(2)</w:t>
      </w:r>
      <w:r>
        <w:rPr>
          <w:rFonts w:ascii="Times New Roman" w:hAnsi="Times New Roman"/>
          <w:b w:val="false"/>
          <w:i w:val="false"/>
          <w:color w:val="000000"/>
          <w:sz w:val="22"/>
        </w:rPr>
        <w:t> </w:t>
      </w:r>
      <w:r>
        <w:rPr>
          <w:rFonts w:ascii="Times New Roman" w:hAnsi="Times New Roman"/>
          <w:b w:val="false"/>
          <w:i/>
          <w:color w:val="000000"/>
          <w:sz w:val="22"/>
        </w:rPr>
        <w:t xml:space="preserve">Insignificant activities that must be included in Title V operating 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are insignificant activities based on potential emissions:</w:t>
      </w:r>
    </w:p>
    <w:p>
      <w:pPr>
        <w:spacing w:before="0" w:after="0"/>
        <w:ind w:left="120"/>
        <w:jc w:val="both"/>
      </w:pPr>
      <w:r>
        <w:rPr>
          <w:rFonts w:ascii="Times New Roman" w:hAnsi="Times New Roman"/>
          <w:b w:val="false"/>
          <w:i w:val="false"/>
          <w:color w:val="000000"/>
          <w:sz w:val="22"/>
        </w:rPr>
        <w:t>An emission unit that has the potential to emit less than:</w:t>
      </w:r>
    </w:p>
    <w:p>
      <w:pPr>
        <w:spacing w:before="0" w:after="0"/>
        <w:ind w:left="120"/>
        <w:jc w:val="both"/>
      </w:pPr>
      <w:r>
        <w:rPr>
          <w:rFonts w:ascii="Times New Roman" w:hAnsi="Times New Roman"/>
          <w:b w:val="false"/>
          <w:i w:val="false"/>
          <w:color w:val="000000"/>
          <w:sz w:val="22"/>
        </w:rPr>
        <w:t>5 tons per year of any regulated air pollutant, except:</w:t>
      </w:r>
    </w:p>
    <w:p>
      <w:pPr>
        <w:spacing w:before="0" w:after="0"/>
        <w:ind w:left="120"/>
        <w:jc w:val="both"/>
      </w:pPr>
      <w:r>
        <w:rPr>
          <w:rFonts w:ascii="Times New Roman" w:hAnsi="Times New Roman"/>
          <w:b w:val="false"/>
          <w:i w:val="false"/>
          <w:color w:val="000000"/>
          <w:sz w:val="22"/>
        </w:rPr>
        <w:t>2.5 tons per year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0.52 tons per year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(does not apply to emission units for which initiation of construction, installation, reconstruction, or alteration (as defined in rule </w:t>
      </w:r>
      <w:hyperlink r:id="rId53">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w:t>
      </w:r>
    </w:p>
    <w:p>
      <w:pPr>
        <w:spacing w:before="0" w:after="0"/>
        <w:ind w:left="120"/>
        <w:jc w:val="both"/>
      </w:pPr>
      <w:r>
        <w:rPr>
          <w:rFonts w:ascii="Times New Roman" w:hAnsi="Times New Roman"/>
          <w:b w:val="false"/>
          <w:i w:val="false"/>
          <w:color w:val="000000"/>
          <w:sz w:val="22"/>
        </w:rPr>
        <w:t xml:space="preserve">2 lbs per year of lead or lead compounds (40 lbs per year for emission units for which initiation of construction, installation, reconstruction, or alteration (as defined in </w:t>
      </w:r>
      <w:hyperlink r:id="rId54">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w:t>
      </w:r>
    </w:p>
    <w:p>
      <w:pPr>
        <w:spacing w:before="0" w:after="0"/>
        <w:ind w:left="120"/>
        <w:jc w:val="both"/>
      </w:pPr>
      <w:r>
        <w:rPr>
          <w:rFonts w:ascii="Times New Roman" w:hAnsi="Times New Roman"/>
          <w:b w:val="false"/>
          <w:i w:val="false"/>
          <w:color w:val="000000"/>
          <w:sz w:val="22"/>
        </w:rPr>
        <w:t>2,500 lbs per year of any combination of hazardous air pollutants except high-risk pollutants,</w:t>
      </w:r>
    </w:p>
    <w:p>
      <w:pPr>
        <w:spacing w:before="0" w:after="0"/>
        <w:ind w:left="120"/>
        <w:jc w:val="both"/>
      </w:pPr>
      <w:r>
        <w:rPr>
          <w:rFonts w:ascii="Times New Roman" w:hAnsi="Times New Roman"/>
          <w:b w:val="false"/>
          <w:i w:val="false"/>
          <w:color w:val="000000"/>
          <w:sz w:val="22"/>
        </w:rPr>
        <w:t>1,000 lbs per year of any individual hazardous air pollutant except high-risk pollutants,</w:t>
      </w:r>
    </w:p>
    <w:p>
      <w:pPr>
        <w:spacing w:before="0" w:after="0"/>
        <w:ind w:left="120"/>
        <w:jc w:val="both"/>
      </w:pPr>
      <w:r>
        <w:rPr>
          <w:rFonts w:ascii="Times New Roman" w:hAnsi="Times New Roman"/>
          <w:b w:val="false"/>
          <w:i w:val="false"/>
          <w:color w:val="000000"/>
          <w:sz w:val="22"/>
        </w:rPr>
        <w:t>250 lbs per year of any combination of high-risk pollutants, or</w:t>
      </w:r>
    </w:p>
    <w:p>
      <w:pPr>
        <w:spacing w:before="0" w:after="0"/>
        <w:ind w:left="120"/>
        <w:jc w:val="both"/>
      </w:pPr>
      <w:r>
        <w:rPr>
          <w:rFonts w:ascii="Times New Roman" w:hAnsi="Times New Roman"/>
          <w:b w:val="false"/>
          <w:i w:val="false"/>
          <w:color w:val="000000"/>
          <w:sz w:val="22"/>
        </w:rPr>
        <w:t>100 lbs per year of any individual high-risk pollutant.</w:t>
      </w:r>
    </w:p>
    <w:p>
      <w:pPr>
        <w:spacing w:before="0" w:after="0"/>
        <w:ind w:left="120"/>
        <w:jc w:val="both"/>
      </w:pPr>
      <w:r>
        <w:rPr>
          <w:rFonts w:ascii="Times New Roman" w:hAnsi="Times New Roman"/>
          <w:b w:val="false"/>
          <w:i w:val="false"/>
          <w:color w:val="000000"/>
          <w:sz w:val="22"/>
        </w:rPr>
        <w:t xml:space="preserve">The definition of “high-risk pollutant” is found in </w:t>
      </w:r>
      <w:hyperlink r:id="rId55">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are insignificant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Fuel-burning equipment for indirect heating and reheating furnaces or indirect cooling units using natural or liquefied petroleum gas with a capacity of less than 10 million Btu per hour input per combustion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Fuel-burning equipment for indirect heating or indirect cooling for which initiation of construction, installation, reconstruction, or alteration (as defined in </w:t>
      </w:r>
      <w:hyperlink r:id="rId56">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 with a capacity of less than 1 million Btu per hour input per combustion unit when burning coal, untreated wood, or fuel oil.</w:t>
      </w:r>
    </w:p>
    <w:p>
      <w:pPr>
        <w:spacing w:before="0" w:after="0"/>
        <w:ind w:left="120"/>
        <w:jc w:val="both"/>
      </w:pPr>
      <w:r>
        <w:rPr>
          <w:rFonts w:ascii="Times New Roman" w:hAnsi="Times New Roman"/>
          <w:b w:val="false"/>
          <w:i w:val="false"/>
          <w:color w:val="000000"/>
          <w:sz w:val="22"/>
        </w:rPr>
        <w:t xml:space="preserve">Fuel-burning equipment for indirect heating or indirect cooling for which initiation of construction, installation, reconstruction, or alteration (as defined in </w:t>
      </w:r>
      <w:hyperlink r:id="rId57">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after October 23, 2013, with a capacity of less than 1 million Btu per hour input per combustion unit when burning untreated wood, untreated seeds or pellets, other untreated vegetative materials, or fuel oil provided that the equipment and the fuel meet the condition specified in </w:t>
      </w:r>
      <w:hyperlink r:id="rId58">
        <w:r>
          <w:rPr>
            <w:rStyle w:val="Hyperlink"/>
            <w:rFonts w:ascii="Times New Roman" w:hAnsi="Times New Roman"/>
            <w:b w:val="false"/>
            <w:i w:val="false"/>
            <w:color w:val="000000"/>
            <w:sz w:val="22"/>
          </w:rPr>
          <w:t>24.103(2)</w:t>
        </w:r>
      </w:hyperlink>
      <w:r>
        <w:rPr>
          <w:rFonts w:ascii="Times New Roman" w:hAnsi="Times New Roman"/>
          <w:b w:val="false"/>
          <w:i/>
          <w:color w:val="000000"/>
          <w:sz w:val="22"/>
        </w:rPr>
        <w:t>“b”</w:t>
      </w:r>
      <w:r>
        <w:rPr>
          <w:rFonts w:ascii="Times New Roman" w:hAnsi="Times New Roman"/>
          <w:b w:val="false"/>
          <w:i w:val="false"/>
          <w:color w:val="000000"/>
          <w:sz w:val="22"/>
        </w:rPr>
        <w:t>(2). Used oils meeting the specification from 40 CFR §279.11 as amended through July 14, 2006, are acceptable fuels. When combusting used oils, the equipment must have a maximum rated capacity of 50,000 Btu or less per hour of heat input or a maximum throughput of 3,600 gallons or less of used oils per year. When combusting untreated wood, untreated seeds or pellets, or other untreated vegetative materials, the equipment must have a maximum rated capacity of 265,600 Btu or less per hour or a maximum throughput of 378,000 pounds or less per year of each fuel or any combination of fuels.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Incinerators with a rated refuse burning capacity of less than 25 pounds per hour for which initiation of construction, installation, reconstruction, or alteration (as defined in </w:t>
      </w:r>
      <w:hyperlink r:id="rId59">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on or before October 23, 2013. Incinerators for which initiation of construction, installation, reconstruction, or alteration (as defined in </w:t>
      </w:r>
      <w:hyperlink r:id="rId60">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after October 23, 2013, shall not qualify as an insignificant activity. After October 23, 2013, only paint clean-off ovens with a maximum rated capacity of less than 25 pounds per hour that do not combust lead-containing materials shall qualify as an insignificant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Gasoline, diesel fuel, or oil storage tanks with a capacity of 1,000 gallons or less and an annual throughput of less than 40,000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storage tank that contains no volatile organic compounds above a vapor pressure of 0.75 pounds per square inch at the normal operating temperature of the tank when other emissions from the tank do not exceed the levels in </w:t>
      </w:r>
      <w:hyperlink r:id="rId61">
        <w:r>
          <w:rPr>
            <w:rStyle w:val="Hyperlink"/>
            <w:rFonts w:ascii="Times New Roman" w:hAnsi="Times New Roman"/>
            <w:b w:val="false"/>
            <w:i w:val="false"/>
            <w:color w:val="000000"/>
            <w:sz w:val="22"/>
          </w:rPr>
          <w:t>24.103(2)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Internal combustion engines that are used for emergency response purposes with a brake horsepower rating of less than 400 measured at the shaft. The manufacturer’s nameplate rating at full load shall be defined as the brake horsepower output at the shaft. Emergency engines that are subject to any of the following federal regulations are not considered to be insignificant activities for purposes of </w:t>
      </w:r>
      <w:hyperlink r:id="rId62">
        <w:r>
          <w:rPr>
            <w:rStyle w:val="Hyperlink"/>
            <w:rFonts w:ascii="Times New Roman" w:hAnsi="Times New Roman"/>
            <w:b w:val="false"/>
            <w:i w:val="false"/>
            <w:color w:val="000000"/>
            <w:sz w:val="22"/>
          </w:rPr>
          <w:t>567—24.103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New source performance standards (NSPS) for stationary compression ignition internal combustion engines (40 CFR Part 60, Subpart IIII);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source performance standards (NSPS) for stationary spark ignition internal combustion engines (40 CFR Part 60, Subpart JJJJ);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National emission standards for hazardous air pollutants (NESHAP) for reciprocating internal combustion engines (40 CFR Part 63, Subpart ZZZZ).</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567—24.104</w:t>
      </w:r>
      <w:r>
        <w:rPr>
          <w:rFonts w:ascii="Times New Roman" w:hAnsi="Times New Roman"/>
          <w:b/>
          <w:i w:val="false"/>
          <w:color w:val="000000"/>
          <w:sz w:val="22"/>
        </w:rPr>
        <w:t xml:space="preserve">(455B) </w:t>
      </w:r>
      <w:r>
        <w:rPr>
          <w:rFonts w:ascii="Times New Roman" w:hAnsi="Times New Roman"/>
          <w:b/>
          <w:i w:val="false"/>
          <w:color w:val="000000"/>
          <w:sz w:val="22"/>
        </w:rPr>
        <w:t xml:space="preserve">Requirement to have a Title V permit. </w:t>
      </w:r>
      <w:r>
        <w:rPr>
          <w:rFonts w:ascii="Times New Roman" w:hAnsi="Times New Roman"/>
          <w:b w:val="false"/>
          <w:i w:val="false"/>
          <w:color w:val="000000"/>
          <w:sz w:val="22"/>
        </w:rPr>
        <w:t>No source may operate after the time that it is required to submit a timely and complete application, except in compliance with a properly issued Title V operating permit. However, if a source submits a timely and complete application for permit issuance (including renewal), the source’s failure to have a permit is not a violation of this chapter until the director takes final action on the permit application, except as noted in this rule. In that case, all terms and conditions of the permit shall remain in effect until the renewal permit has been issued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24.104(1)</w:t>
      </w:r>
      <w:r>
        <w:rPr>
          <w:rFonts w:ascii="Times New Roman" w:hAnsi="Times New Roman"/>
          <w:b w:val="false"/>
          <w:i w:val="false"/>
          <w:color w:val="000000"/>
          <w:sz w:val="22"/>
        </w:rPr>
        <w:t> </w:t>
      </w:r>
      <w:r>
        <w:rPr>
          <w:rFonts w:ascii="Times New Roman" w:hAnsi="Times New Roman"/>
          <w:b w:val="false"/>
          <w:i w:val="false"/>
          <w:color w:val="000000"/>
          <w:sz w:val="22"/>
        </w:rPr>
        <w:t>This protection shall cease to apply if, subsequent to the completeness determination, the applicant fails to submit, by the deadline specified in writing by the director, any additional information identified as being needed to process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24.104(2)</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making permit revisions pursuant to </w:t>
      </w:r>
      <w:hyperlink r:id="rId63">
        <w:r>
          <w:rPr>
            <w:rStyle w:val="Hyperlink"/>
            <w:rFonts w:ascii="Times New Roman" w:hAnsi="Times New Roman"/>
            <w:b w:val="false"/>
            <w:i w:val="false"/>
            <w:color w:val="000000"/>
            <w:sz w:val="22"/>
          </w:rPr>
          <w:t>567—24.110</w:t>
        </w:r>
      </w:hyperlink>
      <w:r>
        <w:rPr>
          <w:rFonts w:ascii="Times New Roman" w:hAnsi="Times New Roman"/>
          <w:b w:val="false"/>
          <w:i w:val="false"/>
          <w:color w:val="000000"/>
          <w:sz w:val="22"/>
        </w:rPr>
        <w:t>(455B) shall not be in violation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567—24.105</w:t>
      </w:r>
      <w:r>
        <w:rPr>
          <w:rFonts w:ascii="Times New Roman" w:hAnsi="Times New Roman"/>
          <w:b/>
          <w:i w:val="false"/>
          <w:color w:val="000000"/>
          <w:sz w:val="22"/>
        </w:rPr>
        <w:t xml:space="preserve">(455B) </w:t>
      </w:r>
      <w:r>
        <w:rPr>
          <w:rFonts w:ascii="Times New Roman" w:hAnsi="Times New Roman"/>
          <w:b/>
          <w:i w:val="false"/>
          <w:color w:val="000000"/>
          <w:sz w:val="22"/>
        </w:rPr>
        <w:t xml:space="preserve">Title V 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24.105(1)</w:t>
      </w:r>
      <w:r>
        <w:rPr>
          <w:rFonts w:ascii="Times New Roman" w:hAnsi="Times New Roman"/>
          <w:b w:val="false"/>
          <w:i w:val="false"/>
          <w:color w:val="000000"/>
          <w:sz w:val="22"/>
        </w:rPr>
        <w:t> </w:t>
      </w:r>
      <w:r>
        <w:rPr>
          <w:rFonts w:ascii="Times New Roman" w:hAnsi="Times New Roman"/>
          <w:b w:val="false"/>
          <w:i/>
          <w:color w:val="000000"/>
          <w:sz w:val="22"/>
        </w:rPr>
        <w:t xml:space="preserve">Duty to apply. </w:t>
      </w:r>
      <w:r>
        <w:rPr>
          <w:rFonts w:ascii="Times New Roman" w:hAnsi="Times New Roman"/>
          <w:b w:val="false"/>
          <w:i w:val="false"/>
          <w:color w:val="000000"/>
          <w:sz w:val="22"/>
        </w:rPr>
        <w:t xml:space="preserve">For each source required to obtain a Title V operating permit, the owner or operator or designated representative, where applicable, shall submit a complete and timely application in the electronic format specified by the department, if electronic submittal is provided. An owner or operator of a source required to obtain a Title V permit pursuant to </w:t>
      </w:r>
      <w:hyperlink r:id="rId64">
        <w:r>
          <w:rPr>
            <w:rStyle w:val="Hyperlink"/>
            <w:rFonts w:ascii="Times New Roman" w:hAnsi="Times New Roman"/>
            <w:b w:val="false"/>
            <w:i w:val="false"/>
            <w:color w:val="000000"/>
            <w:sz w:val="22"/>
          </w:rPr>
          <w:t>24.101(1)</w:t>
        </w:r>
      </w:hyperlink>
      <w:r>
        <w:rPr>
          <w:rFonts w:ascii="Times New Roman" w:hAnsi="Times New Roman"/>
          <w:b w:val="false"/>
          <w:i w:val="false"/>
          <w:color w:val="000000"/>
          <w:sz w:val="22"/>
        </w:rPr>
        <w:t xml:space="preserve"> shall submit all required fees as required in </w:t>
      </w:r>
      <w:hyperlink r:id="rId65">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Timely application. </w:t>
      </w:r>
      <w:r>
        <w:rPr>
          <w:rFonts w:ascii="Times New Roman" w:hAnsi="Times New Roman"/>
          <w:b w:val="false"/>
          <w:i w:val="false"/>
          <w:color w:val="000000"/>
          <w:sz w:val="22"/>
        </w:rPr>
        <w:t>Each owner or operator applying for a Title V permit shall submit an application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application for a new source. The owner or operator of a stationary source that commenced construction or reconstruction after April 20, 1994, or that otherwise became subject to the requirement to obtain a Title V permit after April 20, 1994, shall submit an application to the department within 12 months of becoming subject to the Title V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related to 112(g), PSD, or nonattainment. The owner or operator of a stationary source that is subject to Section 112(g) of the Act, that is subject to </w:t>
      </w:r>
      <w:hyperlink r:id="rId66">
        <w:r>
          <w:rPr>
            <w:rStyle w:val="Hyperlink"/>
            <w:rFonts w:ascii="Times New Roman" w:hAnsi="Times New Roman"/>
            <w:b w:val="false"/>
            <w:i w:val="false"/>
            <w:color w:val="000000"/>
            <w:sz w:val="22"/>
          </w:rPr>
          <w:t>567—24.4</w:t>
        </w:r>
      </w:hyperlink>
      <w:r>
        <w:rPr>
          <w:rFonts w:ascii="Times New Roman" w:hAnsi="Times New Roman"/>
          <w:b w:val="false"/>
          <w:i w:val="false"/>
          <w:color w:val="000000"/>
          <w:sz w:val="22"/>
        </w:rPr>
        <w:t xml:space="preserve">(455B) or </w:t>
      </w:r>
      <w:hyperlink r:id="rId67">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 xml:space="preserve">(455B) (prevention of significant deterioration (PSD)), or that is subject to </w:t>
      </w:r>
      <w:hyperlink r:id="rId68">
        <w:r>
          <w:rPr>
            <w:rStyle w:val="Hyperlink"/>
            <w:rFonts w:ascii="Times New Roman" w:hAnsi="Times New Roman"/>
            <w:b w:val="false"/>
            <w:i w:val="false"/>
            <w:color w:val="000000"/>
            <w:sz w:val="22"/>
          </w:rPr>
          <w:t>567—24.5</w:t>
        </w:r>
      </w:hyperlink>
      <w:r>
        <w:rPr>
          <w:rFonts w:ascii="Times New Roman" w:hAnsi="Times New Roman"/>
          <w:b w:val="false"/>
          <w:i w:val="false"/>
          <w:color w:val="000000"/>
          <w:sz w:val="22"/>
        </w:rPr>
        <w:t xml:space="preserve">(455B) or </w:t>
      </w:r>
      <w:hyperlink r:id="rId69">
        <w:r>
          <w:rPr>
            <w:rStyle w:val="Hyperlink"/>
            <w:rFonts w:ascii="Times New Roman" w:hAnsi="Times New Roman"/>
            <w:b w:val="false"/>
            <w:i w:val="false"/>
            <w:color w:val="000000"/>
            <w:sz w:val="22"/>
          </w:rPr>
          <w:t>567—31.3</w:t>
        </w:r>
      </w:hyperlink>
      <w:r>
        <w:rPr>
          <w:rFonts w:ascii="Times New Roman" w:hAnsi="Times New Roman"/>
          <w:b w:val="false"/>
          <w:i w:val="false"/>
          <w:color w:val="000000"/>
          <w:sz w:val="22"/>
        </w:rPr>
        <w:t>(455B) (nonattainment area permitting) shall submit an application to the department within 12 months of commencing operation. In cases in which an existing Title V permit would prohibit such construction or change in operation, the owner or operator must obtain a Title V permit revision before commencing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Renewal application. The owner or operator of a stationary source with a Title V permit shall submit an application to the department for a permit renewal at least 6 months prior to, but not more than 18 months prior to, the date of permit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Changes allowed without a permit revision (off-permit revision). The owner or operator of a stationary source with a Title V permit who is proposing a change that is allowed without a Title V permit revision (an off-permit revision) as specified in </w:t>
      </w:r>
      <w:hyperlink r:id="rId70">
        <w:r>
          <w:rPr>
            <w:rStyle w:val="Hyperlink"/>
            <w:rFonts w:ascii="Times New Roman" w:hAnsi="Times New Roman"/>
            <w:b w:val="false"/>
            <w:i w:val="false"/>
            <w:color w:val="000000"/>
            <w:sz w:val="22"/>
          </w:rPr>
          <w:t>567—24.110</w:t>
        </w:r>
      </w:hyperlink>
      <w:r>
        <w:rPr>
          <w:rFonts w:ascii="Times New Roman" w:hAnsi="Times New Roman"/>
          <w:b w:val="false"/>
          <w:i w:val="false"/>
          <w:color w:val="000000"/>
          <w:sz w:val="22"/>
        </w:rPr>
        <w:t xml:space="preserve">(455B) shall submit to the department a written notification as specified in </w:t>
      </w:r>
      <w:hyperlink r:id="rId71">
        <w:r>
          <w:rPr>
            <w:rStyle w:val="Hyperlink"/>
            <w:rFonts w:ascii="Times New Roman" w:hAnsi="Times New Roman"/>
            <w:b w:val="false"/>
            <w:i w:val="false"/>
            <w:color w:val="000000"/>
            <w:sz w:val="22"/>
          </w:rPr>
          <w:t>567—24.110</w:t>
        </w:r>
      </w:hyperlink>
      <w:r>
        <w:rPr>
          <w:rFonts w:ascii="Times New Roman" w:hAnsi="Times New Roman"/>
          <w:b w:val="false"/>
          <w:i w:val="false"/>
          <w:color w:val="000000"/>
          <w:sz w:val="22"/>
        </w:rPr>
        <w:t>(455B) at least 30 days prior to the proposed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an administrative permit amendment. Prior to implementing a change that satisfies the requirements for an administrative permit amendment as set forth in </w:t>
      </w:r>
      <w:hyperlink r:id="rId72">
        <w:r>
          <w:rPr>
            <w:rStyle w:val="Hyperlink"/>
            <w:rFonts w:ascii="Times New Roman" w:hAnsi="Times New Roman"/>
            <w:b w:val="false"/>
            <w:i w:val="false"/>
            <w:color w:val="000000"/>
            <w:sz w:val="22"/>
          </w:rPr>
          <w:t>567—24.111</w:t>
        </w:r>
      </w:hyperlink>
      <w:r>
        <w:rPr>
          <w:rFonts w:ascii="Times New Roman" w:hAnsi="Times New Roman"/>
          <w:b w:val="false"/>
          <w:i w:val="false"/>
          <w:color w:val="000000"/>
          <w:sz w:val="22"/>
        </w:rPr>
        <w:t xml:space="preserve">(455B), the owner or operator shall submit to the department an application for an administrative amendment as specified in </w:t>
      </w:r>
      <w:hyperlink r:id="rId73">
        <w:r>
          <w:rPr>
            <w:rStyle w:val="Hyperlink"/>
            <w:rFonts w:ascii="Times New Roman" w:hAnsi="Times New Roman"/>
            <w:b w:val="false"/>
            <w:i w:val="false"/>
            <w:color w:val="000000"/>
            <w:sz w:val="22"/>
          </w:rPr>
          <w:t>567—24.111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minor permit modification. Prior to implementing a change that satisfies the requirements for a minor permit modification as set forth in </w:t>
      </w:r>
      <w:hyperlink r:id="rId74">
        <w:r>
          <w:rPr>
            <w:rStyle w:val="Hyperlink"/>
            <w:rFonts w:ascii="Times New Roman" w:hAnsi="Times New Roman"/>
            <w:b w:val="false"/>
            <w:i w:val="false"/>
            <w:color w:val="000000"/>
            <w:sz w:val="22"/>
          </w:rPr>
          <w:t>567—24.112</w:t>
        </w:r>
      </w:hyperlink>
      <w:r>
        <w:rPr>
          <w:rFonts w:ascii="Times New Roman" w:hAnsi="Times New Roman"/>
          <w:b w:val="false"/>
          <w:i w:val="false"/>
          <w:color w:val="000000"/>
          <w:sz w:val="22"/>
        </w:rPr>
        <w:t xml:space="preserve">(455B), the owner or operator shall submit to the department an application for a minor permit modification as specified in </w:t>
      </w:r>
      <w:hyperlink r:id="rId75">
        <w:r>
          <w:rPr>
            <w:rStyle w:val="Hyperlink"/>
            <w:rFonts w:ascii="Times New Roman" w:hAnsi="Times New Roman"/>
            <w:b w:val="false"/>
            <w:i w:val="false"/>
            <w:color w:val="000000"/>
            <w:sz w:val="22"/>
          </w:rPr>
          <w:t>567—24.112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significant permit modification. The owner or operator of a source that satisfies the requirements for a significant permit modification as set forth in </w:t>
      </w:r>
      <w:hyperlink r:id="rId76">
        <w:r>
          <w:rPr>
            <w:rStyle w:val="Hyperlink"/>
            <w:rFonts w:ascii="Times New Roman" w:hAnsi="Times New Roman"/>
            <w:b w:val="false"/>
            <w:i w:val="false"/>
            <w:color w:val="000000"/>
            <w:sz w:val="22"/>
          </w:rPr>
          <w:t>567—24.113</w:t>
        </w:r>
      </w:hyperlink>
      <w:r>
        <w:rPr>
          <w:rFonts w:ascii="Times New Roman" w:hAnsi="Times New Roman"/>
          <w:b w:val="false"/>
          <w:i w:val="false"/>
          <w:color w:val="000000"/>
          <w:sz w:val="22"/>
        </w:rPr>
        <w:t xml:space="preserve">(455B) shall submit to the department an application for a significant permit modification as specified in </w:t>
      </w:r>
      <w:hyperlink r:id="rId77">
        <w:r>
          <w:rPr>
            <w:rStyle w:val="Hyperlink"/>
            <w:rFonts w:ascii="Times New Roman" w:hAnsi="Times New Roman"/>
            <w:b w:val="false"/>
            <w:i w:val="false"/>
            <w:color w:val="000000"/>
            <w:sz w:val="22"/>
          </w:rPr>
          <w:t>567—24.113</w:t>
        </w:r>
      </w:hyperlink>
      <w:r>
        <w:rPr>
          <w:rFonts w:ascii="Times New Roman" w:hAnsi="Times New Roman"/>
          <w:b w:val="false"/>
          <w:i w:val="false"/>
          <w:color w:val="000000"/>
          <w:sz w:val="22"/>
        </w:rPr>
        <w:t>(455B) within three months after the commencing operation of the changed source. However, if the existing Title V permit would prohibit such construction or change in operation, the owner or operator shall not commence operation of the changed source until the department issues a revised Title V permit that allows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Complete application. </w:t>
      </w:r>
      <w:r>
        <w:rPr>
          <w:rFonts w:ascii="Times New Roman" w:hAnsi="Times New Roman"/>
          <w:b w:val="false"/>
          <w:i w:val="false"/>
          <w:color w:val="000000"/>
          <w:sz w:val="22"/>
        </w:rPr>
        <w:t xml:space="preserve">To be deemed complete, an application must provide all information required pursuant to </w:t>
      </w:r>
      <w:hyperlink r:id="rId78">
        <w:r>
          <w:rPr>
            <w:rStyle w:val="Hyperlink"/>
            <w:rFonts w:ascii="Times New Roman" w:hAnsi="Times New Roman"/>
            <w:b w:val="false"/>
            <w:i w:val="false"/>
            <w:color w:val="000000"/>
            <w:sz w:val="22"/>
          </w:rPr>
          <w:t>24.105(2)</w:t>
        </w:r>
      </w:hyperlink>
      <w:r>
        <w:rPr>
          <w:rFonts w:ascii="Times New Roman" w:hAnsi="Times New Roman"/>
          <w:b w:val="false"/>
          <w:i w:val="false"/>
          <w:color w:val="000000"/>
          <w:sz w:val="22"/>
        </w:rPr>
        <w:t>, except that applications for permit revision need supply such information only if it is related to the proposed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24.105(2)</w:t>
      </w:r>
      <w:r>
        <w:rPr>
          <w:rFonts w:ascii="Times New Roman" w:hAnsi="Times New Roman"/>
          <w:b w:val="false"/>
          <w:i w:val="false"/>
          <w:color w:val="000000"/>
          <w:sz w:val="22"/>
        </w:rPr>
        <w:t> </w:t>
      </w:r>
      <w:r>
        <w:rPr>
          <w:rFonts w:ascii="Times New Roman" w:hAnsi="Times New Roman"/>
          <w:b w:val="false"/>
          <w:i/>
          <w:color w:val="000000"/>
          <w:sz w:val="22"/>
        </w:rPr>
        <w:t xml:space="preserve">Standard application form and required information. </w:t>
      </w:r>
      <w:r>
        <w:rPr>
          <w:rFonts w:ascii="Times New Roman" w:hAnsi="Times New Roman"/>
          <w:b w:val="false"/>
          <w:i w:val="false"/>
          <w:color w:val="000000"/>
          <w:sz w:val="22"/>
        </w:rPr>
        <w:t>To apply for a Title V permit, the standard application form shall be submitted in the electronic format specified by the department, if electronic submittal is provided.</w:t>
      </w:r>
    </w:p>
    <w:p>
      <w:pPr>
        <w:spacing w:before="0" w:after="0"/>
        <w:ind w:left="120"/>
        <w:jc w:val="both"/>
      </w:pPr>
      <w:r>
        <w:rPr>
          <w:rFonts w:ascii="Times New Roman" w:hAnsi="Times New Roman"/>
          <w:b w:val="false"/>
          <w:i w:val="false"/>
          <w:color w:val="000000"/>
          <w:sz w:val="22"/>
        </w:rPr>
        <w:t xml:space="preserve">The information submitted must be sufficient to evaluate the source and its application and to determine all applicable requirements and to evaluate the fee amount required by </w:t>
      </w:r>
      <w:hyperlink r:id="rId79">
        <w:r>
          <w:rPr>
            <w:rStyle w:val="Hyperlink"/>
            <w:rFonts w:ascii="Times New Roman" w:hAnsi="Times New Roman"/>
            <w:b w:val="false"/>
            <w:i w:val="false"/>
            <w:color w:val="000000"/>
            <w:sz w:val="22"/>
          </w:rPr>
          <w:t>567—30.4</w:t>
        </w:r>
      </w:hyperlink>
      <w:r>
        <w:rPr>
          <w:rFonts w:ascii="Times New Roman" w:hAnsi="Times New Roman"/>
          <w:b w:val="false"/>
          <w:i w:val="false"/>
          <w:color w:val="000000"/>
          <w:sz w:val="22"/>
        </w:rPr>
        <w:t xml:space="preserve">(455B). If a source is not a major source and is applying for a Title V operating permit solely because of a requirement imposed by </w:t>
      </w:r>
      <w:hyperlink r:id="rId80">
        <w:r>
          <w:rPr>
            <w:rStyle w:val="Hyperlink"/>
            <w:rFonts w:ascii="Times New Roman" w:hAnsi="Times New Roman"/>
            <w:b w:val="false"/>
            <w:i w:val="false"/>
            <w:color w:val="000000"/>
            <w:sz w:val="22"/>
          </w:rPr>
          <w:t>24.101(1)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24.101(1)</w:t>
        </w:r>
      </w:hyperlink>
      <w:r>
        <w:rPr>
          <w:rFonts w:ascii="Times New Roman" w:hAnsi="Times New Roman"/>
          <w:b w:val="false"/>
          <w:i/>
          <w:color w:val="000000"/>
          <w:sz w:val="22"/>
        </w:rPr>
        <w:t>“d,”</w:t>
      </w:r>
      <w:r>
        <w:rPr>
          <w:rFonts w:ascii="Times New Roman" w:hAnsi="Times New Roman"/>
          <w:b w:val="false"/>
          <w:i w:val="false"/>
          <w:color w:val="000000"/>
          <w:sz w:val="22"/>
        </w:rPr>
        <w:t xml:space="preserve"> then the information provided in the operating permit application may cover only the emissions units that trigger Title V applicability. The applicant shall submit the information called for by the application form for each emissions unit to be permitted, except for activities that are insignificant according to the provisions of </w:t>
      </w:r>
      <w:hyperlink r:id="rId82">
        <w:r>
          <w:rPr>
            <w:rStyle w:val="Hyperlink"/>
            <w:rFonts w:ascii="Times New Roman" w:hAnsi="Times New Roman"/>
            <w:b w:val="false"/>
            <w:i w:val="false"/>
            <w:color w:val="000000"/>
            <w:sz w:val="22"/>
          </w:rPr>
          <w:t>567—24.103</w:t>
        </w:r>
      </w:hyperlink>
      <w:r>
        <w:rPr>
          <w:rFonts w:ascii="Times New Roman" w:hAnsi="Times New Roman"/>
          <w:b w:val="false"/>
          <w:i w:val="false"/>
          <w:color w:val="000000"/>
          <w:sz w:val="22"/>
        </w:rPr>
        <w:t>(455B). The applicant shall provide a list of all insignificant activities and specify the basis for the determination of insignificance for each activity.</w:t>
      </w:r>
    </w:p>
    <w:p>
      <w:pPr>
        <w:spacing w:before="0" w:after="0"/>
        <w:ind w:left="120"/>
        <w:jc w:val="both"/>
      </w:pPr>
      <w:r>
        <w:rPr>
          <w:rFonts w:ascii="Times New Roman" w:hAnsi="Times New Roman"/>
          <w:b w:val="false"/>
          <w:i w:val="false"/>
          <w:color w:val="000000"/>
          <w:sz w:val="22"/>
        </w:rPr>
        <w:t xml:space="preserve">Unless otherwise specified in </w:t>
      </w:r>
      <w:hyperlink r:id="rId83">
        <w:r>
          <w:rPr>
            <w:rStyle w:val="Hyperlink"/>
            <w:rFonts w:ascii="Times New Roman" w:hAnsi="Times New Roman"/>
            <w:b w:val="false"/>
            <w:i w:val="false"/>
            <w:color w:val="000000"/>
            <w:sz w:val="22"/>
          </w:rPr>
          <w:t>24.128(4)</w:t>
        </w:r>
      </w:hyperlink>
      <w:r>
        <w:rPr>
          <w:rFonts w:ascii="Times New Roman" w:hAnsi="Times New Roman"/>
          <w:b w:val="false"/>
          <w:i w:val="false"/>
          <w:color w:val="000000"/>
          <w:sz w:val="22"/>
        </w:rPr>
        <w:t>, nationally standardized forms shall be used for the acid rain portions of permit applications and compliance plans, as required by regulations promulgated under Title IV of the Act. The standard application form and any attachments shall require that the following information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Identifying information, including company name and address (or plant or source name if different from the company name), owner’s name and agent, and telephone number and names of plant site manager/contact.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source’s processes and products (by two-digit Standard Industrial Classification Code), including any associated with each alternate scenario identified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emissions-related information shall be submitted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to the extent it is needed to determine or regulate emissions: fuels, fuel use, raw materials, production rates, and operating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and description of air pollution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and description of compliance monitoring devices 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Limitations on source operations affecting emissions or any work practice standards, where applicable, for all regulated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information required by any applicable requirement (including information related to stack height limitations developed pursuant to Section 123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Calculations on which the information in </w:t>
      </w:r>
      <w:hyperlink r:id="rId84">
        <w:r>
          <w:rPr>
            <w:rStyle w:val="Hyperlink"/>
            <w:rFonts w:ascii="Times New Roman" w:hAnsi="Times New Roman"/>
            <w:b w:val="false"/>
            <w:i w:val="false"/>
            <w:color w:val="000000"/>
            <w:sz w:val="22"/>
          </w:rPr>
          <w:t>24.105(2)</w:t>
        </w:r>
      </w:hyperlink>
      <w:r>
        <w:rPr>
          <w:rFonts w:ascii="Times New Roman" w:hAnsi="Times New Roman"/>
          <w:b w:val="false"/>
          <w:i/>
          <w:color w:val="000000"/>
          <w:sz w:val="22"/>
        </w:rPr>
        <w:t>“c”</w:t>
      </w:r>
      <w:r>
        <w:rPr>
          <w:rFonts w:ascii="Times New Roman" w:hAnsi="Times New Roman"/>
          <w:b w:val="false"/>
          <w:i w:val="false"/>
          <w:color w:val="000000"/>
          <w:sz w:val="22"/>
        </w:rPr>
        <w:t>(1) to (5) above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Fugitive emissions from a source shall be included in the permit application in the same manner as stack emissions, regardless of whether the source category in question is included in the list of sources contained in the definition of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air pollution control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Citation and description of all applicable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or reference to any applicable test method for determining compliance with each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specific information that may be necessary to implement and enforce other applicable requirements of the Act or of these rules or to determine the applicability of such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explanation of any proposed exemptions from otherwise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information as determined to be necessary by the director to define alternative operating scenarios identified by the source pursuant to </w:t>
      </w:r>
      <w:hyperlink r:id="rId85">
        <w:r>
          <w:rPr>
            <w:rStyle w:val="Hyperlink"/>
            <w:rFonts w:ascii="Times New Roman" w:hAnsi="Times New Roman"/>
            <w:b w:val="false"/>
            <w:i w:val="false"/>
            <w:color w:val="000000"/>
            <w:sz w:val="22"/>
          </w:rPr>
          <w:t>24.108(12)</w:t>
        </w:r>
      </w:hyperlink>
      <w:r>
        <w:rPr>
          <w:rFonts w:ascii="Times New Roman" w:hAnsi="Times New Roman"/>
          <w:b w:val="false"/>
          <w:i w:val="false"/>
          <w:color w:val="000000"/>
          <w:sz w:val="22"/>
        </w:rPr>
        <w:t xml:space="preserve"> or to define permit terms and conditions relating to operational flexibility and emissions trading pursuant to </w:t>
      </w:r>
      <w:hyperlink r:id="rId86">
        <w:r>
          <w:rPr>
            <w:rStyle w:val="Hyperlink"/>
            <w:rFonts w:ascii="Times New Roman" w:hAnsi="Times New Roman"/>
            <w:b w:val="false"/>
            <w:i w:val="false"/>
            <w:color w:val="000000"/>
            <w:sz w:val="22"/>
          </w:rPr>
          <w:t>24.108(11)</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567—24.112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compliance plan that contains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compliance status of the source with respect to all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statements regarding compliance status: For applicable requirements with which the stationary source is in compliance, a statement that the stationary source will continue to comply with such requirements. For applicable requirements that will become effective during the permit term, a statement that the stationary source will meet such requirements on a timely basis. For requirements for which the stationary source is not in compliance at the time of permit issuance, a narrative description of how the stationary source will achieve compliance with such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compliance schedule that contains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applicable requirements with which the stationary source is in compliance, a statement that the stationary source will continue to comply with such requirements. For applicable requirements that will become effective during the permit term, a statement that the stationary source will meet such requirements on a timely basis. A statement that the stationary source will meet in a timely manner applicable requirements that become effective during the permit term shall satisfy this provision, unless a more detailed schedule is expressly required by the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compliance schedule for sources that are not in compliance with all applicable requirements at the time of permit issuance. Such a schedule shall include a schedule of remedial measures, including an enforceable sequence of actions with milestones, leading to compliance with any applicable requirements for which the stationary source will be in noncompliance at the time of permit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compliance schedule shall resemble and be at least as stringent as any compliance schedule contained in any judicial consent decree or administrative order to which the source is subject. Any compliance schedule shall be supplemental to, and shall not sanction noncompliance with, the applicable requirements 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schedule for submission of certified progress reports no less frequently than every six months for sources required to have a compliance schedule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Requirements for compliance certification,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of compliance for the prior year with all applicable requirements certified by a responsible official consistent with </w:t>
      </w:r>
      <w:hyperlink r:id="rId88">
        <w:r>
          <w:rPr>
            <w:rStyle w:val="Hyperlink"/>
            <w:rFonts w:ascii="Times New Roman" w:hAnsi="Times New Roman"/>
            <w:b w:val="false"/>
            <w:i w:val="false"/>
            <w:color w:val="000000"/>
            <w:sz w:val="22"/>
          </w:rPr>
          <w:t>24.107(4)</w:t>
        </w:r>
      </w:hyperlink>
      <w:r>
        <w:rPr>
          <w:rFonts w:ascii="Times New Roman" w:hAnsi="Times New Roman"/>
          <w:b w:val="false"/>
          <w:i w:val="false"/>
          <w:color w:val="000000"/>
          <w:sz w:val="22"/>
        </w:rPr>
        <w:t xml:space="preserve"> and Section 114(a)(3)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of methods used for determining compliance, including a description of monitoring, recordkeeping, and reporting requirements and test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schedule for submission of compliance certifications for each compliance period (one year unless required for a shorter time period by an applicable requirement) during the permit term, which shall be submitted annually, or more frequently if required by an underlying applicable requirement or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the source’s compliance status with any applicable enhanced monitoring and compliance certification requirements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other provisions of these rules, for the purposes of submission of compliance certifications, an owner or operator is not prohibited from using monitoring as required by </w:t>
      </w:r>
      <w:hyperlink r:id="rId89">
        <w:r>
          <w:rPr>
            <w:rStyle w:val="Hyperlink"/>
            <w:rFonts w:ascii="Times New Roman" w:hAnsi="Times New Roman"/>
            <w:b w:val="false"/>
            <w:i w:val="false"/>
            <w:color w:val="000000"/>
            <w:sz w:val="22"/>
          </w:rPr>
          <w:t>24.108(3)</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24.108(4)</w:t>
        </w:r>
      </w:hyperlink>
      <w:r>
        <w:rPr>
          <w:rFonts w:ascii="Times New Roman" w:hAnsi="Times New Roman"/>
          <w:b w:val="false"/>
          <w:i w:val="false"/>
          <w:color w:val="000000"/>
          <w:sz w:val="22"/>
        </w:rPr>
        <w:t xml:space="preserve">, or </w:t>
      </w:r>
      <w:hyperlink r:id="rId91">
        <w:r>
          <w:rPr>
            <w:rStyle w:val="Hyperlink"/>
            <w:rFonts w:ascii="Times New Roman" w:hAnsi="Times New Roman"/>
            <w:b w:val="false"/>
            <w:i w:val="false"/>
            <w:color w:val="000000"/>
            <w:sz w:val="22"/>
          </w:rPr>
          <w:t>24.108(5)</w:t>
        </w:r>
      </w:hyperlink>
      <w:r>
        <w:rPr>
          <w:rFonts w:ascii="Times New Roman" w:hAnsi="Times New Roman"/>
          <w:b w:val="false"/>
          <w:i w:val="false"/>
          <w:color w:val="000000"/>
          <w:sz w:val="22"/>
        </w:rPr>
        <w:t xml:space="preserve"> and incorporated into a Title V operating permit in addition to any specified compliance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compliance plan content requirements specified in these rules shall apply and be included in the acid rain portion of a compliance plan for a Title IV affected source, except as specifically superseded by regulations promulgated under Title IV of the Act, with regard to the schedule and method(s) the source shall use to achieve compliance with the acid rain emissions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24.105(3)</w:t>
      </w:r>
      <w:r>
        <w:rPr>
          <w:rFonts w:ascii="Times New Roman" w:hAnsi="Times New Roman"/>
          <w:b w:val="false"/>
          <w:i w:val="false"/>
          <w:color w:val="000000"/>
          <w:sz w:val="22"/>
        </w:rPr>
        <w:t> </w:t>
      </w:r>
      <w:r>
        <w:rPr>
          <w:rFonts w:ascii="Times New Roman" w:hAnsi="Times New Roman"/>
          <w:b w:val="false"/>
          <w:i/>
          <w:color w:val="000000"/>
          <w:sz w:val="22"/>
        </w:rPr>
        <w:t xml:space="preserve">Hazardous air pollutant early reduction application. </w:t>
      </w:r>
      <w:r>
        <w:rPr>
          <w:rFonts w:ascii="Times New Roman" w:hAnsi="Times New Roman"/>
          <w:b w:val="false"/>
          <w:i w:val="false"/>
          <w:color w:val="000000"/>
          <w:sz w:val="22"/>
        </w:rPr>
        <w:t xml:space="preserve">Anyone requesting a compliance extension from a standard issued under Section 112(d) of the Act must submit with the Title V permit application information that complies with the requirements established in </w:t>
      </w:r>
      <w:hyperlink r:id="rId92">
        <w:r>
          <w:rPr>
            <w:rStyle w:val="Hyperlink"/>
            <w:rFonts w:ascii="Times New Roman" w:hAnsi="Times New Roman"/>
            <w:b w:val="false"/>
            <w:i w:val="false"/>
            <w:color w:val="000000"/>
            <w:sz w:val="22"/>
          </w:rPr>
          <w:t>567—paragraph 23.1(4)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24.105(4)</w:t>
      </w:r>
      <w:r>
        <w:rPr>
          <w:rFonts w:ascii="Times New Roman" w:hAnsi="Times New Roman"/>
          <w:b w:val="false"/>
          <w:i w:val="false"/>
          <w:color w:val="000000"/>
          <w:sz w:val="22"/>
        </w:rPr>
        <w:t> </w:t>
      </w:r>
      <w:r>
        <w:rPr>
          <w:rFonts w:ascii="Times New Roman" w:hAnsi="Times New Roman"/>
          <w:b w:val="false"/>
          <w:i/>
          <w:color w:val="000000"/>
          <w:sz w:val="22"/>
        </w:rPr>
        <w:t xml:space="preserve">Acid rain application content. </w:t>
      </w:r>
      <w:r>
        <w:rPr>
          <w:rFonts w:ascii="Times New Roman" w:hAnsi="Times New Roman"/>
          <w:b w:val="false"/>
          <w:i w:val="false"/>
          <w:color w:val="000000"/>
          <w:sz w:val="22"/>
        </w:rPr>
        <w:t xml:space="preserve">The acid rain application content shall be as prescribed in the acid rain rules found in </w:t>
      </w:r>
      <w:hyperlink r:id="rId93">
        <w:r>
          <w:rPr>
            <w:rStyle w:val="Hyperlink"/>
            <w:rFonts w:ascii="Times New Roman" w:hAnsi="Times New Roman"/>
            <w:b w:val="false"/>
            <w:i w:val="false"/>
            <w:color w:val="000000"/>
            <w:sz w:val="22"/>
          </w:rPr>
          <w:t>567—24.128</w:t>
        </w:r>
      </w:hyperlink>
      <w:r>
        <w:rPr>
          <w:rFonts w:ascii="Times New Roman" w:hAnsi="Times New Roman"/>
          <w:b w:val="false"/>
          <w:i w:val="false"/>
          <w:color w:val="000000"/>
          <w:sz w:val="22"/>
        </w:rPr>
        <w:t xml:space="preserve">(455B) and </w:t>
      </w:r>
      <w:hyperlink r:id="rId94">
        <w:r>
          <w:rPr>
            <w:rStyle w:val="Hyperlink"/>
            <w:rFonts w:ascii="Times New Roman" w:hAnsi="Times New Roman"/>
            <w:b w:val="false"/>
            <w:i w:val="false"/>
            <w:color w:val="000000"/>
            <w:sz w:val="22"/>
          </w:rPr>
          <w:t>567—24.129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24.105(5)</w:t>
      </w:r>
      <w:r>
        <w:rPr>
          <w:rFonts w:ascii="Times New Roman" w:hAnsi="Times New Roman"/>
          <w:b w:val="false"/>
          <w:i w:val="false"/>
          <w:color w:val="000000"/>
          <w:sz w:val="22"/>
        </w:rPr>
        <w:t> </w:t>
      </w:r>
      <w:r>
        <w:rPr>
          <w:rFonts w:ascii="Times New Roman" w:hAnsi="Times New Roman"/>
          <w:b w:val="false"/>
          <w:i/>
          <w:color w:val="000000"/>
          <w:sz w:val="22"/>
        </w:rPr>
        <w:t xml:space="preserve">More than one Title V operating permit for a stationary source. </w:t>
      </w:r>
      <w:r>
        <w:rPr>
          <w:rFonts w:ascii="Times New Roman" w:hAnsi="Times New Roman"/>
          <w:b w:val="false"/>
          <w:i w:val="false"/>
          <w:color w:val="000000"/>
          <w:sz w:val="22"/>
        </w:rPr>
        <w:t xml:space="preserve">Following application made pursuant to </w:t>
      </w:r>
      <w:hyperlink r:id="rId95">
        <w:r>
          <w:rPr>
            <w:rStyle w:val="Hyperlink"/>
            <w:rFonts w:ascii="Times New Roman" w:hAnsi="Times New Roman"/>
            <w:b w:val="false"/>
            <w:i w:val="false"/>
            <w:color w:val="000000"/>
            <w:sz w:val="22"/>
          </w:rPr>
          <w:t>24.105(1)</w:t>
        </w:r>
      </w:hyperlink>
      <w:r>
        <w:rPr>
          <w:rFonts w:ascii="Times New Roman" w:hAnsi="Times New Roman"/>
          <w:b w:val="false"/>
          <w:i w:val="false"/>
          <w:color w:val="000000"/>
          <w:sz w:val="22"/>
        </w:rPr>
        <w:t>, the department may, at its discretion, issue more than one Title V operating permit for a stationary source, provided that the owner or operator does not have, and does not propose to have, a sourcewide emission limit or a sourcewide alternative operating scenario.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567—24.106</w:t>
      </w:r>
      <w:r>
        <w:rPr>
          <w:rFonts w:ascii="Times New Roman" w:hAnsi="Times New Roman"/>
          <w:b/>
          <w:i w:val="false"/>
          <w:color w:val="000000"/>
          <w:sz w:val="22"/>
        </w:rPr>
        <w:t xml:space="preserve">(455B) </w:t>
      </w:r>
      <w:r>
        <w:rPr>
          <w:rFonts w:ascii="Times New Roman" w:hAnsi="Times New Roman"/>
          <w:b/>
          <w:i w:val="false"/>
          <w:color w:val="000000"/>
          <w:sz w:val="22"/>
        </w:rPr>
        <w:t xml:space="preserve">Annual Title V emissions inventory.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24.106(1)</w:t>
      </w:r>
      <w:r>
        <w:rPr>
          <w:rFonts w:ascii="Times New Roman" w:hAnsi="Times New Roman"/>
          <w:b w:val="false"/>
          <w:i w:val="false"/>
          <w:color w:val="000000"/>
          <w:sz w:val="22"/>
        </w:rPr>
        <w:t> </w:t>
      </w:r>
      <w:r>
        <w:rPr>
          <w:rFonts w:ascii="Times New Roman" w:hAnsi="Times New Roman"/>
          <w:b w:val="false"/>
          <w:i/>
          <w:color w:val="000000"/>
          <w:sz w:val="22"/>
        </w:rPr>
        <w:t xml:space="preserve">Emissions fee. </w:t>
      </w:r>
      <w:r>
        <w:rPr>
          <w:rFonts w:ascii="Times New Roman" w:hAnsi="Times New Roman"/>
          <w:b w:val="false"/>
          <w:i w:val="false"/>
          <w:color w:val="000000"/>
          <w:sz w:val="22"/>
        </w:rPr>
        <w:t xml:space="preserve">Fees shall be paid as set forth in </w:t>
      </w:r>
      <w:hyperlink r:id="rId96">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24.106(2)</w:t>
      </w:r>
      <w:r>
        <w:rPr>
          <w:rFonts w:ascii="Times New Roman" w:hAnsi="Times New Roman"/>
          <w:b w:val="false"/>
          <w:i w:val="false"/>
          <w:color w:val="000000"/>
          <w:sz w:val="22"/>
        </w:rPr>
        <w:t> </w:t>
      </w:r>
      <w:r>
        <w:rPr>
          <w:rFonts w:ascii="Times New Roman" w:hAnsi="Times New Roman"/>
          <w:b w:val="false"/>
          <w:i/>
          <w:color w:val="000000"/>
          <w:sz w:val="22"/>
        </w:rPr>
        <w:t xml:space="preserve">Emissions inventory and documentation due dates. </w:t>
      </w:r>
      <w:r>
        <w:rPr>
          <w:rFonts w:ascii="Times New Roman" w:hAnsi="Times New Roman"/>
          <w:b w:val="false"/>
          <w:i w:val="false"/>
          <w:color w:val="000000"/>
          <w:sz w:val="22"/>
        </w:rPr>
        <w:t>The emissions inventory shall be submitted through the electronic format specified by the department. An owner or operator shall, by March 31, submit documentation of actual emissions for the previous calendar year. The department shall calculate the total statewide Title V emissions for the prior calendar year and make this information available to the public no later than April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24.106(3)</w:t>
      </w:r>
      <w:r>
        <w:rPr>
          <w:rFonts w:ascii="Times New Roman" w:hAnsi="Times New Roman"/>
          <w:b w:val="false"/>
          <w:i w:val="false"/>
          <w:color w:val="000000"/>
          <w:sz w:val="22"/>
        </w:rPr>
        <w:t> </w:t>
      </w:r>
      <w:r>
        <w:rPr>
          <w:rFonts w:ascii="Times New Roman" w:hAnsi="Times New Roman"/>
          <w:b w:val="false"/>
          <w:i/>
          <w:color w:val="000000"/>
          <w:sz w:val="22"/>
        </w:rPr>
        <w:t xml:space="preserve">Correction of errors. </w:t>
      </w:r>
      <w:r>
        <w:rPr>
          <w:rFonts w:ascii="Times New Roman" w:hAnsi="Times New Roman"/>
          <w:b w:val="false"/>
          <w:i w:val="false"/>
          <w:color w:val="000000"/>
          <w:sz w:val="22"/>
        </w:rPr>
        <w:t>If an owner or operator, or the department, finds an error in a Title V emissions inventory, the owner or operator shall submit to the department revised forms making the necessary corrections to the Title V emissions inventory. Corrected forms shall be submitted as soon as possible after the errors are discovered or upon notification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567—24.107</w:t>
      </w:r>
      <w:r>
        <w:rPr>
          <w:rFonts w:ascii="Times New Roman" w:hAnsi="Times New Roman"/>
          <w:b/>
          <w:i w:val="false"/>
          <w:color w:val="000000"/>
          <w:sz w:val="22"/>
        </w:rPr>
        <w:t xml:space="preserve">(455B) </w:t>
      </w:r>
      <w:r>
        <w:rPr>
          <w:rFonts w:ascii="Times New Roman" w:hAnsi="Times New Roman"/>
          <w:b/>
          <w:i w:val="false"/>
          <w:color w:val="000000"/>
          <w:sz w:val="22"/>
        </w:rPr>
        <w:t xml:space="preserve">Title V permit processing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24.107(1)</w:t>
      </w:r>
      <w:r>
        <w:rPr>
          <w:rFonts w:ascii="Times New Roman" w:hAnsi="Times New Roman"/>
          <w:b w:val="false"/>
          <w:i w:val="false"/>
          <w:color w:val="000000"/>
          <w:sz w:val="22"/>
        </w:rPr>
        <w:t> </w:t>
      </w:r>
      <w:r>
        <w:rPr>
          <w:rFonts w:ascii="Times New Roman" w:hAnsi="Times New Roman"/>
          <w:b w:val="false"/>
          <w:i/>
          <w:color w:val="000000"/>
          <w:sz w:val="22"/>
        </w:rPr>
        <w:t xml:space="preserve">Action on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Conditions for action on application. </w:t>
      </w:r>
      <w:r>
        <w:rPr>
          <w:rFonts w:ascii="Times New Roman" w:hAnsi="Times New Roman"/>
          <w:b w:val="false"/>
          <w:i w:val="false"/>
          <w:color w:val="000000"/>
          <w:sz w:val="22"/>
        </w:rPr>
        <w:t>A permit, permit modification, or renewal may be issued only if all of the following conditions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permitting authority has received a complete application for a permit, permit modification, or permit renewal, except that a complete application need not be received before issuance of a general permit under </w:t>
      </w:r>
      <w:hyperlink r:id="rId97">
        <w:r>
          <w:rPr>
            <w:rStyle w:val="Hyperlink"/>
            <w:rFonts w:ascii="Times New Roman" w:hAnsi="Times New Roman"/>
            <w:b w:val="false"/>
            <w:i w:val="false"/>
            <w:color w:val="000000"/>
            <w:sz w:val="22"/>
          </w:rPr>
          <w:t>567—24.109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modifications qualifying for minor permit modification procedures under </w:t>
      </w:r>
      <w:hyperlink r:id="rId98">
        <w:r>
          <w:rPr>
            <w:rStyle w:val="Hyperlink"/>
            <w:rFonts w:ascii="Times New Roman" w:hAnsi="Times New Roman"/>
            <w:b w:val="false"/>
            <w:i w:val="false"/>
            <w:color w:val="000000"/>
            <w:sz w:val="22"/>
          </w:rPr>
          <w:t>567—24.112</w:t>
        </w:r>
      </w:hyperlink>
      <w:r>
        <w:rPr>
          <w:rFonts w:ascii="Times New Roman" w:hAnsi="Times New Roman"/>
          <w:b w:val="false"/>
          <w:i w:val="false"/>
          <w:color w:val="000000"/>
          <w:sz w:val="22"/>
        </w:rPr>
        <w:t xml:space="preserve">(455B), the permitting authority has complied with the requirements for public participation under </w:t>
      </w:r>
      <w:hyperlink r:id="rId99">
        <w:r>
          <w:rPr>
            <w:rStyle w:val="Hyperlink"/>
            <w:rFonts w:ascii="Times New Roman" w:hAnsi="Times New Roman"/>
            <w:b w:val="false"/>
            <w:i w:val="false"/>
            <w:color w:val="000000"/>
            <w:sz w:val="22"/>
          </w:rPr>
          <w:t>24.107(6)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permitting authority has complied with the requirements for notifying and responding to affected states under </w:t>
      </w:r>
      <w:hyperlink r:id="rId100">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conditions of the permit provide for compliance with all applicable requirements and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has received a copy of the proposed permit and any notices required under </w:t>
      </w:r>
      <w:hyperlink r:id="rId101">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xml:space="preserve">, and has not objected to issuance of the permit under </w:t>
      </w:r>
      <w:hyperlink r:id="rId102">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xml:space="preserve"> within the time period specified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Administrator has properly objected to the permit pursuant to the provisions of 40 CFR §70.8(d) as amended to July 21, 1992, or </w:t>
      </w:r>
      <w:hyperlink r:id="rId103">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then the permitting authority may issue a permit only after the Administrator’s objection has been resolved;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 permit for a solid waste incineration unit combusting municipal waste subject to the provisions of Section 129(e) of the Act may be issued by an agency, instrumentality, or person that is also responsible, in whole or part, for the design and construction or operation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for action on application. </w:t>
      </w:r>
      <w:r>
        <w:rPr>
          <w:rFonts w:ascii="Times New Roman" w:hAnsi="Times New Roman"/>
          <w:b w:val="false"/>
          <w:i w:val="false"/>
          <w:color w:val="000000"/>
          <w:sz w:val="22"/>
        </w:rPr>
        <w:t>The permitting authority shall take final action on each complete permit application (including a request for permit modification or renewal) within 18 months of receiving a complete application, except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otherwise provided under Title V or Title IV of the Act for the permitting of affected sources under the acid rain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initial permit applications, the permitting authority may take up to three years from the effective date of the program to take final action on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complete permit applications containing an early reduction demonstration under Section 112(i)(5) of the Act shall be acted upon within nine months of receipt of the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Prioritization of applications. </w:t>
      </w:r>
      <w:r>
        <w:rPr>
          <w:rFonts w:ascii="Times New Roman" w:hAnsi="Times New Roman"/>
          <w:b w:val="false"/>
          <w:i w:val="false"/>
          <w:color w:val="000000"/>
          <w:sz w:val="22"/>
        </w:rPr>
        <w:t xml:space="preserve">The director shall give priority to action on Title V applications involving construction or modification for which a construction permit pursuant to </w:t>
      </w:r>
      <w:hyperlink r:id="rId104">
        <w:r>
          <w:rPr>
            <w:rStyle w:val="Hyperlink"/>
            <w:rFonts w:ascii="Times New Roman" w:hAnsi="Times New Roman"/>
            <w:b w:val="false"/>
            <w:i w:val="false"/>
            <w:color w:val="000000"/>
            <w:sz w:val="22"/>
          </w:rPr>
          <w:t>567—subrule 22.1(1)</w:t>
        </w:r>
      </w:hyperlink>
      <w:r>
        <w:rPr>
          <w:rFonts w:ascii="Times New Roman" w:hAnsi="Times New Roman"/>
          <w:b w:val="false"/>
          <w:i w:val="false"/>
          <w:color w:val="000000"/>
          <w:sz w:val="22"/>
        </w:rPr>
        <w:t xml:space="preserve"> or Title I of the Act, Parts C and D, is also required. The director also shall give priority to action on Title V applications involving early reduction of hazardous air pollutants pursuant to </w:t>
      </w:r>
      <w:hyperlink r:id="rId105">
        <w:r>
          <w:rPr>
            <w:rStyle w:val="Hyperlink"/>
            <w:rFonts w:ascii="Times New Roman" w:hAnsi="Times New Roman"/>
            <w:b w:val="false"/>
            <w:i w:val="false"/>
            <w:color w:val="000000"/>
            <w:sz w:val="22"/>
          </w:rPr>
          <w:t>567—paragraph 23.1(4)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Completeness of applications. </w:t>
      </w:r>
      <w:r>
        <w:rPr>
          <w:rFonts w:ascii="Times New Roman" w:hAnsi="Times New Roman"/>
          <w:b w:val="false"/>
          <w:i w:val="false"/>
          <w:color w:val="000000"/>
          <w:sz w:val="22"/>
        </w:rPr>
        <w:t xml:space="preserve">The department shall promptly provide notice to the applicant of whether the application is complete. Unless the permitting authority requests additional information or otherwise notifies the applicant of incompleteness within 60 days of receipt of an application, the application shall be deemed complete. If, while processing an application that has been determined to be complete, the permitting authority determines that additional information is necessary to evaluate or take final action on that application, the permitting authority may request in writing such information and set a reasonable deadline for a response. The source’s ability to operate without a permit, as set forth in </w:t>
      </w:r>
      <w:hyperlink r:id="rId106">
        <w:r>
          <w:rPr>
            <w:rStyle w:val="Hyperlink"/>
            <w:rFonts w:ascii="Times New Roman" w:hAnsi="Times New Roman"/>
            <w:b w:val="false"/>
            <w:i w:val="false"/>
            <w:color w:val="000000"/>
            <w:sz w:val="22"/>
          </w:rPr>
          <w:t>567—24.104</w:t>
        </w:r>
      </w:hyperlink>
      <w:r>
        <w:rPr>
          <w:rFonts w:ascii="Times New Roman" w:hAnsi="Times New Roman"/>
          <w:b w:val="false"/>
          <w:i w:val="false"/>
          <w:color w:val="000000"/>
          <w:sz w:val="22"/>
        </w:rPr>
        <w:t>(455B), shall be in effect from the date the application is determined to be complete until the final permit is issued, provided that the applicant submits any requested additional information by the deadline specified by the permitting authority. For modifications processed through minor permit modification procedures, a completeness determination shall not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Decision to deny a permit application. </w:t>
      </w:r>
      <w:r>
        <w:rPr>
          <w:rFonts w:ascii="Times New Roman" w:hAnsi="Times New Roman"/>
          <w:b w:val="false"/>
          <w:i w:val="false"/>
          <w:color w:val="000000"/>
          <w:sz w:val="22"/>
        </w:rPr>
        <w:t xml:space="preserve">The director shall decide to issue or deny the permit. The director shall notify the applicant as soon as practicable that the application has been denied. Upon denial of the permit, the provisions of </w:t>
      </w:r>
      <w:hyperlink r:id="rId107">
        <w:r>
          <w:rPr>
            <w:rStyle w:val="Hyperlink"/>
            <w:rFonts w:ascii="Times New Roman" w:hAnsi="Times New Roman"/>
            <w:b w:val="false"/>
            <w:i w:val="false"/>
            <w:color w:val="000000"/>
            <w:sz w:val="22"/>
          </w:rPr>
          <w:t>24.107(1)</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no longer be applicable. The new application shall be regarded as an entirely separate application containing all the required information and shall not depend on references to any documents contained in the previous denied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Fact sheet. </w:t>
      </w:r>
      <w:r>
        <w:rPr>
          <w:rFonts w:ascii="Times New Roman" w:hAnsi="Times New Roman"/>
          <w:b w:val="false"/>
          <w:i w:val="false"/>
          <w:color w:val="000000"/>
          <w:sz w:val="22"/>
        </w:rPr>
        <w:t>A draft permit and fact sheet shall be prepared by the permitting authority. The fact sheet shall include the rationale for issuance or denial of the permit; a brief description of the type of facility; a summary of the type and quantity of air pollutants being emitted; a brief summary of the legal and factual basis for the draft permit conditions, including references to applicable statutes and rules; a description of the procedures for reaching final decision on the draft permit, including the comment period, the address where comments will be received, and procedures for requesting a hearing and the nature of the hearing; and the name and telephone number for a person to contact for additional information. The permitting authority shall provide the fact sheet to the EPA and to any other person who requests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Relation to construction permits. </w:t>
      </w:r>
      <w:r>
        <w:rPr>
          <w:rFonts w:ascii="Times New Roman" w:hAnsi="Times New Roman"/>
          <w:b w:val="false"/>
          <w:i w:val="false"/>
          <w:color w:val="000000"/>
          <w:sz w:val="22"/>
        </w:rPr>
        <w:t xml:space="preserve">The submittal of a complete application shall not affect the requirement that any source have a construction permit under Title I of the Act and </w:t>
      </w:r>
      <w:hyperlink r:id="rId108">
        <w:r>
          <w:rPr>
            <w:rStyle w:val="Hyperlink"/>
            <w:rFonts w:ascii="Times New Roman" w:hAnsi="Times New Roman"/>
            <w:b w:val="false"/>
            <w:i w:val="false"/>
            <w:color w:val="000000"/>
            <w:sz w:val="22"/>
          </w:rPr>
          <w:t>567—subrule 22.1(1)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 xml:space="preserve">If a source has submitted information with an application under a claim of confidentiality to the department, the source shall also submit a copy of such information directly to the Administrator. Requests for confidentiality must comply with </w:t>
      </w:r>
      <w:hyperlink r:id="rId109">
        <w:r>
          <w:rPr>
            <w:rStyle w:val="Hyperlink"/>
            <w:rFonts w:ascii="Times New Roman" w:hAnsi="Times New Roman"/>
            <w:b w:val="false"/>
            <w:i w:val="false"/>
            <w:color w:val="000000"/>
            <w:sz w:val="22"/>
          </w:rPr>
          <w:t>561—Chapter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24.107(3)</w:t>
      </w:r>
      <w:r>
        <w:rPr>
          <w:rFonts w:ascii="Times New Roman" w:hAnsi="Times New Roman"/>
          <w:b w:val="false"/>
          <w:i w:val="false"/>
          <w:color w:val="000000"/>
          <w:sz w:val="22"/>
        </w:rPr>
        <w:t> </w:t>
      </w:r>
      <w:r>
        <w:rPr>
          <w:rFonts w:ascii="Times New Roman" w:hAnsi="Times New Roman"/>
          <w:b w:val="false"/>
          <w:i/>
          <w:color w:val="000000"/>
          <w:sz w:val="22"/>
        </w:rPr>
        <w:t xml:space="preserve">Duty to supplement or correct application. </w:t>
      </w:r>
      <w:r>
        <w:rPr>
          <w:rFonts w:ascii="Times New Roman" w:hAnsi="Times New Roman"/>
          <w:b w:val="false"/>
          <w:i w:val="false"/>
          <w:color w:val="000000"/>
          <w:sz w:val="22"/>
        </w:rPr>
        <w:t>Any applicant who fails to submit any relevant facts or who has submitted incorrect information in a permit application shall, upon becoming aware of such failure or incorrect submittal, promptly submit such supplementary facts or corrected information. In addition, an applicant shall provide additional information as necessary to address any requirements that become applicable to the source after the date the source filed a complete application but prior to release of a draft permit. Applicants who have filed a complete application shall have 60 days following notification by the department to file any amendments. Any MACT determinations in permit applications will be evaluated based on the standards, limitations, or levels of technology existing on the date the initial application is deemed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24.107(4)</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truth, accuracy, and completeness. </w:t>
      </w:r>
      <w:r>
        <w:rPr>
          <w:rFonts w:ascii="Times New Roman" w:hAnsi="Times New Roman"/>
          <w:b w:val="false"/>
          <w:i w:val="false"/>
          <w:color w:val="000000"/>
          <w:sz w:val="22"/>
        </w:rPr>
        <w:t>Any application form, report, or compliance certification submitted pursuant to these rules shall contain certification by a responsible official of truth, accuracy, and completeness. This certification and any other certification required under these rules shall state that, based on information and belief formed after reasonable inquiry, the statements and information in the document are true, accurate, and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24.107(5)</w:t>
      </w:r>
      <w:r>
        <w:rPr>
          <w:rFonts w:ascii="Times New Roman" w:hAnsi="Times New Roman"/>
          <w:b w:val="false"/>
          <w:i w:val="false"/>
          <w:color w:val="000000"/>
          <w:sz w:val="22"/>
        </w:rPr>
        <w:t> </w:t>
      </w:r>
      <w:r>
        <w:rPr>
          <w:rFonts w:ascii="Times New Roman" w:hAnsi="Times New Roman"/>
          <w:b w:val="false"/>
          <w:i/>
          <w:color w:val="000000"/>
          <w:sz w:val="22"/>
        </w:rPr>
        <w:t xml:space="preserve">Early reduction application evaluation. </w:t>
      </w:r>
      <w:r>
        <w:rPr>
          <w:rFonts w:ascii="Times New Roman" w:hAnsi="Times New Roman"/>
          <w:b w:val="false"/>
          <w:i w:val="false"/>
          <w:color w:val="000000"/>
          <w:sz w:val="22"/>
        </w:rPr>
        <w:t xml:space="preserve">Hazardous air pollutant early reduction application evaluation review shall follow the procedures established in </w:t>
      </w:r>
      <w:hyperlink r:id="rId110">
        <w:r>
          <w:rPr>
            <w:rStyle w:val="Hyperlink"/>
            <w:rFonts w:ascii="Times New Roman" w:hAnsi="Times New Roman"/>
            <w:b w:val="false"/>
            <w:i w:val="false"/>
            <w:color w:val="000000"/>
            <w:sz w:val="22"/>
          </w:rPr>
          <w:t>567—paragraph 23.1(4)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24.107(6)</w:t>
      </w:r>
      <w:r>
        <w:rPr>
          <w:rFonts w:ascii="Times New Roman" w:hAnsi="Times New Roman"/>
          <w:b w:val="false"/>
          <w:i w:val="false"/>
          <w:color w:val="000000"/>
          <w:sz w:val="22"/>
        </w:rPr>
        <w:t> </w:t>
      </w:r>
      <w:r>
        <w:rPr>
          <w:rFonts w:ascii="Times New Roman" w:hAnsi="Times New Roman"/>
          <w:b w:val="false"/>
          <w:i/>
          <w:color w:val="000000"/>
          <w:sz w:val="22"/>
        </w:rPr>
        <w:t xml:space="preserve">Public notice and 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permitting authority shall provide public notice and an opportunity for public comments, including an opportunity for a hearing, before taking any of the following actions: issuance, denial, or renewal of a permit; or significant modification, revocation, or reissuance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shall be given by posting of the notice, including the draft permit, for the duration of the public comment period on a public website identified by the permitting authority and designed to give general public notice. Notice also shall be given to persons on a mailing list developed by the permitting authority, including those who request in writing to be on the list. The department may use other means if necessary to ensure adequate notice to the affected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notice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Title V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permitting authority processing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activity or activities involved in the permit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emissions change involved in any permit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air pollutants or contaminants to be emitted.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time and place of any possible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that any person may submit written and signed comments, or may request a public hearing, or both, on the proposed permit. A statement of procedures to request a public hearing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 person from whom additional information may be obtained. Information entitled to confidential treatment pursuant to Section 114(c) of the Act or state law shall not be released pursuant to this provision. However, the contents of a Title V permit shall not be entitled to protection under Section 114(c)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Locations where copies of the permit application and the proposed permit may be reviewed and the times at which they shall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least 30 days shall be provided for public comment. Notice of any public hearing shall be given at least 30 days in advance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person may request a public hearing. A request for a public hearing shall be in writing and shall state the person’s interest in the subject matter and the nature of the issues proposed to be raised at the hearing. The director shall hold a public hearing upon finding, on the basis of requests, a significant degree of relevant public interest in a draft permit. A public hearing also may be held at the director’s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director shall keep a record of the commenters and of the issues raised during the public participation process and shall prepare written responses to all comments received. At the time a final decision is made, the record and copies of the director’s responses shall be made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permitting authority shall provide notice and opportunity for participation by affected states as provided by </w:t>
      </w:r>
      <w:hyperlink r:id="rId111">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24.107(7)</w:t>
      </w:r>
      <w:r>
        <w:rPr>
          <w:rFonts w:ascii="Times New Roman" w:hAnsi="Times New Roman"/>
          <w:b w:val="false"/>
          <w:i w:val="false"/>
          <w:color w:val="000000"/>
          <w:sz w:val="22"/>
        </w:rPr>
        <w:t> </w:t>
      </w:r>
      <w:r>
        <w:rPr>
          <w:rFonts w:ascii="Times New Roman" w:hAnsi="Times New Roman"/>
          <w:b w:val="false"/>
          <w:i/>
          <w:color w:val="000000"/>
          <w:sz w:val="22"/>
        </w:rPr>
        <w:t xml:space="preserve">Permit review by the EPA and affected 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Transmission of information to the Administrator. </w:t>
      </w:r>
      <w:r>
        <w:rPr>
          <w:rFonts w:ascii="Times New Roman" w:hAnsi="Times New Roman"/>
          <w:b w:val="false"/>
          <w:i w:val="false"/>
          <w:color w:val="000000"/>
          <w:sz w:val="22"/>
        </w:rPr>
        <w:t xml:space="preserve">Except as provided in </w:t>
      </w:r>
      <w:hyperlink r:id="rId112">
        <w:r>
          <w:rPr>
            <w:rStyle w:val="Hyperlink"/>
            <w:rFonts w:ascii="Times New Roman" w:hAnsi="Times New Roman"/>
            <w:b w:val="false"/>
            <w:i w:val="false"/>
            <w:color w:val="000000"/>
            <w:sz w:val="22"/>
          </w:rPr>
          <w:t>24.107(2)</w:t>
        </w:r>
      </w:hyperlink>
      <w:r>
        <w:rPr>
          <w:rFonts w:ascii="Times New Roman" w:hAnsi="Times New Roman"/>
          <w:b w:val="false"/>
          <w:i w:val="false"/>
          <w:color w:val="000000"/>
          <w:sz w:val="22"/>
        </w:rPr>
        <w:t xml:space="preserve"> or waived by the Administrator, the director shall make available to the Administrator each permit application or modification application, including any attachments and compliance plans; each proposed permit; and each final permit. For purposes of this subrule, the application information may be provided in a computer-readable format compatible with the Administrator’s national database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by affected states. </w:t>
      </w:r>
      <w:r>
        <w:rPr>
          <w:rFonts w:ascii="Times New Roman" w:hAnsi="Times New Roman"/>
          <w:b w:val="false"/>
          <w:i w:val="false"/>
          <w:color w:val="000000"/>
          <w:sz w:val="22"/>
        </w:rPr>
        <w:t xml:space="preserve">The director shall provide notice of each draft permit to any affected state on or before the time that public notice is provided to the public pursuant to </w:t>
      </w:r>
      <w:hyperlink r:id="rId113">
        <w:r>
          <w:rPr>
            <w:rStyle w:val="Hyperlink"/>
            <w:rFonts w:ascii="Times New Roman" w:hAnsi="Times New Roman"/>
            <w:b w:val="false"/>
            <w:i w:val="false"/>
            <w:color w:val="000000"/>
            <w:sz w:val="22"/>
          </w:rPr>
          <w:t>24.107(6)</w:t>
        </w:r>
      </w:hyperlink>
      <w:r>
        <w:rPr>
          <w:rFonts w:ascii="Times New Roman" w:hAnsi="Times New Roman"/>
          <w:b w:val="false"/>
          <w:i w:val="false"/>
          <w:color w:val="000000"/>
          <w:sz w:val="22"/>
        </w:rPr>
        <w:t xml:space="preserve">, except to the extent that </w:t>
      </w:r>
      <w:hyperlink r:id="rId114">
        <w:r>
          <w:rPr>
            <w:rStyle w:val="Hyperlink"/>
            <w:rFonts w:ascii="Times New Roman" w:hAnsi="Times New Roman"/>
            <w:b w:val="false"/>
            <w:i w:val="false"/>
            <w:color w:val="000000"/>
            <w:sz w:val="22"/>
          </w:rPr>
          <w:t>24.112(3)</w:t>
        </w:r>
      </w:hyperlink>
      <w:r>
        <w:rPr>
          <w:rFonts w:ascii="Times New Roman" w:hAnsi="Times New Roman"/>
          <w:b w:val="false"/>
          <w:i w:val="false"/>
          <w:color w:val="000000"/>
          <w:sz w:val="22"/>
        </w:rPr>
        <w:t xml:space="preserve"> requires the timing of the notice to be different. If the director refuses to accept a recommendation of any affected state, submitted during the public or affected state review period, then the director shall notify the Administrator and the affected state in writing. The notification shall include the director’s reasons for not accepting the recommendation(s). The director shall not be required to accept recommendations that are not based on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EPA objection. </w:t>
      </w:r>
      <w:r>
        <w:rPr>
          <w:rFonts w:ascii="Times New Roman" w:hAnsi="Times New Roman"/>
          <w:b w:val="false"/>
          <w:i w:val="false"/>
          <w:color w:val="000000"/>
          <w:sz w:val="22"/>
        </w:rPr>
        <w:t xml:space="preserve">No permit for which an application must be transmitted to the Administrator shall be issued if the Administrator objects in writing to its issuance as not in compliance with the applicable requirements within 45 days after receiving a copy of the proposed permit and necessary supporting information under </w:t>
      </w:r>
      <w:hyperlink r:id="rId115">
        <w:r>
          <w:rPr>
            <w:rStyle w:val="Hyperlink"/>
            <w:rFonts w:ascii="Times New Roman" w:hAnsi="Times New Roman"/>
            <w:b w:val="false"/>
            <w:i w:val="false"/>
            <w:color w:val="000000"/>
            <w:sz w:val="22"/>
          </w:rPr>
          <w:t>24.107(7)</w:t>
        </w:r>
      </w:hyperlink>
      <w:r>
        <w:rPr>
          <w:rFonts w:ascii="Times New Roman" w:hAnsi="Times New Roman"/>
          <w:b w:val="false"/>
          <w:i/>
          <w:color w:val="000000"/>
          <w:sz w:val="22"/>
        </w:rPr>
        <w:t>“a.”</w:t>
      </w:r>
      <w:r>
        <w:rPr>
          <w:rFonts w:ascii="Times New Roman" w:hAnsi="Times New Roman"/>
          <w:b w:val="false"/>
          <w:i w:val="false"/>
          <w:color w:val="000000"/>
          <w:sz w:val="22"/>
        </w:rPr>
        <w:t xml:space="preserve"> Within 90 days after the date of an EPA objection made pursuant to this rule, the director shall submit a response to the objection, if the objection has not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24.107(8)</w:t>
      </w:r>
      <w:r>
        <w:rPr>
          <w:rFonts w:ascii="Times New Roman" w:hAnsi="Times New Roman"/>
          <w:b w:val="false"/>
          <w:i w:val="false"/>
          <w:color w:val="000000"/>
          <w:sz w:val="22"/>
        </w:rPr>
        <w:t> </w:t>
      </w:r>
      <w:r>
        <w:rPr>
          <w:rFonts w:ascii="Times New Roman" w:hAnsi="Times New Roman"/>
          <w:b w:val="false"/>
          <w:i/>
          <w:color w:val="000000"/>
          <w:sz w:val="22"/>
        </w:rPr>
        <w:t xml:space="preserve">Public petitions to the Administrator regarding Title V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Administrator does not object to a proposed permit, any person may petition the Administrator within 60 days after the expiration of the Administrator’s 45-day review period to make an objection pursuant to 40 CFR §70.8(d).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who petitions the Administrator pursuant to the provisions of 40 CFR §70.8(d) shall notify the department by certified mail of such petition immediately, and in no case more than ten days following the date the petition is submitted to the EPA. Such notice shall include a copy of the petition submitted to the EPA and a separate written statement detailing the grounds for the objection(s) and whether the objection(s) was raised during the public comment period. A petition for review shall not stay the effectiveness of a permit or its requirements if the permit was issued after the end of the 45-day EPA review period and prior to the Administrator’s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Administrator objects to the permit as a result of a petition filed pursuant to 40 CFR §70.8(d), then the director shall not issue a permit until the Administrator’s objection has been resolved. However, if the director has issued a permit prior to receipt of the Administrator’s objection, and the Administrator modifies, terminates, or revokes such permit, consistent with the procedures in 40 CFR §70.7, then the director may thereafter issue only a revised permit that satisfies the Administrator’s objection. In any case, the source shall not be in violation of the requirement to have submitted a timely and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24.107(9)</w:t>
      </w:r>
      <w:r>
        <w:rPr>
          <w:rFonts w:ascii="Times New Roman" w:hAnsi="Times New Roman"/>
          <w:b w:val="false"/>
          <w:i w:val="false"/>
          <w:color w:val="000000"/>
          <w:sz w:val="22"/>
        </w:rPr>
        <w:t> </w:t>
      </w:r>
      <w:r>
        <w:rPr>
          <w:rFonts w:ascii="Times New Roman" w:hAnsi="Times New Roman"/>
          <w:b w:val="false"/>
          <w:i/>
          <w:color w:val="000000"/>
          <w:sz w:val="22"/>
        </w:rPr>
        <w:t xml:space="preserve">Application denial. </w:t>
      </w:r>
      <w:r>
        <w:rPr>
          <w:rFonts w:ascii="Times New Roman" w:hAnsi="Times New Roman"/>
          <w:b w:val="false"/>
          <w:i w:val="false"/>
          <w:color w:val="000000"/>
          <w:sz w:val="22"/>
        </w:rPr>
        <w:t>A Title V permit application may be denied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finds that a source is not in compliance with any applicable requirement;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knowingly submits false information in a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24.107(10)</w:t>
      </w:r>
      <w:r>
        <w:rPr>
          <w:rFonts w:ascii="Times New Roman" w:hAnsi="Times New Roman"/>
          <w:b w:val="false"/>
          <w:i w:val="false"/>
          <w:color w:val="000000"/>
          <w:sz w:val="22"/>
        </w:rPr>
        <w:t> </w:t>
      </w:r>
      <w:r>
        <w:rPr>
          <w:rFonts w:ascii="Times New Roman" w:hAnsi="Times New Roman"/>
          <w:b w:val="false"/>
          <w:i/>
          <w:color w:val="000000"/>
          <w:sz w:val="22"/>
        </w:rPr>
        <w:t xml:space="preserve">Retention of permit records. </w:t>
      </w:r>
      <w:r>
        <w:rPr>
          <w:rFonts w:ascii="Times New Roman" w:hAnsi="Times New Roman"/>
          <w:b w:val="false"/>
          <w:i w:val="false"/>
          <w:color w:val="000000"/>
          <w:sz w:val="22"/>
        </w:rPr>
        <w:t>The director shall keep all records associated with each permit for a minimum of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567—24.108</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content. </w:t>
      </w:r>
      <w:r>
        <w:rPr>
          <w:rFonts w:ascii="Times New Roman" w:hAnsi="Times New Roman"/>
          <w:b w:val="false"/>
          <w:i w:val="false"/>
          <w:color w:val="000000"/>
          <w:sz w:val="22"/>
        </w:rPr>
        <w:t>Each Title V permit shall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w:t>
      </w:r>
      <w:r>
        <w:rPr>
          <w:rFonts w:ascii="Times New Roman" w:hAnsi="Times New Roman"/>
          <w:b w:val="false"/>
          <w:i w:val="false"/>
          <w:color w:val="000000"/>
          <w:sz w:val="22"/>
        </w:rPr>
        <w:t> </w:t>
      </w:r>
      <w:r>
        <w:rPr>
          <w:rFonts w:ascii="Times New Roman" w:hAnsi="Times New Roman"/>
          <w:b w:val="false"/>
          <w:i w:val="false"/>
          <w:color w:val="000000"/>
          <w:sz w:val="22"/>
        </w:rPr>
        <w:t>Enforceable emission limitations and standards. Each permit issued pursuant to this chapter shall include emissions limitations and standards, including those operational requirements and limitations that ensure compliance with all applicable requirements at the time of permit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shall specify and reference the origin of and authority for each term or condition and identify any difference in form as compared to the applicable requirement upon which the term or condition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 shall state that, where an applicable requirement of the Act is more stringent than an applicable requirement of regulations promulgated under Title IV of the Act, both provisions shall be incorporated into the permit and shall be enforceable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applicable implementation plan allows a determination of an alternative emission limit at a Title V source, equivalent to that contained in the plan, to be made in the permit issuance, renewal, or significant modification process, and the state elects to use such process, then any permit containing such equivalency determination shall contain provisions to ensure that any resulting emissions limit has been demonstrated to be quantifiable, accountable, enforceable, and based on replicable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early reduction demonstration is approved as part of the Title V permit application, the permit shall include enforceable alternative emissions limitations for the source reflecting the reduction that qualified the source for the compliance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Fugitive emissions from a source shall be included in the permit in the same manner as stack emissions, regardless of whether the source category in question is included in the list of sources contained in the definition of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all major sources, all applicable requirements for all relevant emissions units in the major source shall be included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24.108(2)</w:t>
      </w:r>
      <w:r>
        <w:rPr>
          <w:rFonts w:ascii="Times New Roman" w:hAnsi="Times New Roman"/>
          <w:b w:val="false"/>
          <w:i w:val="false"/>
          <w:color w:val="000000"/>
          <w:sz w:val="22"/>
        </w:rPr>
        <w:t> </w:t>
      </w:r>
      <w:r>
        <w:rPr>
          <w:rFonts w:ascii="Times New Roman" w:hAnsi="Times New Roman"/>
          <w:b w:val="false"/>
          <w:i w:val="false"/>
          <w:color w:val="000000"/>
          <w:sz w:val="22"/>
        </w:rPr>
        <w:t>Permit duration. The permit shall specify a fixed term not to exceed five years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Permits issued to Title IV affected sources shall have a fixed term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Permits issued to solid waste incineration units combusting municipal waste subject to standards under Section 129(e) of the Act shall have a term not to exceed 12 years. Such permits shall be reviewed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24.108(3)</w:t>
      </w:r>
      <w:r>
        <w:rPr>
          <w:rFonts w:ascii="Times New Roman" w:hAnsi="Times New Roman"/>
          <w:b w:val="false"/>
          <w:i w:val="false"/>
          <w:color w:val="000000"/>
          <w:sz w:val="22"/>
        </w:rPr>
        <w:t> </w:t>
      </w:r>
      <w:r>
        <w:rPr>
          <w:rFonts w:ascii="Times New Roman" w:hAnsi="Times New Roman"/>
          <w:b w:val="false"/>
          <w:i w:val="false"/>
          <w:color w:val="000000"/>
          <w:sz w:val="22"/>
        </w:rPr>
        <w:t>Monitoring. Each permit shall contain the following requirements with respect to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emissions monitoring and analysis procedures or test methods required under the applicable requirements, including any procedures and methods promulgated pursuant to Section 114(a)(3) or 504(b)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applicable requirement does not require periodic testing or instrumental or noninstrumental monitoring (which may consist of recordkeeping designed to serve as monitoring), periodic monitoring sufficient to yield reliable data from the relevant time period that are representative of the source’s compliance with the permit, as reported pursuant to </w:t>
      </w:r>
      <w:hyperlink r:id="rId116">
        <w:r>
          <w:rPr>
            <w:rStyle w:val="Hyperlink"/>
            <w:rFonts w:ascii="Times New Roman" w:hAnsi="Times New Roman"/>
            <w:b w:val="false"/>
            <w:i w:val="false"/>
            <w:color w:val="000000"/>
            <w:sz w:val="22"/>
          </w:rPr>
          <w:t>24.108(5)</w:t>
        </w:r>
      </w:hyperlink>
      <w:r>
        <w:rPr>
          <w:rFonts w:ascii="Times New Roman" w:hAnsi="Times New Roman"/>
          <w:b w:val="false"/>
          <w:i w:val="false"/>
          <w:color w:val="000000"/>
          <w:sz w:val="22"/>
        </w:rPr>
        <w:t>. Such monitoring shall be determined by application of the “Periodic Monitoring Guidance” (as amended through October 24, 2012)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necessary, requirements concerning the use, maintenance, and, where appropriate, installation of monitoring equipment or methods;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required, Compliance Assurance Monitoring (CAM) consistent with 40 CFR Part 64 (as amended through October 22, 1997).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24.108(4)</w:t>
      </w:r>
      <w:r>
        <w:rPr>
          <w:rFonts w:ascii="Times New Roman" w:hAnsi="Times New Roman"/>
          <w:b w:val="false"/>
          <w:i w:val="false"/>
          <w:color w:val="000000"/>
          <w:sz w:val="22"/>
        </w:rPr>
        <w:t> </w:t>
      </w:r>
      <w:r>
        <w:rPr>
          <w:rFonts w:ascii="Times New Roman" w:hAnsi="Times New Roman"/>
          <w:b w:val="false"/>
          <w:i w:val="false"/>
          <w:color w:val="000000"/>
          <w:sz w:val="22"/>
        </w:rPr>
        <w:t>Recordkeeping. With respect to recordkeeping, the permit shall incorporate all applicable recordkeeping requirements and require, where applicable,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of required monitoring information that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place as defined in the permit, and time of sampling or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the analyses were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company or entity that performed the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analytical techniques or methods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results of such analyses;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operating conditions as existing at the time of sampling or measurement;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Retention of records of all required monitoring data and support information for a period of at least five years from the date of the monitoring sample, measurement, report, or application. Support information includes all calibration and maintenance records and all original strip-chart and other recordings for continuous monitoring instrumentation, and copies of all reports required by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24.108(5)</w:t>
      </w:r>
      <w:r>
        <w:rPr>
          <w:rFonts w:ascii="Times New Roman" w:hAnsi="Times New Roman"/>
          <w:b w:val="false"/>
          <w:i w:val="false"/>
          <w:color w:val="000000"/>
          <w:sz w:val="22"/>
        </w:rPr>
        <w:t> </w:t>
      </w:r>
      <w:r>
        <w:rPr>
          <w:rFonts w:ascii="Times New Roman" w:hAnsi="Times New Roman"/>
          <w:b w:val="false"/>
          <w:i w:val="false"/>
          <w:color w:val="000000"/>
          <w:sz w:val="22"/>
        </w:rPr>
        <w:t>Reporting. With respect to reporting, the permit shall incorporate all applicable reporting requirements and shall require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 of reports of any required monitoring at least every six months. All instances of deviations from permit requirements must be clearly identified in such reports. All required reports must be certified by a responsible official consistent with </w:t>
      </w:r>
      <w:hyperlink r:id="rId117">
        <w:r>
          <w:rPr>
            <w:rStyle w:val="Hyperlink"/>
            <w:rFonts w:ascii="Times New Roman" w:hAnsi="Times New Roman"/>
            <w:b w:val="false"/>
            <w:i w:val="false"/>
            <w:color w:val="000000"/>
            <w:sz w:val="22"/>
          </w:rPr>
          <w:t>24.107(4)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Prompt reporting of deviations from permit requirements, including those attributable to upset conditions as defined in the permit, the probable cause of such deviations, and any corrective actions or preventive measures taken. The director shall define “prompt” in relation to the degree and type of deviation likely to occur and the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24.108(6)</w:t>
      </w:r>
      <w:r>
        <w:rPr>
          <w:rFonts w:ascii="Times New Roman" w:hAnsi="Times New Roman"/>
          <w:b w:val="false"/>
          <w:i w:val="false"/>
          <w:color w:val="000000"/>
          <w:sz w:val="22"/>
        </w:rPr>
        <w:t> </w:t>
      </w:r>
      <w:r>
        <w:rPr>
          <w:rFonts w:ascii="Times New Roman" w:hAnsi="Times New Roman"/>
          <w:b w:val="false"/>
          <w:i w:val="false"/>
          <w:color w:val="000000"/>
          <w:sz w:val="22"/>
        </w:rPr>
        <w:t>Risk management plan. Pursuant to Section 112(r)(7)(E) of the Act, if the source is required to develop and register a risk management plan pursuant to Section 112(r) of the Act, the permit shall state the requirement for submission of the plan to the air quality bureau of the department. The permit shall also require filing the plan with appropriate authorities and an annual certification to the department that the plan is being properly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24.108(7)</w:t>
      </w:r>
      <w:r>
        <w:rPr>
          <w:rFonts w:ascii="Times New Roman" w:hAnsi="Times New Roman"/>
          <w:b w:val="false"/>
          <w:i w:val="false"/>
          <w:color w:val="000000"/>
          <w:sz w:val="22"/>
        </w:rPr>
        <w:t> </w:t>
      </w:r>
      <w:r>
        <w:rPr>
          <w:rFonts w:ascii="Times New Roman" w:hAnsi="Times New Roman"/>
          <w:b w:val="false"/>
          <w:i w:val="false"/>
          <w:color w:val="000000"/>
          <w:sz w:val="22"/>
        </w:rPr>
        <w:t>A permit condition prohibiting emissions exceeding any allowances that the affected source lawfully holds under Title IV of the Act or the regulations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permit revision shall be required for increases in emissions that are authorized by allowances acquired pursuant to the acid rain program, provided that such increases do not require a permit revision under any other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limit shall be placed on the number of allowances held by the Title IV affected source. The Title IV-affected source may not, however, use allowances as a defense to noncompliance with any other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such allowances shall be accounted for according to the procedures established in regulations promulgated under Title IV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permit issued pursuant to the requirements of these rules and Title V of the Act to a unit subject to the provisions of Title IV of the Act shall include conditions prohibiting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 emissions of sulfur dioxide in excess of the number of allowances to emit sulfur dioxide held by the owners or operators of the unit or the designated representative of the owners or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Exceedances of applicable emission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use of any allowance prior to the year for which it was allocated.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Contravention of any other provision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24.108(8)</w:t>
      </w:r>
      <w:r>
        <w:rPr>
          <w:rFonts w:ascii="Times New Roman" w:hAnsi="Times New Roman"/>
          <w:b w:val="false"/>
          <w:i w:val="false"/>
          <w:color w:val="000000"/>
          <w:sz w:val="22"/>
        </w:rPr>
        <w:t> </w:t>
      </w:r>
      <w:r>
        <w:rPr>
          <w:rFonts w:ascii="Times New Roman" w:hAnsi="Times New Roman"/>
          <w:b w:val="false"/>
          <w:i w:val="false"/>
          <w:color w:val="000000"/>
          <w:sz w:val="22"/>
        </w:rPr>
        <w:t>Severability clause. The permit shall contain a severability clause to ensure the continued validity of the various permit requirements in the event of a challenge to any portions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24.108(9)</w:t>
      </w:r>
      <w:r>
        <w:rPr>
          <w:rFonts w:ascii="Times New Roman" w:hAnsi="Times New Roman"/>
          <w:b w:val="false"/>
          <w:i w:val="false"/>
          <w:color w:val="000000"/>
          <w:sz w:val="22"/>
        </w:rPr>
        <w:t> </w:t>
      </w:r>
      <w:r>
        <w:rPr>
          <w:rFonts w:ascii="Times New Roman" w:hAnsi="Times New Roman"/>
          <w:b w:val="false"/>
          <w:i w:val="false"/>
          <w:color w:val="000000"/>
          <w:sz w:val="22"/>
        </w:rPr>
        <w:t>Other provisions. The Title V permit shall contain provisions stating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permittee must comply with all conditions of the Title V permit. Any permit noncompliance constitutes a violation of the Act and is grounds for enforcement action; for a permit termination, revocation and reissuance, or modification; or for denial of a permit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 to halt or reduce activity not a defense. It shall not be a defense for a permittee in an enforcement action that it would have been necessary to halt or reduce the permitted activity in order to maintain compliance with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permit may be modified; revoked, reopened, and reissued; or terminated for cause. The filing of a request by the permittee for a permit modification, revocation and reissuance, or termination, or of a notification of planned changes or anticipated noncompliance, does not stay any permit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permit does not convey any property rights of any sort, or any exclusive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permittee shall furnish to the director, within a reasonable time, any information that the director may request in writing to determine whether cause exists for modifying, revoking and reissuing, or terminating the permit or to determine compliance with the permit. Upon request, the permittee also shall furnish to the director copies of records required to be kept by the permit or, for information claimed to be confidential, the permittee shall furnish such records directly to the Administrator of the EPA along with a claim of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24.108(10)</w:t>
      </w:r>
      <w:r>
        <w:rPr>
          <w:rFonts w:ascii="Times New Roman" w:hAnsi="Times New Roman"/>
          <w:b w:val="false"/>
          <w:i w:val="false"/>
          <w:color w:val="000000"/>
          <w:sz w:val="22"/>
        </w:rPr>
        <w:t> </w:t>
      </w:r>
      <w:r>
        <w:rPr>
          <w:rFonts w:ascii="Times New Roman" w:hAnsi="Times New Roman"/>
          <w:b w:val="false"/>
          <w:i w:val="false"/>
          <w:color w:val="000000"/>
          <w:sz w:val="22"/>
        </w:rPr>
        <w:t xml:space="preserve">Fees. The permit shall include a provision to ensure that the Title V permittee pays fees to the director pursuant to </w:t>
      </w:r>
      <w:hyperlink r:id="rId118">
        <w:r>
          <w:rPr>
            <w:rStyle w:val="Hyperlink"/>
            <w:rFonts w:ascii="Times New Roman" w:hAnsi="Times New Roman"/>
            <w:b w:val="false"/>
            <w:i w:val="false"/>
            <w:color w:val="000000"/>
            <w:sz w:val="22"/>
          </w:rPr>
          <w:t>567—30.4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24.108(11)</w:t>
      </w:r>
      <w:r>
        <w:rPr>
          <w:rFonts w:ascii="Times New Roman" w:hAnsi="Times New Roman"/>
          <w:b w:val="false"/>
          <w:i w:val="false"/>
          <w:color w:val="000000"/>
          <w:sz w:val="22"/>
        </w:rPr>
        <w:t> </w:t>
      </w:r>
      <w:r>
        <w:rPr>
          <w:rFonts w:ascii="Times New Roman" w:hAnsi="Times New Roman"/>
          <w:b w:val="false"/>
          <w:i w:val="false"/>
          <w:color w:val="000000"/>
          <w:sz w:val="22"/>
        </w:rPr>
        <w:t>Emissions trading. A provision of the permit shall state that no permit revision shall be required, under any approved economic incentives, marketable permits, emissions trading and other similar programs or processes for changes that are provided for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24.108(12)</w:t>
      </w:r>
      <w:r>
        <w:rPr>
          <w:rFonts w:ascii="Times New Roman" w:hAnsi="Times New Roman"/>
          <w:b w:val="false"/>
          <w:i w:val="false"/>
          <w:color w:val="000000"/>
          <w:sz w:val="22"/>
        </w:rPr>
        <w:t> </w:t>
      </w:r>
      <w:r>
        <w:rPr>
          <w:rFonts w:ascii="Times New Roman" w:hAnsi="Times New Roman"/>
          <w:b w:val="false"/>
          <w:i w:val="false"/>
          <w:color w:val="000000"/>
          <w:sz w:val="22"/>
        </w:rPr>
        <w:t>Terms and conditions for reasonably anticipated operating scenarios identified by the source in its application and as approved by the director. Such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require the source, contemporaneously with making a change from one operating scenario to another, to record in a log at the permitted facility a record of the scenario under which it is operating;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ensure that the terms and conditions of each such alternative scenario meet all applicable requirements and the requirements of the department’s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24.108(13)</w:t>
      </w:r>
      <w:r>
        <w:rPr>
          <w:rFonts w:ascii="Times New Roman" w:hAnsi="Times New Roman"/>
          <w:b w:val="false"/>
          <w:i w:val="false"/>
          <w:color w:val="000000"/>
          <w:sz w:val="22"/>
        </w:rPr>
        <w:t> </w:t>
      </w:r>
      <w:r>
        <w:rPr>
          <w:rFonts w:ascii="Times New Roman" w:hAnsi="Times New Roman"/>
          <w:b w:val="false"/>
          <w:i w:val="false"/>
          <w:color w:val="000000"/>
          <w:sz w:val="22"/>
        </w:rPr>
        <w:t>Terms and conditions, if the permit applicant requests them, for the trading of emissions increases and decreases in the permitted facility, to the extent that the applicable requirements provide for trading such increases and decreases without a case-by-case approval of each emissions trade. Such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include all terms required under </w:t>
      </w:r>
      <w:hyperlink r:id="rId119">
        <w:r>
          <w:rPr>
            <w:rStyle w:val="Hyperlink"/>
            <w:rFonts w:ascii="Times New Roman" w:hAnsi="Times New Roman"/>
            <w:b w:val="false"/>
            <w:i w:val="false"/>
            <w:color w:val="000000"/>
            <w:sz w:val="22"/>
          </w:rPr>
          <w:t>24.108(1)</w:t>
        </w:r>
      </w:hyperlink>
      <w:r>
        <w:rPr>
          <w:rFonts w:ascii="Times New Roman" w:hAnsi="Times New Roman"/>
          <w:b w:val="false"/>
          <w:i w:val="false"/>
          <w:color w:val="000000"/>
          <w:sz w:val="22"/>
        </w:rPr>
        <w:t xml:space="preserve"> to </w:t>
      </w:r>
      <w:hyperlink r:id="rId120">
        <w:r>
          <w:rPr>
            <w:rStyle w:val="Hyperlink"/>
            <w:rFonts w:ascii="Times New Roman" w:hAnsi="Times New Roman"/>
            <w:b w:val="false"/>
            <w:i w:val="false"/>
            <w:color w:val="000000"/>
            <w:sz w:val="22"/>
          </w:rPr>
          <w:t>24.108(13)</w:t>
        </w:r>
      </w:hyperlink>
      <w:r>
        <w:rPr>
          <w:rFonts w:ascii="Times New Roman" w:hAnsi="Times New Roman"/>
          <w:b w:val="false"/>
          <w:i w:val="false"/>
          <w:color w:val="000000"/>
          <w:sz w:val="22"/>
        </w:rPr>
        <w:t xml:space="preserve"> and </w:t>
      </w:r>
      <w:hyperlink r:id="rId121">
        <w:r>
          <w:rPr>
            <w:rStyle w:val="Hyperlink"/>
            <w:rFonts w:ascii="Times New Roman" w:hAnsi="Times New Roman"/>
            <w:b w:val="false"/>
            <w:i w:val="false"/>
            <w:color w:val="000000"/>
            <w:sz w:val="22"/>
          </w:rPr>
          <w:t>24.108(15)</w:t>
        </w:r>
      </w:hyperlink>
      <w:r>
        <w:rPr>
          <w:rFonts w:ascii="Times New Roman" w:hAnsi="Times New Roman"/>
          <w:b w:val="false"/>
          <w:i w:val="false"/>
          <w:color w:val="000000"/>
          <w:sz w:val="22"/>
        </w:rPr>
        <w:t xml:space="preserve"> to determine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meet all applicable requirements of the Act and regulations promulgated thereunder and all requirements of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May extend the permit shield described in </w:t>
      </w:r>
      <w:hyperlink r:id="rId122">
        <w:r>
          <w:rPr>
            <w:rStyle w:val="Hyperlink"/>
            <w:rFonts w:ascii="Times New Roman" w:hAnsi="Times New Roman"/>
            <w:b w:val="false"/>
            <w:i w:val="false"/>
            <w:color w:val="000000"/>
            <w:sz w:val="22"/>
          </w:rPr>
          <w:t>24.108(18)</w:t>
        </w:r>
      </w:hyperlink>
      <w:r>
        <w:rPr>
          <w:rFonts w:ascii="Times New Roman" w:hAnsi="Times New Roman"/>
          <w:b w:val="false"/>
          <w:i w:val="false"/>
          <w:color w:val="000000"/>
          <w:sz w:val="22"/>
        </w:rPr>
        <w:t xml:space="preserve"> to all terms and conditions that allow such increases and decreases in emissions.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24.108(14)</w:t>
      </w:r>
      <w:r>
        <w:rPr>
          <w:rFonts w:ascii="Times New Roman" w:hAnsi="Times New Roman"/>
          <w:b w:val="false"/>
          <w:i w:val="false"/>
          <w:color w:val="000000"/>
          <w:sz w:val="22"/>
        </w:rPr>
        <w:t> </w:t>
      </w:r>
      <w:r>
        <w:rPr>
          <w:rFonts w:ascii="Times New Roman" w:hAnsi="Times New Roman"/>
          <w:b w:val="false"/>
          <w:i w:val="false"/>
          <w:color w:val="000000"/>
          <w:sz w:val="22"/>
        </w:rPr>
        <w:t>Federally enforceable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and conditions in a Title V permit, including any provisions designed to limit a source’s potential to emit, are enforceable by the Administrator and citizens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123">
        <w:r>
          <w:rPr>
            <w:rStyle w:val="Hyperlink"/>
            <w:rFonts w:ascii="Times New Roman" w:hAnsi="Times New Roman"/>
            <w:b w:val="false"/>
            <w:i w:val="false"/>
            <w:color w:val="000000"/>
            <w:sz w:val="22"/>
          </w:rPr>
          <w:t>24.108(14)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director shall specifically designate as not being federally enforceable under the Act any terms and conditions included in the permit that are not required under the Act or under any of its applicable requirements. Terms and conditions so designated are not subject to the requirements of 40 CFR §70.7 or §70.8.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24.108(15)</w:t>
      </w:r>
      <w:r>
        <w:rPr>
          <w:rFonts w:ascii="Times New Roman" w:hAnsi="Times New Roman"/>
          <w:b w:val="false"/>
          <w:i w:val="false"/>
          <w:color w:val="000000"/>
          <w:sz w:val="22"/>
        </w:rPr>
        <w:t> </w:t>
      </w:r>
      <w:r>
        <w:rPr>
          <w:rFonts w:ascii="Times New Roman" w:hAnsi="Times New Roman"/>
          <w:b w:val="false"/>
          <w:i w:val="false"/>
          <w:color w:val="000000"/>
          <w:sz w:val="22"/>
        </w:rPr>
        <w:t>Compliance requirements. All Title V permits shall contain the following elements with respect 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the provisions of </w:t>
      </w:r>
      <w:hyperlink r:id="rId124">
        <w:r>
          <w:rPr>
            <w:rStyle w:val="Hyperlink"/>
            <w:rFonts w:ascii="Times New Roman" w:hAnsi="Times New Roman"/>
            <w:b w:val="false"/>
            <w:i w:val="false"/>
            <w:color w:val="000000"/>
            <w:sz w:val="22"/>
          </w:rPr>
          <w:t>24.108(3)</w:t>
        </w:r>
      </w:hyperlink>
      <w:r>
        <w:rPr>
          <w:rFonts w:ascii="Times New Roman" w:hAnsi="Times New Roman"/>
          <w:b w:val="false"/>
          <w:i w:val="false"/>
          <w:color w:val="000000"/>
          <w:sz w:val="22"/>
        </w:rPr>
        <w:t xml:space="preserve"> to </w:t>
      </w:r>
      <w:hyperlink r:id="rId125">
        <w:r>
          <w:rPr>
            <w:rStyle w:val="Hyperlink"/>
            <w:rFonts w:ascii="Times New Roman" w:hAnsi="Times New Roman"/>
            <w:b w:val="false"/>
            <w:i w:val="false"/>
            <w:color w:val="000000"/>
            <w:sz w:val="22"/>
          </w:rPr>
          <w:t>24.108(5)</w:t>
        </w:r>
      </w:hyperlink>
      <w:r>
        <w:rPr>
          <w:rFonts w:ascii="Times New Roman" w:hAnsi="Times New Roman"/>
          <w:b w:val="false"/>
          <w:i w:val="false"/>
          <w:color w:val="000000"/>
          <w:sz w:val="22"/>
        </w:rPr>
        <w:t xml:space="preserve">, compliance certification, testing, monitoring, reporting, and recordkeeping requirements sufficient to ensure compliance with the terms and conditions of the permit. Any documents, including reports, required by a permit shall contain a certification by a responsible official that meets the requirements of </w:t>
      </w:r>
      <w:hyperlink r:id="rId126">
        <w:r>
          <w:rPr>
            <w:rStyle w:val="Hyperlink"/>
            <w:rFonts w:ascii="Times New Roman" w:hAnsi="Times New Roman"/>
            <w:b w:val="false"/>
            <w:i w:val="false"/>
            <w:color w:val="000000"/>
            <w:sz w:val="22"/>
          </w:rPr>
          <w:t>24.107(4)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Inspection and entry provisions that require that, upon presentation of proper credentials, the permittee shall allow the director or the director’s authorized representative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Enter upon the permittee’s premises where a Title V source is located or emissions-related activity is conducted, or where records must be kept under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access to and copy, at reasonable times, any records that must be kept under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Inspect, at reasonable times, any facilities, equipment (including monitoring and air pollution control equipment), practices, or operations regulated or required under the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Sample or monitor, at reasonable times, substances or parameters for the purpose of ensuring compliance with the permit or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of compliance consistent with </w:t>
      </w:r>
      <w:hyperlink r:id="rId127">
        <w:r>
          <w:rPr>
            <w:rStyle w:val="Hyperlink"/>
            <w:rFonts w:ascii="Times New Roman" w:hAnsi="Times New Roman"/>
            <w:b w:val="false"/>
            <w:i w:val="false"/>
            <w:color w:val="000000"/>
            <w:sz w:val="22"/>
          </w:rPr>
          <w:t>24.105(2)</w:t>
        </w:r>
      </w:hyperlink>
      <w:r>
        <w:rPr>
          <w:rFonts w:ascii="Times New Roman" w:hAnsi="Times New Roman"/>
          <w:b w:val="false"/>
          <w:i/>
          <w:color w:val="000000"/>
          <w:sz w:val="22"/>
        </w:rPr>
        <w:t>“h,”</w:t>
      </w:r>
      <w:hyperlink r:id="rId128">
        <w:r>
          <w:rPr>
            <w:rStyle w:val="Hyperlink"/>
            <w:rFonts w:ascii="Times New Roman" w:hAnsi="Times New Roman"/>
            <w:b w:val="false"/>
            <w:i w:val="false"/>
            <w:color w:val="000000"/>
            <w:sz w:val="22"/>
          </w:rPr>
          <w:t>24.105(2)</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29">
        <w:r>
          <w:rPr>
            <w:rStyle w:val="Hyperlink"/>
            <w:rFonts w:ascii="Times New Roman" w:hAnsi="Times New Roman"/>
            <w:b w:val="false"/>
            <w:i w:val="false"/>
            <w:color w:val="000000"/>
            <w:sz w:val="22"/>
          </w:rPr>
          <w:t>24.105(3)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reports, consistent with an applicable schedule of compliance and with the provisions of </w:t>
      </w:r>
      <w:hyperlink r:id="rId130">
        <w:r>
          <w:rPr>
            <w:rStyle w:val="Hyperlink"/>
            <w:rFonts w:ascii="Times New Roman" w:hAnsi="Times New Roman"/>
            <w:b w:val="false"/>
            <w:i w:val="false"/>
            <w:color w:val="000000"/>
            <w:sz w:val="22"/>
          </w:rPr>
          <w:t>24.105(2)</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24.105(2)</w:t>
        </w:r>
      </w:hyperlink>
      <w:r>
        <w:rPr>
          <w:rFonts w:ascii="Times New Roman" w:hAnsi="Times New Roman"/>
          <w:b w:val="false"/>
          <w:i/>
          <w:color w:val="000000"/>
          <w:sz w:val="22"/>
        </w:rPr>
        <w:t>“j,”</w:t>
      </w:r>
      <w:r>
        <w:rPr>
          <w:rFonts w:ascii="Times New Roman" w:hAnsi="Times New Roman"/>
          <w:b w:val="false"/>
          <w:i w:val="false"/>
          <w:color w:val="000000"/>
          <w:sz w:val="22"/>
        </w:rPr>
        <w:t xml:space="preserve"> to be submitted at least every six months, or more frequently if specified in the applicable requirement or by the department in the permit. Such progress reports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for achieving the activities, milestones, or compliance required in the schedule of compliance, and dates when such activities, milestones, or compliance were achieved;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why any dates in the schedule of compliance were not or will not be met, and any preventive or corrective measures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Requirements for compliance certification with terms and conditions contained in the permit, including emission limitations, standards, or work practices. Permits shall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frequency of submissions of compliance certifications, which shall not be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means to monitor the compliance of the source with its emissions limitations, standards, and work practices, in accordance with the provisions of all applicable department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requirement that the compliance certification include: the identification of each term or condition of the permit that is the basis of the certification; the compliance status; whether compliance was continuous or intermittent; the method(s) used for determining the compliance status of the source, currently and over the reporting period consistent with all applicable department rules; and other facts as the director may require to determine the compliance status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requirement that all compliance certifications be submitted to the Administrator and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Such additional provisions as the director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Such additional provisions as may be specified pursuant to Sections 114(a)(3) and 504(b)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there is a federal implementation plan applicable to the source, a provision that compliance with the federal implementation plan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24.108(16)</w:t>
      </w:r>
      <w:r>
        <w:rPr>
          <w:rFonts w:ascii="Times New Roman" w:hAnsi="Times New Roman"/>
          <w:b w:val="false"/>
          <w:i w:val="false"/>
          <w:color w:val="000000"/>
          <w:sz w:val="22"/>
        </w:rPr>
        <w:t> </w:t>
      </w:r>
      <w:r>
        <w:rPr>
          <w:rFonts w:ascii="Times New Roman" w:hAnsi="Times New Roman"/>
          <w:b w:val="false"/>
          <w:i w:val="false"/>
          <w:color w:val="000000"/>
          <w:sz w:val="22"/>
        </w:rPr>
        <w:t>Emergency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a Title V permit, an “emergency” means any situation arising from sudden and reasonably unforeseeable events beyond the control of the source, including acts of God, which situation requires immediate corrective action to restore normal operation, and that causes the source to exceed a technology-based emission limitation under the permit, due to unavoidable increases in emissions attributable to the emergency. An emergency shall not include noncompliance to the extent caused by improperly designed equipment, lack of preventive maintenance, careless or improper operation, or operator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constitutes an affirmative defense to an action brought for noncompliance with such technology-based emission limitations if the conditions of </w:t>
      </w:r>
      <w:hyperlink r:id="rId132">
        <w:r>
          <w:rPr>
            <w:rStyle w:val="Hyperlink"/>
            <w:rFonts w:ascii="Times New Roman" w:hAnsi="Times New Roman"/>
            <w:b w:val="false"/>
            <w:i w:val="false"/>
            <w:color w:val="000000"/>
            <w:sz w:val="22"/>
          </w:rPr>
          <w:t>24.108(16)</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Requirements for affirmative defense. The affirmative defense of emergency shall be demonstrated by the source through properly signed, contemporaneous operating logs, or other relevant evidence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occurred and that the permittee can identify the cause(s) of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permitted facility was at the time being properly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During the period of the emergency the permittee took all reasonable steps to minimize levels of emissions that exceeded the emissions standards or other requirements of the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permittee submitted notice of the emergency to the director by certified mail within two working days of the time when emission limitations were exceeded due to the emergency. This notice fulfills the requirement of </w:t>
      </w:r>
      <w:hyperlink r:id="rId133">
        <w:r>
          <w:rPr>
            <w:rStyle w:val="Hyperlink"/>
            <w:rFonts w:ascii="Times New Roman" w:hAnsi="Times New Roman"/>
            <w:b w:val="false"/>
            <w:i w:val="false"/>
            <w:color w:val="000000"/>
            <w:sz w:val="22"/>
          </w:rPr>
          <w:t>24.108(5)</w:t>
        </w:r>
      </w:hyperlink>
      <w:r>
        <w:rPr>
          <w:rFonts w:ascii="Times New Roman" w:hAnsi="Times New Roman"/>
          <w:b w:val="false"/>
          <w:i/>
          <w:color w:val="000000"/>
          <w:sz w:val="22"/>
        </w:rPr>
        <w:t>“b.”</w:t>
      </w:r>
      <w:r>
        <w:rPr>
          <w:rFonts w:ascii="Times New Roman" w:hAnsi="Times New Roman"/>
          <w:b w:val="false"/>
          <w:i w:val="false"/>
          <w:color w:val="000000"/>
          <w:sz w:val="22"/>
        </w:rPr>
        <w:t xml:space="preserve"> This notice must contain a description of the emergency, any steps taken to mitigate emissions, and corrective actions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any enforcement proceeding, the permittee seeking to establish the occurrence of an emergency has the burden of 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This provision is in addition to any emergency or upset provision contained in any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24.108(17)</w:t>
      </w:r>
      <w:r>
        <w:rPr>
          <w:rFonts w:ascii="Times New Roman" w:hAnsi="Times New Roman"/>
          <w:b w:val="false"/>
          <w:i w:val="false"/>
          <w:color w:val="000000"/>
          <w:sz w:val="22"/>
        </w:rPr>
        <w:t> </w:t>
      </w:r>
      <w:r>
        <w:rPr>
          <w:rFonts w:ascii="Times New Roman" w:hAnsi="Times New Roman"/>
          <w:b w:val="false"/>
          <w:i w:val="false"/>
          <w:color w:val="000000"/>
          <w:sz w:val="22"/>
        </w:rPr>
        <w:t>Permit reopenings.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Title V permit issued to a major source shall require that revisions be made to incorporate applicable standards and regulations adopted by the Administrator pursuant to the Act,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reopening and revision on this ground is not required if the permit has a remaining term of less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reopening and revision on this ground is not required if the effective date of the requirement is later than the date on which the permit is due to expire, unless the original permit or any of its terms and conditions have been extended pursuant to 40 CFR §70.4(b)(10)(i) or (ii) as amended through October 6, 2009;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additional applicable requirements are implemented in a general permit that is applicable to the source and the source receives approval for coverage under that general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revisions shall be made as expeditiously as practicable, but not later than 18 months after the promulgation of such standards and regulations. Any permit revision required pursuant to this subrule shall be treated as a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24.108(18)</w:t>
      </w:r>
      <w:r>
        <w:rPr>
          <w:rFonts w:ascii="Times New Roman" w:hAnsi="Times New Roman"/>
          <w:b w:val="false"/>
          <w:i w:val="false"/>
          <w:color w:val="000000"/>
          <w:sz w:val="22"/>
        </w:rPr>
        <w:t> </w:t>
      </w:r>
      <w:r>
        <w:rPr>
          <w:rFonts w:ascii="Times New Roman" w:hAnsi="Times New Roman"/>
          <w:b w:val="false"/>
          <w:i w:val="false"/>
          <w:color w:val="000000"/>
          <w:sz w:val="22"/>
        </w:rPr>
        <w:t>Permit shield. The provisions for a permit shield as set forth in 40 CFR §70.6(f)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24.108(19)</w:t>
      </w:r>
      <w:r>
        <w:rPr>
          <w:rFonts w:ascii="Times New Roman" w:hAnsi="Times New Roman"/>
          <w:b w:val="false"/>
          <w:i w:val="false"/>
          <w:color w:val="000000"/>
          <w:sz w:val="22"/>
        </w:rPr>
        <w:t> </w:t>
      </w:r>
      <w:r>
        <w:rPr>
          <w:rFonts w:ascii="Times New Roman" w:hAnsi="Times New Roman"/>
          <w:b w:val="false"/>
          <w:i w:val="false"/>
          <w:color w:val="000000"/>
          <w:sz w:val="22"/>
        </w:rPr>
        <w:t>Emission trades. For emission trades at facilities solely for the purpose of complying with a federally enforceable emissions cap that is established in the permit independent of otherwise applicable requirements, permit applications under this provision are required to include proposed replicable procedures and proposed permit terms that ensure the emission trades are quantifiable and enforceable.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567—24.109</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permits. </w:t>
      </w:r>
      <w:r>
        <w:rPr>
          <w:rFonts w:ascii="Times New Roman" w:hAnsi="Times New Roman"/>
          <w:b w:val="false"/>
          <w:i w:val="false"/>
          <w:color w:val="000000"/>
          <w:sz w:val="22"/>
        </w:rPr>
        <w:t>The provisions for general permits as set forth in 40 CFR §70.6(d)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567—24.110</w:t>
      </w:r>
      <w:r>
        <w:rPr>
          <w:rFonts w:ascii="Times New Roman" w:hAnsi="Times New Roman"/>
          <w:b/>
          <w:i w:val="false"/>
          <w:color w:val="000000"/>
          <w:sz w:val="22"/>
        </w:rPr>
        <w:t xml:space="preserve">(455B) </w:t>
      </w:r>
      <w:r>
        <w:rPr>
          <w:rFonts w:ascii="Times New Roman" w:hAnsi="Times New Roman"/>
          <w:b/>
          <w:i w:val="false"/>
          <w:color w:val="000000"/>
          <w:sz w:val="22"/>
        </w:rPr>
        <w:t xml:space="preserve">Changes allowed without a Title V permit revision (off-permit revisions).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24.110(1)</w:t>
      </w:r>
      <w:r>
        <w:rPr>
          <w:rFonts w:ascii="Times New Roman" w:hAnsi="Times New Roman"/>
          <w:b w:val="false"/>
          <w:i w:val="false"/>
          <w:color w:val="000000"/>
          <w:sz w:val="22"/>
        </w:rPr>
        <w:t> </w:t>
      </w:r>
      <w:r>
        <w:rPr>
          <w:rFonts w:ascii="Times New Roman" w:hAnsi="Times New Roman"/>
          <w:b w:val="false"/>
          <w:i w:val="false"/>
          <w:color w:val="000000"/>
          <w:sz w:val="22"/>
        </w:rPr>
        <w:t>A source with a Title V permit may make Section 502(b)(10) changes to the permitted installation/facility without a Title V permit revision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changes are not major modifications under any provision of any program required by Section 110 through Section 112 of the Act, or major modifications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changes do not exceed the emissions allowable under the permit (whether expressed therein as a rate of emissions or in terms of total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changes are not modifications under any provision of Title I of the Act and the changes do not exceed the emissions allowable under the permit (whether expressed therein as a rate of emissions or in terms of total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changes are not subject to any requirement under Title IV of the Act (revisions affecting Title IV permitting are addressed in </w:t>
      </w:r>
      <w:hyperlink r:id="rId134">
        <w:r>
          <w:rPr>
            <w:rStyle w:val="Hyperlink"/>
            <w:rFonts w:ascii="Times New Roman" w:hAnsi="Times New Roman"/>
            <w:b w:val="false"/>
            <w:i w:val="false"/>
            <w:color w:val="000000"/>
            <w:sz w:val="22"/>
          </w:rPr>
          <w:t>567—24.140</w:t>
        </w:r>
      </w:hyperlink>
      <w:r>
        <w:rPr>
          <w:rFonts w:ascii="Times New Roman" w:hAnsi="Times New Roman"/>
          <w:b w:val="false"/>
          <w:i w:val="false"/>
          <w:color w:val="000000"/>
          <w:sz w:val="22"/>
        </w:rPr>
        <w:t xml:space="preserve">(455B) through </w:t>
      </w:r>
      <w:hyperlink r:id="rId135">
        <w:r>
          <w:rPr>
            <w:rStyle w:val="Hyperlink"/>
            <w:rFonts w:ascii="Times New Roman" w:hAnsi="Times New Roman"/>
            <w:b w:val="false"/>
            <w:i w:val="false"/>
            <w:color w:val="000000"/>
            <w:sz w:val="22"/>
          </w:rPr>
          <w:t>567—24.144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changes comply with all applicable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each such change, the permitted source provides to the department and the Administrator by certified mail, at least 30 days in advance of the proposed change, a written notification, including the following, which shall be attached to the permit by the source, the department, and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change within the permitted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the change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change in emission as a result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pollutants emitted subject to the emissions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emissions trading provisions of the state implementation plan are invoked, then the Title V permit requirements with which the source shall comply; a description of how the emission increases and decreases will comply with the terms and conditions of the Title V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the trading of emissions increases and decreases for the purpose of complying with a federally enforceable emissions cap as specified in and in compliance with the Title V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permit term or condition no longer applicable as a result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24.110(2)</w:t>
      </w:r>
      <w:r>
        <w:rPr>
          <w:rFonts w:ascii="Times New Roman" w:hAnsi="Times New Roman"/>
          <w:b w:val="false"/>
          <w:i w:val="false"/>
          <w:color w:val="000000"/>
          <w:sz w:val="22"/>
        </w:rPr>
        <w:t> </w:t>
      </w:r>
      <w:r>
        <w:rPr>
          <w:rFonts w:ascii="Times New Roman" w:hAnsi="Times New Roman"/>
          <w:b w:val="false"/>
          <w:i w:val="false"/>
          <w:color w:val="000000"/>
          <w:sz w:val="22"/>
        </w:rPr>
        <w:t>Such changes do not include changes that would violate applicable requirements or contravene federally enforceable permit terms and conditions that are monitoring (including test methods), recordkeeping, reporting, or compliance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24.110(3)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other part of this rule, the director may, upon review of a notice, require a stationary source to apply for a Title V permit if the change does not meet the requirements of </w:t>
      </w:r>
      <w:hyperlink r:id="rId136">
        <w:r>
          <w:rPr>
            <w:rStyle w:val="Hyperlink"/>
            <w:rFonts w:ascii="Times New Roman" w:hAnsi="Times New Roman"/>
            <w:b w:val="false"/>
            <w:i w:val="false"/>
            <w:color w:val="000000"/>
            <w:sz w:val="22"/>
          </w:rPr>
          <w:t>24.110(1)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shield provided in </w:t>
      </w:r>
      <w:hyperlink r:id="rId137">
        <w:r>
          <w:rPr>
            <w:rStyle w:val="Hyperlink"/>
            <w:rFonts w:ascii="Times New Roman" w:hAnsi="Times New Roman"/>
            <w:b w:val="false"/>
            <w:i w:val="false"/>
            <w:color w:val="000000"/>
            <w:sz w:val="22"/>
          </w:rPr>
          <w:t>24.108(18)</w:t>
        </w:r>
      </w:hyperlink>
      <w:r>
        <w:rPr>
          <w:rFonts w:ascii="Times New Roman" w:hAnsi="Times New Roman"/>
          <w:b w:val="false"/>
          <w:i w:val="false"/>
          <w:color w:val="000000"/>
          <w:sz w:val="22"/>
        </w:rPr>
        <w:t xml:space="preserve"> shall not apply to any change made pursuant to this rule. Compliance with the permit requirements that the source will meet using the emissions trade shall be determined according to requirements of the state implementation plan authorizing the emissions trade.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567—24.111</w:t>
      </w:r>
      <w:r>
        <w:rPr>
          <w:rFonts w:ascii="Times New Roman" w:hAnsi="Times New Roman"/>
          <w:b/>
          <w:i w:val="false"/>
          <w:color w:val="000000"/>
          <w:sz w:val="22"/>
        </w:rPr>
        <w:t xml:space="preserve">(455B) </w:t>
      </w:r>
      <w:r>
        <w:rPr>
          <w:rFonts w:ascii="Times New Roman" w:hAnsi="Times New Roman"/>
          <w:b/>
          <w:i w:val="false"/>
          <w:color w:val="000000"/>
          <w:sz w:val="22"/>
        </w:rPr>
        <w:t xml:space="preserve">Administrative amendments to Title V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24.111(1)</w:t>
      </w:r>
      <w:r>
        <w:rPr>
          <w:rFonts w:ascii="Times New Roman" w:hAnsi="Times New Roman"/>
          <w:b w:val="false"/>
          <w:i w:val="false"/>
          <w:color w:val="000000"/>
          <w:sz w:val="22"/>
        </w:rPr>
        <w:t> </w:t>
      </w:r>
      <w:r>
        <w:rPr>
          <w:rFonts w:ascii="Times New Roman" w:hAnsi="Times New Roman"/>
          <w:b w:val="false"/>
          <w:i w:val="false"/>
          <w:color w:val="000000"/>
          <w:sz w:val="22"/>
        </w:rPr>
        <w:t>An administrative permit amendment is a permit revision that does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Corrects typographical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Identifies a change in the name, address, or telephone number of any person identified in the permit, or provides a similar minor administrative change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Requires more frequent monitoring or reporting by the permittee;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Allows for a change in ownership or operational control of a source where the director determines that no other change in the permit is necessary, provided that a written agreement containing a specific date for transfer of permit responsibility, coverage, and liability between the current and new permittee has been submitted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24.111(2)</w:t>
      </w:r>
      <w:r>
        <w:rPr>
          <w:rFonts w:ascii="Times New Roman" w:hAnsi="Times New Roman"/>
          <w:b w:val="false"/>
          <w:i w:val="false"/>
          <w:color w:val="000000"/>
          <w:sz w:val="22"/>
        </w:rPr>
        <w:t> </w:t>
      </w:r>
      <w:r>
        <w:rPr>
          <w:rFonts w:ascii="Times New Roman" w:hAnsi="Times New Roman"/>
          <w:b w:val="false"/>
          <w:i w:val="false"/>
          <w:color w:val="000000"/>
          <w:sz w:val="22"/>
        </w:rPr>
        <w:t>Administrative permit amendments to portions of permits containing provisions pursuant to Title IV of the Act shall be governed by regulations promulgated by the Administrator under Title IV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24.111(3)</w:t>
      </w:r>
      <w:r>
        <w:rPr>
          <w:rFonts w:ascii="Times New Roman" w:hAnsi="Times New Roman"/>
          <w:b w:val="false"/>
          <w:i w:val="false"/>
          <w:color w:val="000000"/>
          <w:sz w:val="22"/>
        </w:rPr>
        <w:t> </w:t>
      </w:r>
      <w:r>
        <w:rPr>
          <w:rFonts w:ascii="Times New Roman" w:hAnsi="Times New Roman"/>
          <w:b w:val="false"/>
          <w:i w:val="false"/>
          <w:color w:val="000000"/>
          <w:sz w:val="22"/>
        </w:rPr>
        <w:t>The director shall take no more than 60 days from receipt of a request for an administrative permit amendment to take final action on such request, and may incorporate such changes without providing notice to the public or affected states provided that the director designates any such permit revisions as having been made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24.111(4)</w:t>
      </w:r>
      <w:r>
        <w:rPr>
          <w:rFonts w:ascii="Times New Roman" w:hAnsi="Times New Roman"/>
          <w:b w:val="false"/>
          <w:i w:val="false"/>
          <w:color w:val="000000"/>
          <w:sz w:val="22"/>
        </w:rPr>
        <w:t> </w:t>
      </w:r>
      <w:r>
        <w:rPr>
          <w:rFonts w:ascii="Times New Roman" w:hAnsi="Times New Roman"/>
          <w:b w:val="false"/>
          <w:i w:val="false"/>
          <w:color w:val="000000"/>
          <w:sz w:val="22"/>
        </w:rPr>
        <w:t>The director shall submit to the Administrator a copy of each Title V permit revised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24.111(5)</w:t>
      </w:r>
      <w:r>
        <w:rPr>
          <w:rFonts w:ascii="Times New Roman" w:hAnsi="Times New Roman"/>
          <w:b w:val="false"/>
          <w:i w:val="false"/>
          <w:color w:val="000000"/>
          <w:sz w:val="22"/>
        </w:rPr>
        <w:t> </w:t>
      </w:r>
      <w:r>
        <w:rPr>
          <w:rFonts w:ascii="Times New Roman" w:hAnsi="Times New Roman"/>
          <w:b w:val="false"/>
          <w:i w:val="false"/>
          <w:color w:val="000000"/>
          <w:sz w:val="22"/>
        </w:rPr>
        <w:t>The source may implement the changes addressed in the request for an administrative amendment immediately upon submittal of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567—24.112</w:t>
      </w:r>
      <w:r>
        <w:rPr>
          <w:rFonts w:ascii="Times New Roman" w:hAnsi="Times New Roman"/>
          <w:b/>
          <w:i w:val="false"/>
          <w:color w:val="000000"/>
          <w:sz w:val="22"/>
        </w:rPr>
        <w:t xml:space="preserve">(455B) </w:t>
      </w:r>
      <w:r>
        <w:rPr>
          <w:rFonts w:ascii="Times New Roman" w:hAnsi="Times New Roman"/>
          <w:b/>
          <w:i w:val="false"/>
          <w:color w:val="000000"/>
          <w:sz w:val="22"/>
        </w:rPr>
        <w:t xml:space="preserve">Minor Title V permit modifications.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24.112(1)</w:t>
      </w:r>
      <w:r>
        <w:rPr>
          <w:rFonts w:ascii="Times New Roman" w:hAnsi="Times New Roman"/>
          <w:b w:val="false"/>
          <w:i w:val="false"/>
          <w:color w:val="000000"/>
          <w:sz w:val="22"/>
        </w:rPr>
        <w:t> </w:t>
      </w:r>
      <w:r>
        <w:rPr>
          <w:rFonts w:ascii="Times New Roman" w:hAnsi="Times New Roman"/>
          <w:b w:val="false"/>
          <w:i w:val="false"/>
          <w:color w:val="000000"/>
          <w:sz w:val="22"/>
        </w:rPr>
        <w:t>Minor Title V permit modification procedures may be used only for those permit modifications that satisfy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 not violate any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 not involve significant changes to existing monitoring, reporting, or recordkeeping requirements in the Title V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 not require or change a case-by-case determination of an emission limitation or other standard, or an increment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 not seek to establish or change a permit term or condition for which there is no corresponding underlying applicable requirement and that the source has assumed in order to avoid an applicable requirement to which the source would otherwise be subject. Such terms and conditions include any federally enforceable emissions caps that the source would assume to avoid classification as a modification under any provision of Title I of the Act; and an alternative emissions limit approved pursuant to regulations promulgated under Section 112(i)(5)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Are not modifications under any provision of Title I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Are not required to be processed as a significant modification under </w:t>
      </w:r>
      <w:hyperlink r:id="rId138">
        <w:r>
          <w:rPr>
            <w:rStyle w:val="Hyperlink"/>
            <w:rFonts w:ascii="Times New Roman" w:hAnsi="Times New Roman"/>
            <w:b w:val="false"/>
            <w:i w:val="false"/>
            <w:color w:val="000000"/>
            <w:sz w:val="22"/>
          </w:rPr>
          <w:t>567—24.113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24.112(2)</w:t>
      </w:r>
      <w:r>
        <w:rPr>
          <w:rFonts w:ascii="Times New Roman" w:hAnsi="Times New Roman"/>
          <w:b w:val="false"/>
          <w:i w:val="false"/>
          <w:color w:val="000000"/>
          <w:sz w:val="22"/>
        </w:rPr>
        <w:t> </w:t>
      </w:r>
      <w:r>
        <w:rPr>
          <w:rFonts w:ascii="Times New Roman" w:hAnsi="Times New Roman"/>
          <w:b w:val="false"/>
          <w:i w:val="false"/>
          <w:color w:val="000000"/>
          <w:sz w:val="22"/>
        </w:rPr>
        <w:t>An application for minor permit revision shall be on the minor Title V modification application form and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change, the emissions resulting from the change, and any new applicable requirements that will apply if the change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source’s suggested draft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by a responsible official, pursuant to </w:t>
      </w:r>
      <w:hyperlink r:id="rId139">
        <w:r>
          <w:rPr>
            <w:rStyle w:val="Hyperlink"/>
            <w:rFonts w:ascii="Times New Roman" w:hAnsi="Times New Roman"/>
            <w:b w:val="false"/>
            <w:i w:val="false"/>
            <w:color w:val="000000"/>
            <w:sz w:val="22"/>
          </w:rPr>
          <w:t>24.107(4)</w:t>
        </w:r>
      </w:hyperlink>
      <w:r>
        <w:rPr>
          <w:rFonts w:ascii="Times New Roman" w:hAnsi="Times New Roman"/>
          <w:b w:val="false"/>
          <w:i w:val="false"/>
          <w:color w:val="000000"/>
          <w:sz w:val="22"/>
        </w:rPr>
        <w:t>, that the proposed modification meets the criteria for use of minor permit modification procedures and a request that such procedures be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Completed forms to enable the department to notify the Administrator and affected states as required by </w:t>
      </w:r>
      <w:hyperlink r:id="rId140">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notify the Administrator and affected states within five working days of receipt of a complete permit modification application. Notification shall be in accordance with the provisions of </w:t>
      </w:r>
      <w:hyperlink r:id="rId141">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xml:space="preserve">. The department shall promptly send to the Administrator any notification required by </w:t>
      </w:r>
      <w:hyperlink r:id="rId142">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not issue a final Title V permit modification until after the Administrator’s 45-day review period or until the Administrator has notified the director that the Administrator will not object to issuance of the Title V permit modification, whichever is first. Within 90 days of the director’s receipt of an application under the minor permit modification procedures, or 15 days after the end of the Administrator’s 45-day review period provided for in </w:t>
      </w:r>
      <w:hyperlink r:id="rId143">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whichever is later, the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the permit modification as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the permit modification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that the requested permit modification does not meet the minor permit modification criteria and should be reviewed under the significant modification procedures;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Revise the draft permit modification and transmit to the Administrator the proposed permit modification, as required by </w:t>
      </w:r>
      <w:hyperlink r:id="rId144">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24.112(5)</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ability to make change. The source may make the change proposed in its minor permit modification application immediately after it files the application. After the source makes the change allowed by the preceding sentence, and until the director takes any of the actions specified in </w:t>
      </w:r>
      <w:hyperlink r:id="rId145">
        <w:r>
          <w:rPr>
            <w:rStyle w:val="Hyperlink"/>
            <w:rFonts w:ascii="Times New Roman" w:hAnsi="Times New Roman"/>
            <w:b w:val="false"/>
            <w:i w:val="false"/>
            <w:color w:val="000000"/>
            <w:sz w:val="22"/>
          </w:rPr>
          <w:t>24.112(4)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hyperlink r:id="rId146">
        <w:r>
          <w:rPr>
            <w:rStyle w:val="Hyperlink"/>
            <w:rFonts w:ascii="Times New Roman" w:hAnsi="Times New Roman"/>
            <w:b w:val="false"/>
            <w:i w:val="false"/>
            <w:color w:val="000000"/>
            <w:sz w:val="22"/>
          </w:rPr>
          <w:t>24.112(4)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source must comply with both the applicable requirements governing the change and the proposed permit terms and conditions. During this time, the source need not comply with the existing permit terms and conditions it seeks to modify. However, if the source fails to comply with its proposed permit terms and conditions during this time period, the existing permit terms and conditions it seeks to modify may be enforced against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24.112(6)</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shield. The permit shield under </w:t>
      </w:r>
      <w:hyperlink r:id="rId147">
        <w:r>
          <w:rPr>
            <w:rStyle w:val="Hyperlink"/>
            <w:rFonts w:ascii="Times New Roman" w:hAnsi="Times New Roman"/>
            <w:b w:val="false"/>
            <w:i w:val="false"/>
            <w:color w:val="000000"/>
            <w:sz w:val="22"/>
          </w:rPr>
          <w:t>24.108(18)</w:t>
        </w:r>
      </w:hyperlink>
      <w:r>
        <w:rPr>
          <w:rFonts w:ascii="Times New Roman" w:hAnsi="Times New Roman"/>
          <w:b w:val="false"/>
          <w:i w:val="false"/>
          <w:color w:val="000000"/>
          <w:sz w:val="22"/>
        </w:rPr>
        <w:t xml:space="preserve"> shall not extend to minor Title V permit revisions.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567—24.113</w:t>
      </w:r>
      <w:r>
        <w:rPr>
          <w:rFonts w:ascii="Times New Roman" w:hAnsi="Times New Roman"/>
          <w:b/>
          <w:i w:val="false"/>
          <w:color w:val="000000"/>
          <w:sz w:val="22"/>
        </w:rPr>
        <w:t xml:space="preserve">(455B) </w:t>
      </w:r>
      <w:r>
        <w:rPr>
          <w:rFonts w:ascii="Times New Roman" w:hAnsi="Times New Roman"/>
          <w:b/>
          <w:i w:val="false"/>
          <w:color w:val="000000"/>
          <w:sz w:val="22"/>
        </w:rPr>
        <w:t xml:space="preserve">Significant Title V permit modifications.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24.113(1)</w:t>
      </w:r>
      <w:r>
        <w:rPr>
          <w:rFonts w:ascii="Times New Roman" w:hAnsi="Times New Roman"/>
          <w:b w:val="false"/>
          <w:i w:val="false"/>
          <w:color w:val="000000"/>
          <w:sz w:val="22"/>
        </w:rPr>
        <w:t> </w:t>
      </w:r>
      <w:r>
        <w:rPr>
          <w:rFonts w:ascii="Times New Roman" w:hAnsi="Times New Roman"/>
          <w:b w:val="false"/>
          <w:i w:val="false"/>
          <w:color w:val="000000"/>
          <w:sz w:val="22"/>
        </w:rPr>
        <w:t>Significant Title V modification procedures shall be used for applications requesting Title V permit modifications that do not qualify as minor or administrative amendments. These include, but are not limited to, all significant changes in monitoring permit terms, every relaxation of reporting or recordkeeping permit terms, and any change in the method of measuring compliance with existing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24.113(2)</w:t>
      </w:r>
      <w:r>
        <w:rPr>
          <w:rFonts w:ascii="Times New Roman" w:hAnsi="Times New Roman"/>
          <w:b w:val="false"/>
          <w:i w:val="false"/>
          <w:color w:val="000000"/>
          <w:sz w:val="22"/>
        </w:rPr>
        <w:t> </w:t>
      </w:r>
      <w:r>
        <w:rPr>
          <w:rFonts w:ascii="Times New Roman" w:hAnsi="Times New Roman"/>
          <w:b w:val="false"/>
          <w:i w:val="false"/>
          <w:color w:val="000000"/>
          <w:sz w:val="22"/>
        </w:rPr>
        <w:t>Significant Title V permit modifications shall meet all requirements of this chapter, including those for applications, public participation, review by affected states, and review by the Administrator, as those requirements that apply to Title V permit issuance and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24.113(3)</w:t>
      </w:r>
      <w:r>
        <w:rPr>
          <w:rFonts w:ascii="Times New Roman" w:hAnsi="Times New Roman"/>
          <w:b w:val="false"/>
          <w:i w:val="false"/>
          <w:color w:val="000000"/>
          <w:sz w:val="22"/>
        </w:rPr>
        <w:t> </w:t>
      </w:r>
      <w:r>
        <w:rPr>
          <w:rFonts w:ascii="Times New Roman" w:hAnsi="Times New Roman"/>
          <w:b w:val="false"/>
          <w:i w:val="false"/>
          <w:color w:val="000000"/>
          <w:sz w:val="22"/>
        </w:rPr>
        <w:t>Unless the director determines otherwise, review of significant Title V permit modification applications shall be completed within nine months of receipt of a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24.113(4)</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change that is subject to the requirements for a significant permit modification (pursuant to </w:t>
      </w:r>
      <w:hyperlink r:id="rId148">
        <w:r>
          <w:rPr>
            <w:rStyle w:val="Hyperlink"/>
            <w:rFonts w:ascii="Times New Roman" w:hAnsi="Times New Roman"/>
            <w:b w:val="false"/>
            <w:i w:val="false"/>
            <w:color w:val="000000"/>
            <w:sz w:val="22"/>
          </w:rPr>
          <w:t>567—24.113</w:t>
        </w:r>
      </w:hyperlink>
      <w:r>
        <w:rPr>
          <w:rFonts w:ascii="Times New Roman" w:hAnsi="Times New Roman"/>
          <w:b w:val="false"/>
          <w:i w:val="false"/>
          <w:color w:val="000000"/>
          <w:sz w:val="22"/>
        </w:rPr>
        <w:t>(455B)), the permittee shall submit to the department an application for a significant permit modification not later than three months after commencing operation of the changed source unless the existing Title V permit would prohibit such construction or change in operation, in which event the operation of the changed source may not commence until the department revises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567—24.114</w:t>
      </w:r>
      <w:r>
        <w:rPr>
          <w:rFonts w:ascii="Times New Roman" w:hAnsi="Times New Roman"/>
          <w:b/>
          <w:i w:val="false"/>
          <w:color w:val="000000"/>
          <w:sz w:val="22"/>
        </w:rPr>
        <w:t xml:space="preserve">(455B) </w:t>
      </w:r>
      <w:r>
        <w:rPr>
          <w:rFonts w:ascii="Times New Roman" w:hAnsi="Times New Roman"/>
          <w:b/>
          <w:i w:val="false"/>
          <w:color w:val="000000"/>
          <w:sz w:val="22"/>
        </w:rPr>
        <w:t xml:space="preserve">Title V permit reopenings. </w:t>
      </w:r>
      <w:r>
        <w:rPr>
          <w:rFonts w:ascii="Times New Roman" w:hAnsi="Times New Roman"/>
          <w:b w:val="false"/>
          <w:i w:val="false"/>
          <w:color w:val="000000"/>
          <w:sz w:val="22"/>
        </w:rPr>
        <w:t>The provisions for Title V permit reopenings set forth in 40 CFR §70.7(f)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567—24.115</w:t>
      </w:r>
      <w:r>
        <w:rPr>
          <w:rFonts w:ascii="Times New Roman" w:hAnsi="Times New Roman"/>
          <w:b/>
          <w:i w:val="false"/>
          <w:color w:val="000000"/>
          <w:sz w:val="22"/>
        </w:rPr>
        <w:t xml:space="preserve">(455B) </w:t>
      </w:r>
      <w:r>
        <w:rPr>
          <w:rFonts w:ascii="Times New Roman" w:hAnsi="Times New Roman"/>
          <w:b/>
          <w:i w:val="false"/>
          <w:color w:val="000000"/>
          <w:sz w:val="22"/>
        </w:rPr>
        <w:t xml:space="preserve">Suspension, termination, and revocation of Title V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24.115(1)</w:t>
      </w:r>
      <w:r>
        <w:rPr>
          <w:rFonts w:ascii="Times New Roman" w:hAnsi="Times New Roman"/>
          <w:b w:val="false"/>
          <w:i w:val="false"/>
          <w:color w:val="000000"/>
          <w:sz w:val="22"/>
        </w:rPr>
        <w:t> </w:t>
      </w:r>
      <w:r>
        <w:rPr>
          <w:rFonts w:ascii="Times New Roman" w:hAnsi="Times New Roman"/>
          <w:b w:val="false"/>
          <w:i w:val="false"/>
          <w:color w:val="000000"/>
          <w:sz w:val="22"/>
        </w:rPr>
        <w:t>Permits may be terminated, modified, revoked, or reissued for cause. The following examples shall be considered cause for the suspension, modification, revocation, or reissuance of a Title V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has reasonable cause to believe that the permit was obtained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applying for the permit failed to disclose a material fact required by the permit application form or the rules applicable to the permit, of which the applicant had or should have had knowledge at the time the application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terms and conditions of the permit have been or are being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permittee has failed to pay the Title V permit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permittee has failed to pay an administrative, civil, or criminal penalty imposed for violations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24.115(2)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director suspends, terminates, or revokes a Title V permit under this rule, the notice of such action shall be served on the applicant or permittee by certified mail, return receipt requested. The notice shall include a statement detailing the grounds for the action sought, and the proceeding shall in all other respects comply with the requirements of </w:t>
      </w:r>
      <w:hyperlink r:id="rId149">
        <w:r>
          <w:rPr>
            <w:rStyle w:val="Hyperlink"/>
            <w:rFonts w:ascii="Times New Roman" w:hAnsi="Times New Roman"/>
            <w:b w:val="false"/>
            <w:i w:val="false"/>
            <w:color w:val="000000"/>
            <w:sz w:val="22"/>
          </w:rPr>
          <w:t>561—7.16</w:t>
        </w:r>
      </w:hyperlink>
      <w:r>
        <w:rPr>
          <w:rFonts w:ascii="Times New Roman" w:hAnsi="Times New Roman"/>
          <w:b w:val="false"/>
          <w:i w:val="false"/>
          <w:color w:val="000000"/>
          <w:sz w:val="22"/>
        </w:rPr>
        <w:t>(17A,455A).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567—24.116</w:t>
      </w:r>
      <w:r>
        <w:rPr>
          <w:rFonts w:ascii="Times New Roman" w:hAnsi="Times New Roman"/>
          <w:b/>
          <w:i w:val="false"/>
          <w:color w:val="000000"/>
          <w:sz w:val="22"/>
        </w:rPr>
        <w:t xml:space="preserve">(455B) </w:t>
      </w:r>
      <w:r>
        <w:rPr>
          <w:rFonts w:ascii="Times New Roman" w:hAnsi="Times New Roman"/>
          <w:b/>
          <w:i w:val="false"/>
          <w:color w:val="000000"/>
          <w:sz w:val="22"/>
        </w:rPr>
        <w:t xml:space="preserve">Title V permit renewals.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24.116(1)</w:t>
      </w:r>
      <w:r>
        <w:rPr>
          <w:rFonts w:ascii="Times New Roman" w:hAnsi="Times New Roman"/>
          <w:b w:val="false"/>
          <w:i w:val="false"/>
          <w:color w:val="000000"/>
          <w:sz w:val="22"/>
        </w:rPr>
        <w:t> </w:t>
      </w:r>
      <w:r>
        <w:rPr>
          <w:rFonts w:ascii="Times New Roman" w:hAnsi="Times New Roman"/>
          <w:b w:val="false"/>
          <w:i w:val="false"/>
          <w:color w:val="000000"/>
          <w:sz w:val="22"/>
        </w:rPr>
        <w:t>An application for Title V permit renewal shall be subject to the same procedural requirements that apply to initial permit issuance, including those for public participation and review by the Administrator and affected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24.116(2)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50">
        <w:r>
          <w:rPr>
            <w:rStyle w:val="Hyperlink"/>
            <w:rFonts w:ascii="Times New Roman" w:hAnsi="Times New Roman"/>
            <w:b w:val="false"/>
            <w:i w:val="false"/>
            <w:color w:val="000000"/>
            <w:sz w:val="22"/>
          </w:rPr>
          <w:t>567—24.104</w:t>
        </w:r>
      </w:hyperlink>
      <w:r>
        <w:rPr>
          <w:rFonts w:ascii="Times New Roman" w:hAnsi="Times New Roman"/>
          <w:b w:val="false"/>
          <w:i w:val="false"/>
          <w:color w:val="000000"/>
          <w:sz w:val="22"/>
        </w:rPr>
        <w:t xml:space="preserve">(455B), permit expiration terminates a source’s right to operate unless a timely and complete application for renewal has been submitted in accordance with </w:t>
      </w:r>
      <w:hyperlink r:id="rId151">
        <w:r>
          <w:rPr>
            <w:rStyle w:val="Hyperlink"/>
            <w:rFonts w:ascii="Times New Roman" w:hAnsi="Times New Roman"/>
            <w:b w:val="false"/>
            <w:i w:val="false"/>
            <w:color w:val="000000"/>
            <w:sz w:val="22"/>
          </w:rPr>
          <w:t>567—24.105</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567—24.117</w:t>
      </w:r>
      <w:r>
        <w:rPr>
          <w:rFonts w:ascii="Times New Roman" w:hAnsi="Times New Roman"/>
          <w:b w:val="false"/>
          <w:i w:val="false"/>
          <w:color w:val="000000"/>
          <w:sz w:val="22"/>
        </w:rPr>
        <w:t xml:space="preserve"> to </w:t>
      </w:r>
      <w:r>
        <w:rPr>
          <w:rFonts w:ascii="Times New Roman" w:hAnsi="Times New Roman"/>
          <w:b/>
          <w:i w:val="false"/>
          <w:color w:val="000000"/>
          <w:sz w:val="22"/>
        </w:rPr>
        <w:t>24.119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567—24.120</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program—definitions. </w:t>
      </w:r>
      <w:r>
        <w:rPr>
          <w:rFonts w:ascii="Times New Roman" w:hAnsi="Times New Roman"/>
          <w:b w:val="false"/>
          <w:i w:val="false"/>
          <w:color w:val="000000"/>
          <w:sz w:val="22"/>
        </w:rPr>
        <w:t xml:space="preserve">The terms used in </w:t>
      </w:r>
      <w:hyperlink r:id="rId152">
        <w:r>
          <w:rPr>
            <w:rStyle w:val="Hyperlink"/>
            <w:rFonts w:ascii="Times New Roman" w:hAnsi="Times New Roman"/>
            <w:b w:val="false"/>
            <w:i w:val="false"/>
            <w:color w:val="000000"/>
            <w:sz w:val="22"/>
          </w:rPr>
          <w:t>567—24.120</w:t>
        </w:r>
      </w:hyperlink>
      <w:r>
        <w:rPr>
          <w:rFonts w:ascii="Times New Roman" w:hAnsi="Times New Roman"/>
          <w:b w:val="false"/>
          <w:i w:val="false"/>
          <w:color w:val="000000"/>
          <w:sz w:val="22"/>
        </w:rPr>
        <w:t xml:space="preserve">(455B) through </w:t>
      </w:r>
      <w:hyperlink r:id="rId153">
        <w:r>
          <w:rPr>
            <w:rStyle w:val="Hyperlink"/>
            <w:rFonts w:ascii="Times New Roman" w:hAnsi="Times New Roman"/>
            <w:b w:val="false"/>
            <w:i w:val="false"/>
            <w:color w:val="000000"/>
            <w:sz w:val="22"/>
          </w:rPr>
          <w:t>567—24.146</w:t>
        </w:r>
      </w:hyperlink>
      <w:r>
        <w:rPr>
          <w:rFonts w:ascii="Times New Roman" w:hAnsi="Times New Roman"/>
          <w:b w:val="false"/>
          <w:i w:val="false"/>
          <w:color w:val="000000"/>
          <w:sz w:val="22"/>
        </w:rPr>
        <w:t>(455B) shall have the meanings set forth in Title IV of the Act, 42 U.S.C. §7401, et seq., as amended through November 15, 1990, and in this rule. The definitions set forth in 40 CFR Part 72 as amended through March 28, 2011, and 40 CFR Part 76 as amended through October 15, 1999,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 and is the state acid rain permitting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format,” “electronic submittal,”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“electronic submittal format” </w:t>
      </w:r>
      <w:r>
        <w:rPr>
          <w:rFonts w:ascii="Times New Roman" w:hAnsi="Times New Roman"/>
          <w:b w:val="false"/>
          <w:i w:val="false"/>
          <w:color w:val="000000"/>
          <w:sz w:val="22"/>
        </w:rPr>
        <w:t>mean the same as defined in 567— 22.1(455B).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V operating permit” </w:t>
      </w:r>
      <w:r>
        <w:rPr>
          <w:rFonts w:ascii="Times New Roman" w:hAnsi="Times New Roman"/>
          <w:b w:val="false"/>
          <w:i w:val="false"/>
          <w:color w:val="000000"/>
          <w:sz w:val="22"/>
        </w:rPr>
        <w:t xml:space="preserve">means a permit issued under </w:t>
      </w:r>
      <w:hyperlink r:id="rId154">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155">
        <w:r>
          <w:rPr>
            <w:rStyle w:val="Hyperlink"/>
            <w:rFonts w:ascii="Times New Roman" w:hAnsi="Times New Roman"/>
            <w:b w:val="false"/>
            <w:i w:val="false"/>
            <w:color w:val="000000"/>
            <w:sz w:val="22"/>
          </w:rPr>
          <w:t>567—24.116</w:t>
        </w:r>
      </w:hyperlink>
      <w:r>
        <w:rPr>
          <w:rFonts w:ascii="Times New Roman" w:hAnsi="Times New Roman"/>
          <w:b w:val="false"/>
          <w:i w:val="false"/>
          <w:color w:val="000000"/>
          <w:sz w:val="22"/>
        </w:rPr>
        <w:t>(455B) implementing Title V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567—24.121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567—24.122</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applicability of the acid rain program as set forth in 40 CFR §72.6 is adopted by reference. A certifying official of any unit may petition the Administrator for a determination of applicability under 40 CFR §72.6(c).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567—24.123</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24.123(1)</w:t>
      </w:r>
      <w:r>
        <w:rPr>
          <w:rFonts w:ascii="Times New Roman" w:hAnsi="Times New Roman"/>
          <w:b w:val="false"/>
          <w:i w:val="false"/>
          <w:color w:val="000000"/>
          <w:sz w:val="22"/>
        </w:rPr>
        <w:t> </w:t>
      </w:r>
      <w:r>
        <w:rPr>
          <w:rFonts w:ascii="Times New Roman" w:hAnsi="Times New Roman"/>
          <w:b w:val="false"/>
          <w:i/>
          <w:color w:val="000000"/>
          <w:sz w:val="22"/>
        </w:rPr>
        <w:t xml:space="preserve">New unit exemption. </w:t>
      </w:r>
      <w:r>
        <w:rPr>
          <w:rFonts w:ascii="Times New Roman" w:hAnsi="Times New Roman"/>
          <w:b w:val="false"/>
          <w:i w:val="false"/>
          <w:color w:val="000000"/>
          <w:sz w:val="22"/>
        </w:rPr>
        <w:t>The new unit exemption, as specified in 40 CFR §72.7, except for 40 CFR §72.7(c)(1)(i), is adopted by reference. This exemption applies to new utility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24.123(2)</w:t>
      </w:r>
      <w:r>
        <w:rPr>
          <w:rFonts w:ascii="Times New Roman" w:hAnsi="Times New Roman"/>
          <w:b w:val="false"/>
          <w:i w:val="false"/>
          <w:color w:val="000000"/>
          <w:sz w:val="22"/>
        </w:rPr>
        <w:t> </w:t>
      </w:r>
      <w:r>
        <w:rPr>
          <w:rFonts w:ascii="Times New Roman" w:hAnsi="Times New Roman"/>
          <w:b w:val="false"/>
          <w:i/>
          <w:color w:val="000000"/>
          <w:sz w:val="22"/>
        </w:rPr>
        <w:t xml:space="preserve">Retired unit exemption. </w:t>
      </w:r>
      <w:r>
        <w:rPr>
          <w:rFonts w:ascii="Times New Roman" w:hAnsi="Times New Roman"/>
          <w:b w:val="false"/>
          <w:i w:val="false"/>
          <w:color w:val="000000"/>
          <w:sz w:val="22"/>
        </w:rPr>
        <w:t>The retired unit exemption, as specified in 40 CFR §72.8, is adopted by reference. This exemption applies to any affected unit that is permanently retired.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24.123(3)</w:t>
      </w:r>
      <w:r>
        <w:rPr>
          <w:rFonts w:ascii="Times New Roman" w:hAnsi="Times New Roman"/>
          <w:b w:val="false"/>
          <w:i w:val="false"/>
          <w:color w:val="000000"/>
          <w:sz w:val="22"/>
        </w:rPr>
        <w:t> </w:t>
      </w:r>
      <w:r>
        <w:rPr>
          <w:rFonts w:ascii="Times New Roman" w:hAnsi="Times New Roman"/>
          <w:b w:val="false"/>
          <w:i/>
          <w:color w:val="000000"/>
          <w:sz w:val="22"/>
        </w:rPr>
        <w:t xml:space="preserve">Industrial utility-unit exemption. </w:t>
      </w:r>
      <w:r>
        <w:rPr>
          <w:rFonts w:ascii="Times New Roman" w:hAnsi="Times New Roman"/>
          <w:b w:val="false"/>
          <w:i w:val="false"/>
          <w:color w:val="000000"/>
          <w:sz w:val="22"/>
        </w:rPr>
        <w:t>The industrial utility-unit exemption, as specified in 40 CFR §72.14, is adopted by reference. This exemption applies to any noncogeneration utility unit.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567—24.125</w:t>
      </w:r>
      <w:r>
        <w:rPr>
          <w:rFonts w:ascii="Times New Roman" w:hAnsi="Times New Roman"/>
          <w:b/>
          <w:i w:val="false"/>
          <w:color w:val="000000"/>
          <w:sz w:val="22"/>
        </w:rPr>
        <w:t xml:space="preserve">(455B) </w:t>
      </w:r>
      <w:r>
        <w:rPr>
          <w:rFonts w:ascii="Times New Roman" w:hAnsi="Times New Roman"/>
          <w:b/>
          <w:i w:val="false"/>
          <w:color w:val="000000"/>
          <w:sz w:val="22"/>
        </w:rPr>
        <w:t xml:space="preserve">Standard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24.125(1)</w:t>
      </w:r>
      <w:r>
        <w:rPr>
          <w:rFonts w:ascii="Times New Roman" w:hAnsi="Times New Roman"/>
          <w:b w:val="false"/>
          <w:i w:val="false"/>
          <w:color w:val="000000"/>
          <w:sz w:val="22"/>
        </w:rPr>
        <w:t> </w:t>
      </w:r>
      <w:r>
        <w:rPr>
          <w:rFonts w:ascii="Times New Roman" w:hAnsi="Times New Roman"/>
          <w:b w:val="false"/>
          <w:i/>
          <w:color w:val="000000"/>
          <w:sz w:val="22"/>
        </w:rPr>
        <w:t xml:space="preserve">Permit requirements. </w:t>
      </w:r>
      <w:r>
        <w:rPr>
          <w:rFonts w:ascii="Times New Roman" w:hAnsi="Times New Roman"/>
          <w:b w:val="false"/>
          <w:i w:val="false"/>
          <w:color w:val="000000"/>
          <w:sz w:val="22"/>
        </w:rPr>
        <w:t>Permit requirements as set forth in 40 CFR §72.9(a)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24.125(2)</w:t>
      </w:r>
      <w:r>
        <w:rPr>
          <w:rFonts w:ascii="Times New Roman" w:hAnsi="Times New Roman"/>
          <w:b w:val="false"/>
          <w:i w:val="false"/>
          <w:color w:val="000000"/>
          <w:sz w:val="22"/>
        </w:rPr>
        <w:t> </w:t>
      </w:r>
      <w:r>
        <w:rPr>
          <w:rFonts w:ascii="Times New Roman" w:hAnsi="Times New Roman"/>
          <w:b w:val="false"/>
          <w:i/>
          <w:color w:val="000000"/>
          <w:sz w:val="22"/>
        </w:rPr>
        <w:t xml:space="preserve">Monitoring requirements. </w:t>
      </w:r>
      <w:r>
        <w:rPr>
          <w:rFonts w:ascii="Times New Roman" w:hAnsi="Times New Roman"/>
          <w:b w:val="false"/>
          <w:i w:val="false"/>
          <w:color w:val="000000"/>
          <w:sz w:val="22"/>
        </w:rPr>
        <w:t>Monitoring requirements as set forth in 40 CFR §72.9(b)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24.125(3)</w:t>
      </w:r>
      <w:r>
        <w:rPr>
          <w:rFonts w:ascii="Times New Roman" w:hAnsi="Times New Roman"/>
          <w:b w:val="false"/>
          <w:i w:val="false"/>
          <w:color w:val="000000"/>
          <w:sz w:val="22"/>
        </w:rPr>
        <w:t> </w:t>
      </w:r>
      <w:r>
        <w:rPr>
          <w:rFonts w:ascii="Times New Roman" w:hAnsi="Times New Roman"/>
          <w:b w:val="false"/>
          <w:i/>
          <w:color w:val="000000"/>
          <w:sz w:val="22"/>
        </w:rPr>
        <w:t xml:space="preserve">Sulfur dioxide requirements. </w:t>
      </w:r>
      <w:r>
        <w:rPr>
          <w:rFonts w:ascii="Times New Roman" w:hAnsi="Times New Roman"/>
          <w:b w:val="false"/>
          <w:i w:val="false"/>
          <w:color w:val="000000"/>
          <w:sz w:val="22"/>
        </w:rPr>
        <w:t xml:space="preserve">Sulfur dioxide requirements as set forth in 40 CFR §72.9(c) are adopted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24.125(4)</w:t>
      </w:r>
      <w:r>
        <w:rPr>
          <w:rFonts w:ascii="Times New Roman" w:hAnsi="Times New Roman"/>
          <w:b w:val="false"/>
          <w:i w:val="false"/>
          <w:color w:val="000000"/>
          <w:sz w:val="22"/>
        </w:rPr>
        <w:t> </w:t>
      </w:r>
      <w:r>
        <w:rPr>
          <w:rFonts w:ascii="Times New Roman" w:hAnsi="Times New Roman"/>
          <w:b w:val="false"/>
          <w:i/>
          <w:color w:val="000000"/>
          <w:sz w:val="22"/>
        </w:rPr>
        <w:t xml:space="preserve">Nitrogen oxides requirements. </w:t>
      </w:r>
      <w:r>
        <w:rPr>
          <w:rFonts w:ascii="Times New Roman" w:hAnsi="Times New Roman"/>
          <w:b w:val="false"/>
          <w:i w:val="false"/>
          <w:color w:val="000000"/>
          <w:sz w:val="22"/>
        </w:rPr>
        <w:t>Nitrogen oxides requirements as set forth in 40 CFR §72.9(d)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24.125(5)</w:t>
      </w:r>
      <w:r>
        <w:rPr>
          <w:rFonts w:ascii="Times New Roman" w:hAnsi="Times New Roman"/>
          <w:b w:val="false"/>
          <w:i w:val="false"/>
          <w:color w:val="000000"/>
          <w:sz w:val="22"/>
        </w:rPr>
        <w:t> </w:t>
      </w:r>
      <w:r>
        <w:rPr>
          <w:rFonts w:ascii="Times New Roman" w:hAnsi="Times New Roman"/>
          <w:b w:val="false"/>
          <w:i/>
          <w:color w:val="000000"/>
          <w:sz w:val="22"/>
        </w:rPr>
        <w:t xml:space="preserve">Excess emissions requirements. </w:t>
      </w:r>
      <w:r>
        <w:rPr>
          <w:rFonts w:ascii="Times New Roman" w:hAnsi="Times New Roman"/>
          <w:b w:val="false"/>
          <w:i w:val="false"/>
          <w:color w:val="000000"/>
          <w:sz w:val="22"/>
        </w:rPr>
        <w:t>Excess emissions requirements as set forth in 40 CFR §72.9(e)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24.125(6)</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reporting requirements. </w:t>
      </w:r>
      <w:r>
        <w:rPr>
          <w:rFonts w:ascii="Times New Roman" w:hAnsi="Times New Roman"/>
          <w:b w:val="false"/>
          <w:i w:val="false"/>
          <w:color w:val="000000"/>
          <w:sz w:val="22"/>
        </w:rPr>
        <w:t>Recordkeeping and reporting requirements as set forth in 40 CFR §72.9(f)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24.125(7)</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Liability provisions as set forth in 40 CFR §72.9(g)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24.125(8)</w:t>
      </w:r>
      <w:r>
        <w:rPr>
          <w:rFonts w:ascii="Times New Roman" w:hAnsi="Times New Roman"/>
          <w:b w:val="false"/>
          <w:i w:val="false"/>
          <w:color w:val="000000"/>
          <w:sz w:val="22"/>
        </w:rPr>
        <w:t> </w:t>
      </w:r>
      <w:r>
        <w:rPr>
          <w:rFonts w:ascii="Times New Roman" w:hAnsi="Times New Roman"/>
          <w:b w:val="false"/>
          <w:i/>
          <w:color w:val="000000"/>
          <w:sz w:val="22"/>
        </w:rPr>
        <w:t xml:space="preserve">Effect on other authorities. </w:t>
      </w:r>
      <w:r>
        <w:rPr>
          <w:rFonts w:ascii="Times New Roman" w:hAnsi="Times New Roman"/>
          <w:b w:val="false"/>
          <w:i w:val="false"/>
          <w:color w:val="000000"/>
          <w:sz w:val="22"/>
        </w:rPr>
        <w:t>The provisions for the effect on other authorities as set forth in 40 CFR §72.9(h) is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567—24.126</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Designated representative—submissions. </w:t>
      </w:r>
      <w:r>
        <w:rPr>
          <w:rFonts w:ascii="Times New Roman" w:hAnsi="Times New Roman"/>
          <w:b w:val="false"/>
          <w:i w:val="false"/>
          <w:color w:val="000000"/>
          <w:sz w:val="22"/>
        </w:rPr>
        <w:t>The provisions for submission by designated representatives as set forth in 40 CFR 72, Subpart B,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567—24.127</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Designated representative—objections. </w:t>
      </w:r>
      <w:r>
        <w:rPr>
          <w:rFonts w:ascii="Times New Roman" w:hAnsi="Times New Roman"/>
          <w:b w:val="false"/>
          <w:i w:val="false"/>
          <w:color w:val="000000"/>
          <w:sz w:val="22"/>
        </w:rPr>
        <w:t>The provisions for disputes regarding a designated representative as set forth in 40 CFR §72.25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567—24.128</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applications—requirement to apply. </w:t>
      </w:r>
      <w:r>
        <w:rPr>
          <w:rFonts w:ascii="Times New Roman" w:hAnsi="Times New Roman"/>
          <w:b w:val="false"/>
          <w:i w:val="false"/>
          <w:color w:val="000000"/>
          <w:sz w:val="22"/>
        </w:rPr>
        <w:t>The requirement to apply for an acid rain permit as set forth in 40 CFR §72.30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24.128(1)</w:t>
      </w:r>
      <w:r>
        <w:rPr>
          <w:rFonts w:ascii="Times New Roman" w:hAnsi="Times New Roman"/>
          <w:b w:val="false"/>
          <w:i w:val="false"/>
          <w:color w:val="000000"/>
          <w:sz w:val="22"/>
        </w:rPr>
        <w:t> </w:t>
      </w:r>
      <w:r>
        <w:rPr>
          <w:rFonts w:ascii="Times New Roman" w:hAnsi="Times New Roman"/>
          <w:b w:val="false"/>
          <w:i/>
          <w:color w:val="000000"/>
          <w:sz w:val="22"/>
        </w:rPr>
        <w:t xml:space="preserve">Duty to reapply. </w:t>
      </w:r>
      <w:r>
        <w:rPr>
          <w:rFonts w:ascii="Times New Roman" w:hAnsi="Times New Roman"/>
          <w:b w:val="false"/>
          <w:i w:val="false"/>
          <w:color w:val="000000"/>
          <w:sz w:val="22"/>
        </w:rPr>
        <w:t>The duty to reapply, as set forth in 40 CFR §72.30(c),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24.128(2)</w:t>
      </w:r>
      <w:r>
        <w:rPr>
          <w:rFonts w:ascii="Times New Roman" w:hAnsi="Times New Roman"/>
          <w:b w:val="false"/>
          <w:i w:val="false"/>
          <w:color w:val="000000"/>
          <w:sz w:val="22"/>
        </w:rPr>
        <w:t> </w:t>
      </w:r>
      <w:r>
        <w:rPr>
          <w:rFonts w:ascii="Times New Roman" w:hAnsi="Times New Roman"/>
          <w:b w:val="false"/>
          <w:i/>
          <w:color w:val="000000"/>
          <w:sz w:val="22"/>
        </w:rPr>
        <w:t xml:space="preserve">Submission of copies. </w:t>
      </w:r>
      <w:r>
        <w:rPr>
          <w:rFonts w:ascii="Times New Roman" w:hAnsi="Times New Roman"/>
          <w:b w:val="false"/>
          <w:i w:val="false"/>
          <w:color w:val="000000"/>
          <w:sz w:val="22"/>
        </w:rPr>
        <w:t>The designated representative shall submit the application in the electronic format specified by the department, if electronic submittal is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567—24.129</w:t>
      </w:r>
      <w:r>
        <w:rPr>
          <w:rFonts w:ascii="Times New Roman" w:hAnsi="Times New Roman"/>
          <w:b/>
          <w:i w:val="false"/>
          <w:color w:val="000000"/>
          <w:sz w:val="22"/>
        </w:rPr>
        <w:t xml:space="preserve">(455B) </w:t>
      </w:r>
      <w:r>
        <w:rPr>
          <w:rFonts w:ascii="Times New Roman" w:hAnsi="Times New Roman"/>
          <w:b/>
          <w:i w:val="false"/>
          <w:color w:val="000000"/>
          <w:sz w:val="22"/>
        </w:rPr>
        <w:t xml:space="preserve">Information requirements for acid rain permit applications. </w:t>
      </w:r>
      <w:r>
        <w:rPr>
          <w:rFonts w:ascii="Times New Roman" w:hAnsi="Times New Roman"/>
          <w:b w:val="false"/>
          <w:i w:val="false"/>
          <w:color w:val="000000"/>
          <w:sz w:val="22"/>
        </w:rPr>
        <w:t>A complete acid rain permit application shall be submitted on a form approved by the department and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24.129(1)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affected source for which the permit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24.129(2)</w:t>
      </w:r>
      <w:r>
        <w:rPr>
          <w:rFonts w:ascii="Times New Roman" w:hAnsi="Times New Roman"/>
          <w:b w:val="false"/>
          <w:i w:val="false"/>
          <w:color w:val="000000"/>
          <w:sz w:val="22"/>
        </w:rPr>
        <w:t> </w:t>
      </w:r>
      <w:r>
        <w:rPr>
          <w:rFonts w:ascii="Times New Roman" w:hAnsi="Times New Roman"/>
          <w:b w:val="false"/>
          <w:i w:val="false"/>
          <w:color w:val="000000"/>
          <w:sz w:val="22"/>
        </w:rPr>
        <w:t>Identification of each affected unit at the source for which the permit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24.129(3)</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 compliance plan for each unit, in accordance with </w:t>
      </w:r>
      <w:hyperlink r:id="rId156">
        <w:r>
          <w:rPr>
            <w:rStyle w:val="Hyperlink"/>
            <w:rFonts w:ascii="Times New Roman" w:hAnsi="Times New Roman"/>
            <w:b w:val="false"/>
            <w:i w:val="false"/>
            <w:color w:val="000000"/>
            <w:sz w:val="22"/>
          </w:rPr>
          <w:t>567—24.131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standard requirements under </w:t>
      </w:r>
      <w:hyperlink r:id="rId157">
        <w:r>
          <w:rPr>
            <w:rStyle w:val="Hyperlink"/>
            <w:rFonts w:ascii="Times New Roman" w:hAnsi="Times New Roman"/>
            <w:b w:val="false"/>
            <w:i w:val="false"/>
            <w:color w:val="000000"/>
            <w:sz w:val="22"/>
          </w:rPr>
          <w:t>567—24.125</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24.129(5)</w:t>
      </w:r>
      <w:r>
        <w:rPr>
          <w:rFonts w:ascii="Times New Roman" w:hAnsi="Times New Roman"/>
          <w:b w:val="false"/>
          <w:i w:val="false"/>
          <w:color w:val="000000"/>
          <w:sz w:val="22"/>
        </w:rPr>
        <w:t> </w:t>
      </w:r>
      <w:r>
        <w:rPr>
          <w:rFonts w:ascii="Times New Roman" w:hAnsi="Times New Roman"/>
          <w:b w:val="false"/>
          <w:i w:val="false"/>
          <w:color w:val="000000"/>
          <w:sz w:val="22"/>
        </w:rPr>
        <w:t>If the unit is a new unit, the date that the unit has commenced or will commence operation and the deadline for monitor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567—24.130</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application shield and binding effect of permit application. </w:t>
      </w:r>
      <w:r>
        <w:rPr>
          <w:rFonts w:ascii="Times New Roman" w:hAnsi="Times New Roman"/>
          <w:b w:val="false"/>
          <w:i w:val="false"/>
          <w:color w:val="000000"/>
          <w:sz w:val="22"/>
        </w:rPr>
        <w:t>The provisions for an acid rain permit application shield and the binding effect of a permit application as set forth in 40 CFR §72.32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567—24.131</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compliance plan and compliance options—general. </w:t>
      </w:r>
      <w:r>
        <w:rPr>
          <w:rFonts w:ascii="Times New Roman" w:hAnsi="Times New Roman"/>
          <w:b w:val="false"/>
          <w:i w:val="false"/>
          <w:color w:val="000000"/>
          <w:sz w:val="22"/>
        </w:rPr>
        <w:t>The general provisions for an acid rain compliance plan and compliance options as set forth in 40 CFR §72.40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567—24.132</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567—24.133</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contents—general. </w:t>
      </w:r>
      <w:r>
        <w:rPr>
          <w:rFonts w:ascii="Times New Roman" w:hAnsi="Times New Roman"/>
          <w:b w:val="false"/>
          <w:i w:val="false"/>
          <w:color w:val="000000"/>
          <w:sz w:val="22"/>
        </w:rPr>
        <w:t>The general provisions for acid rain permit contents as set forth in 40 CFR §72.50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567—24.134</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shield. </w:t>
      </w:r>
      <w:r>
        <w:rPr>
          <w:rFonts w:ascii="Times New Roman" w:hAnsi="Times New Roman"/>
          <w:b w:val="false"/>
          <w:i w:val="false"/>
          <w:color w:val="000000"/>
          <w:sz w:val="22"/>
        </w:rPr>
        <w:t>The general provisions for an acid rain permit shield as set forth in 40 CFR §72.51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567—24.135</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issuance procedures—general. </w:t>
      </w:r>
      <w:r>
        <w:rPr>
          <w:rFonts w:ascii="Times New Roman" w:hAnsi="Times New Roman"/>
          <w:b w:val="false"/>
          <w:i w:val="false"/>
          <w:color w:val="000000"/>
          <w:sz w:val="22"/>
        </w:rPr>
        <w:t xml:space="preserve">The department will issue or deny all acid rain permits in accordance with </w:t>
      </w:r>
      <w:hyperlink r:id="rId158">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159">
        <w:r>
          <w:rPr>
            <w:rStyle w:val="Hyperlink"/>
            <w:rFonts w:ascii="Times New Roman" w:hAnsi="Times New Roman"/>
            <w:b w:val="false"/>
            <w:i w:val="false"/>
            <w:color w:val="000000"/>
            <w:sz w:val="22"/>
          </w:rPr>
          <w:t>567—24.116</w:t>
        </w:r>
      </w:hyperlink>
      <w:r>
        <w:rPr>
          <w:rFonts w:ascii="Times New Roman" w:hAnsi="Times New Roman"/>
          <w:b w:val="false"/>
          <w:i w:val="false"/>
          <w:color w:val="000000"/>
          <w:sz w:val="22"/>
        </w:rPr>
        <w:t xml:space="preserve">(455B), including the completeness determination, draft permit, administrative record, statement of basis, public notice and comment period, public hearing, proposed permit, permit issuance, permit revision, and appeal procedures as amended by </w:t>
      </w:r>
      <w:hyperlink r:id="rId160">
        <w:r>
          <w:rPr>
            <w:rStyle w:val="Hyperlink"/>
            <w:rFonts w:ascii="Times New Roman" w:hAnsi="Times New Roman"/>
            <w:b w:val="false"/>
            <w:i w:val="false"/>
            <w:color w:val="000000"/>
            <w:sz w:val="22"/>
          </w:rPr>
          <w:t>567—24.135</w:t>
        </w:r>
      </w:hyperlink>
      <w:r>
        <w:rPr>
          <w:rFonts w:ascii="Times New Roman" w:hAnsi="Times New Roman"/>
          <w:b w:val="false"/>
          <w:i w:val="false"/>
          <w:color w:val="000000"/>
          <w:sz w:val="22"/>
        </w:rPr>
        <w:t xml:space="preserve">(455B) through </w:t>
      </w:r>
      <w:hyperlink r:id="rId161">
        <w:r>
          <w:rPr>
            <w:rStyle w:val="Hyperlink"/>
            <w:rFonts w:ascii="Times New Roman" w:hAnsi="Times New Roman"/>
            <w:b w:val="false"/>
            <w:i w:val="false"/>
            <w:color w:val="000000"/>
            <w:sz w:val="22"/>
          </w:rPr>
          <w:t>567—24.145</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567—24.136</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issuance procedures—completeness. </w:t>
      </w:r>
      <w:r>
        <w:rPr>
          <w:rFonts w:ascii="Times New Roman" w:hAnsi="Times New Roman"/>
          <w:b w:val="false"/>
          <w:i w:val="false"/>
          <w:color w:val="000000"/>
          <w:sz w:val="22"/>
        </w:rPr>
        <w:t>The department will submit a written notice of application completeness to the Administrator within ten working days following a determination by the department that the acid rain permit application is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567—24.137</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issuance procedures—statement of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24.137(1)</w:t>
      </w:r>
      <w:r>
        <w:rPr>
          <w:rFonts w:ascii="Times New Roman" w:hAnsi="Times New Roman"/>
          <w:b w:val="false"/>
          <w:i w:val="false"/>
          <w:color w:val="000000"/>
          <w:sz w:val="22"/>
        </w:rPr>
        <w:t> </w:t>
      </w:r>
      <w:r>
        <w:rPr>
          <w:rFonts w:ascii="Times New Roman" w:hAnsi="Times New Roman"/>
          <w:b w:val="false"/>
          <w:i w:val="false"/>
          <w:color w:val="000000"/>
          <w:sz w:val="22"/>
        </w:rPr>
        <w:t>The statement of basis will briefly set forth significant factual, legal, and policy considerations on which the department relied in issuing or denying the draft acid rain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24.137(2)</w:t>
      </w:r>
      <w:r>
        <w:rPr>
          <w:rFonts w:ascii="Times New Roman" w:hAnsi="Times New Roman"/>
          <w:b w:val="false"/>
          <w:i w:val="false"/>
          <w:color w:val="000000"/>
          <w:sz w:val="22"/>
        </w:rPr>
        <w:t> </w:t>
      </w:r>
      <w:r>
        <w:rPr>
          <w:rFonts w:ascii="Times New Roman" w:hAnsi="Times New Roman"/>
          <w:b w:val="false"/>
          <w:i w:val="false"/>
          <w:color w:val="000000"/>
          <w:sz w:val="22"/>
        </w:rPr>
        <w:t>The statement of basis will include the reasons, and supporting authority, for approval or disapproval of any compliance options requested in the permit application, including references to applicable statutory or regulatory provisions and to the administrative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24.137(3)</w:t>
      </w:r>
      <w:r>
        <w:rPr>
          <w:rFonts w:ascii="Times New Roman" w:hAnsi="Times New Roman"/>
          <w:b w:val="false"/>
          <w:i w:val="false"/>
          <w:color w:val="000000"/>
          <w:sz w:val="22"/>
        </w:rPr>
        <w:t> </w:t>
      </w:r>
      <w:r>
        <w:rPr>
          <w:rFonts w:ascii="Times New Roman" w:hAnsi="Times New Roman"/>
          <w:b w:val="false"/>
          <w:i w:val="false"/>
          <w:color w:val="000000"/>
          <w:sz w:val="22"/>
        </w:rPr>
        <w:t>The department will submit to the Administrator a copy of the draft acid rain permit and the statement of basis and all other relevant portions of the Title V operating permit that may affect the draft acid rain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567—24.138</w:t>
      </w:r>
      <w:r>
        <w:rPr>
          <w:rFonts w:ascii="Times New Roman" w:hAnsi="Times New Roman"/>
          <w:b/>
          <w:i w:val="false"/>
          <w:color w:val="000000"/>
          <w:sz w:val="22"/>
        </w:rPr>
        <w:t xml:space="preserve">(455B) </w:t>
      </w:r>
      <w:r>
        <w:rPr>
          <w:rFonts w:ascii="Times New Roman" w:hAnsi="Times New Roman"/>
          <w:b/>
          <w:i w:val="false"/>
          <w:color w:val="000000"/>
          <w:sz w:val="22"/>
        </w:rPr>
        <w:t xml:space="preserve">Issuance of acid rain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24.138(1)</w:t>
      </w:r>
      <w:r>
        <w:rPr>
          <w:rFonts w:ascii="Times New Roman" w:hAnsi="Times New Roman"/>
          <w:b w:val="false"/>
          <w:i w:val="false"/>
          <w:color w:val="000000"/>
          <w:sz w:val="22"/>
        </w:rPr>
        <w:t> </w:t>
      </w:r>
      <w:r>
        <w:rPr>
          <w:rFonts w:ascii="Times New Roman" w:hAnsi="Times New Roman"/>
          <w:b w:val="false"/>
          <w:i w:val="false"/>
          <w:color w:val="000000"/>
          <w:sz w:val="22"/>
        </w:rPr>
        <w:t xml:space="preserve">Proposed permit. After the close of the public comment and EPA 45-day review period (pursuant to </w:t>
      </w:r>
      <w:hyperlink r:id="rId162">
        <w:r>
          <w:rPr>
            <w:rStyle w:val="Hyperlink"/>
            <w:rFonts w:ascii="Times New Roman" w:hAnsi="Times New Roman"/>
            <w:b w:val="false"/>
            <w:i w:val="false"/>
            <w:color w:val="000000"/>
            <w:sz w:val="22"/>
          </w:rPr>
          <w:t>24.107(6)</w:t>
        </w:r>
      </w:hyperlink>
      <w:r>
        <w:rPr>
          <w:rFonts w:ascii="Times New Roman" w:hAnsi="Times New Roman"/>
          <w:b w:val="false"/>
          <w:i w:val="false"/>
          <w:color w:val="000000"/>
          <w:sz w:val="22"/>
        </w:rPr>
        <w:t xml:space="preserve"> and </w:t>
      </w:r>
      <w:hyperlink r:id="rId163">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the department will address any objections by the Administrator, incorporate all necessary changes and issue or deny the acid rain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submit the proposed acid rain permit or denial of a proposed acid rain permit to the Administrator in accordance with </w:t>
      </w:r>
      <w:hyperlink r:id="rId164">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165">
        <w:r>
          <w:rPr>
            <w:rStyle w:val="Hyperlink"/>
            <w:rFonts w:ascii="Times New Roman" w:hAnsi="Times New Roman"/>
            <w:b w:val="false"/>
            <w:i w:val="false"/>
            <w:color w:val="000000"/>
            <w:sz w:val="22"/>
          </w:rPr>
          <w:t>567—24.116</w:t>
        </w:r>
      </w:hyperlink>
      <w:r>
        <w:rPr>
          <w:rFonts w:ascii="Times New Roman" w:hAnsi="Times New Roman"/>
          <w:b w:val="false"/>
          <w:i w:val="false"/>
          <w:color w:val="000000"/>
          <w:sz w:val="22"/>
        </w:rPr>
        <w:t>(455B), the provisions of which shall be treated as applying to the issuance or denial of a proposed acid rain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24.138(3)</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the Administrator’s review of the proposed acid rain permit or denial of a proposed acid rain permit, the department, or under 40 CFR §70.8(c), the Administrator, will incorporate any required changes and issue or deny the acid rain permit in accordance with </w:t>
      </w:r>
      <w:hyperlink r:id="rId166">
        <w:r>
          <w:rPr>
            <w:rStyle w:val="Hyperlink"/>
            <w:rFonts w:ascii="Times New Roman" w:hAnsi="Times New Roman"/>
            <w:b w:val="false"/>
            <w:i w:val="false"/>
            <w:color w:val="000000"/>
            <w:sz w:val="22"/>
          </w:rPr>
          <w:t>567—24.133</w:t>
        </w:r>
      </w:hyperlink>
      <w:r>
        <w:rPr>
          <w:rFonts w:ascii="Times New Roman" w:hAnsi="Times New Roman"/>
          <w:b w:val="false"/>
          <w:i w:val="false"/>
          <w:color w:val="000000"/>
          <w:sz w:val="22"/>
        </w:rPr>
        <w:t xml:space="preserve">(455B) and </w:t>
      </w:r>
      <w:hyperlink r:id="rId167">
        <w:r>
          <w:rPr>
            <w:rStyle w:val="Hyperlink"/>
            <w:rFonts w:ascii="Times New Roman" w:hAnsi="Times New Roman"/>
            <w:b w:val="false"/>
            <w:i w:val="false"/>
            <w:color w:val="000000"/>
            <w:sz w:val="22"/>
          </w:rPr>
          <w:t>567—24.134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24.138(4)</w:t>
      </w:r>
      <w:r>
        <w:rPr>
          <w:rFonts w:ascii="Times New Roman" w:hAnsi="Times New Roman"/>
          <w:b w:val="false"/>
          <w:i w:val="false"/>
          <w:color w:val="000000"/>
          <w:sz w:val="22"/>
        </w:rPr>
        <w:t> </w:t>
      </w:r>
      <w:r>
        <w:rPr>
          <w:rFonts w:ascii="Times New Roman" w:hAnsi="Times New Roman"/>
          <w:b w:val="false"/>
          <w:i w:val="false"/>
          <w:color w:val="000000"/>
          <w:sz w:val="22"/>
        </w:rPr>
        <w:t>No acid rain permit including a draft or proposed permit shall be issued unless the Administrator has received a certificate of representation for the designated representative of the source in accordance with Subpart B of 40 CFR Part 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24.138(5)</w:t>
      </w:r>
      <w:r>
        <w:rPr>
          <w:rFonts w:ascii="Times New Roman" w:hAnsi="Times New Roman"/>
          <w:b w:val="false"/>
          <w:i w:val="false"/>
          <w:color w:val="000000"/>
          <w:sz w:val="22"/>
        </w:rPr>
        <w:t> </w:t>
      </w:r>
      <w:r>
        <w:rPr>
          <w:rFonts w:ascii="Times New Roman" w:hAnsi="Times New Roman"/>
          <w:b w:val="false"/>
          <w:i w:val="false"/>
          <w:color w:val="000000"/>
          <w:sz w:val="22"/>
        </w:rPr>
        <w:t>Permit issuance deadline and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val="false"/>
          <w:i/>
          <w:color w:val="000000"/>
          <w:sz w:val="22"/>
        </w:rPr>
        <w:t>b.</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acid rain permit issued in accordance with </w:t>
      </w:r>
      <w:hyperlink r:id="rId168">
        <w:r>
          <w:rPr>
            <w:rStyle w:val="Hyperlink"/>
            <w:rFonts w:ascii="Times New Roman" w:hAnsi="Times New Roman"/>
            <w:b w:val="false"/>
            <w:i w:val="false"/>
            <w:color w:val="000000"/>
            <w:sz w:val="22"/>
          </w:rPr>
          <w:t>24.138(5)</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take effect by the later of January 1, 2000, or, where the permit governs a unit under </w:t>
      </w:r>
      <w:hyperlink r:id="rId169">
        <w:r>
          <w:rPr>
            <w:rStyle w:val="Hyperlink"/>
            <w:rFonts w:ascii="Times New Roman" w:hAnsi="Times New Roman"/>
            <w:b w:val="false"/>
            <w:i w:val="false"/>
            <w:color w:val="000000"/>
            <w:sz w:val="22"/>
          </w:rPr>
          <w:t>24.122(1)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deadline for monitor certification under </w:t>
      </w:r>
      <w:hyperlink r:id="rId170">
        <w:r>
          <w:rPr>
            <w:rStyle w:val="Hyperlink"/>
            <w:rFonts w:ascii="Times New Roman" w:hAnsi="Times New Roman"/>
            <w:b w:val="false"/>
            <w:i w:val="false"/>
            <w:color w:val="000000"/>
            <w:sz w:val="22"/>
          </w:rPr>
          <w:t>567—25.2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acid rain permit shall have a term of five years commencing on its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acid rain permit shall be binding on any new owner or operator or designated representative of any source or unit governed by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24.138(6)</w:t>
      </w:r>
      <w:r>
        <w:rPr>
          <w:rFonts w:ascii="Times New Roman" w:hAnsi="Times New Roman"/>
          <w:b w:val="false"/>
          <w:i w:val="false"/>
          <w:color w:val="000000"/>
          <w:sz w:val="22"/>
        </w:rPr>
        <w:t> </w:t>
      </w:r>
      <w:r>
        <w:rPr>
          <w:rFonts w:ascii="Times New Roman" w:hAnsi="Times New Roman"/>
          <w:b w:val="false"/>
          <w:i w:val="false"/>
          <w:color w:val="000000"/>
          <w:sz w:val="22"/>
        </w:rPr>
        <w:t>Each acid rain permit shall contain all applicable acid rain requirements, shall be a portion of the Title V operating permit that is complete and segregable from all other air quality requirements, and shall not incorporate information contained in any other documents, other than documents that are readily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24.138(7)</w:t>
      </w:r>
      <w:r>
        <w:rPr>
          <w:rFonts w:ascii="Times New Roman" w:hAnsi="Times New Roman"/>
          <w:b w:val="false"/>
          <w:i w:val="false"/>
          <w:color w:val="000000"/>
          <w:sz w:val="22"/>
        </w:rPr>
        <w:t> </w:t>
      </w:r>
      <w:r>
        <w:rPr>
          <w:rFonts w:ascii="Times New Roman" w:hAnsi="Times New Roman"/>
          <w:b w:val="false"/>
          <w:i w:val="false"/>
          <w:color w:val="000000"/>
          <w:sz w:val="22"/>
        </w:rPr>
        <w:t>Invalidation of the acid rain portion of a Title V operating permit shall not affect the continuing validity of the rest of the Title V operating permit, nor shall invalidation of any other portion of the Title V operating permit affect the continuing validity of the acid rain portion of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567—24.139</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appeal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24.139(1)</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of the acid rain portion of a Title V operating permit issued by the department that do not challenge or involve decisions or actions of the Administrator under 40 CFR Parts 72, 73, 75, 76, 77, and 78 and Sections 407 and 410 of the Act and regulations implementing Sections 407 and 410 shall be conducted according to the procedures in Iowa Code chapter </w:t>
      </w:r>
      <w:hyperlink r:id="rId17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72">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xml:space="preserve">, as adopted by reference in </w:t>
      </w:r>
      <w:hyperlink r:id="rId173">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Appeals of the acid rain portion of such a permit that challenge or involve such decisions or actions of the Administrator shall follow the procedures under 40 CFR Part 78, as amended through March 20, 2017, and Section 307 of the Act. Such decisions or actions include, but are not limited to, allowance allocations, determinations concerning alternative monitoring systems, and determinations of whether a technology is a qualifying repowering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24.139(2)</w:t>
      </w:r>
      <w:r>
        <w:rPr>
          <w:rFonts w:ascii="Times New Roman" w:hAnsi="Times New Roman"/>
          <w:b w:val="false"/>
          <w:i w:val="false"/>
          <w:color w:val="000000"/>
          <w:sz w:val="22"/>
        </w:rPr>
        <w:t> </w:t>
      </w:r>
      <w:r>
        <w:rPr>
          <w:rFonts w:ascii="Times New Roman" w:hAnsi="Times New Roman"/>
          <w:b w:val="false"/>
          <w:i w:val="false"/>
          <w:color w:val="000000"/>
          <w:sz w:val="22"/>
        </w:rPr>
        <w:t>No administrative appeal or judicial appeal of the acid rain portion of a Title V operating permit shall be allowed more than 30 days following respective issuance of the acid rain portion of the permit that is subject to administrative appeal or issuance of the final agency action subject to judicial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24.139(3)</w:t>
      </w:r>
      <w:r>
        <w:rPr>
          <w:rFonts w:ascii="Times New Roman" w:hAnsi="Times New Roman"/>
          <w:b w:val="false"/>
          <w:i w:val="false"/>
          <w:color w:val="000000"/>
          <w:sz w:val="22"/>
        </w:rPr>
        <w:t> </w:t>
      </w:r>
      <w:r>
        <w:rPr>
          <w:rFonts w:ascii="Times New Roman" w:hAnsi="Times New Roman"/>
          <w:b w:val="false"/>
          <w:i w:val="false"/>
          <w:color w:val="000000"/>
          <w:sz w:val="22"/>
        </w:rPr>
        <w:t>The Administrator may intervene as a matter of right in any state administrative appeal of an acid rain permit or denial of an acid rain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24.139(4)</w:t>
      </w:r>
      <w:r>
        <w:rPr>
          <w:rFonts w:ascii="Times New Roman" w:hAnsi="Times New Roman"/>
          <w:b w:val="false"/>
          <w:i w:val="false"/>
          <w:color w:val="000000"/>
          <w:sz w:val="22"/>
        </w:rPr>
        <w:t> </w:t>
      </w:r>
      <w:r>
        <w:rPr>
          <w:rFonts w:ascii="Times New Roman" w:hAnsi="Times New Roman"/>
          <w:b w:val="false"/>
          <w:i w:val="false"/>
          <w:color w:val="000000"/>
          <w:sz w:val="22"/>
        </w:rPr>
        <w:t>No administrative appeal concerning an acid rain requirement shall result in a stay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allowance allocations for any year during which the appeal proceeding is pending or is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standard requirement under </w:t>
      </w:r>
      <w:hyperlink r:id="rId174">
        <w:r>
          <w:rPr>
            <w:rStyle w:val="Hyperlink"/>
            <w:rFonts w:ascii="Times New Roman" w:hAnsi="Times New Roman"/>
            <w:b w:val="false"/>
            <w:i w:val="false"/>
            <w:color w:val="000000"/>
            <w:sz w:val="22"/>
          </w:rPr>
          <w:t>567—24.125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emissions monitoring and reporting requirements applicable to the affected units at an affected source under </w:t>
      </w:r>
      <w:hyperlink r:id="rId175">
        <w:r>
          <w:rPr>
            <w:rStyle w:val="Hyperlink"/>
            <w:rFonts w:ascii="Times New Roman" w:hAnsi="Times New Roman"/>
            <w:b w:val="false"/>
            <w:i w:val="false"/>
            <w:color w:val="000000"/>
            <w:sz w:val="22"/>
          </w:rPr>
          <w:t>567—25.2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Uncontested provisions of the decision on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terms of a certificate of representation submitted by a designated representative under Subpart B of 40 CFR Part 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24.139(5)</w:t>
      </w:r>
      <w:r>
        <w:rPr>
          <w:rFonts w:ascii="Times New Roman" w:hAnsi="Times New Roman"/>
          <w:b w:val="false"/>
          <w:i w:val="false"/>
          <w:color w:val="000000"/>
          <w:sz w:val="22"/>
        </w:rPr>
        <w:t> </w:t>
      </w:r>
      <w:r>
        <w:rPr>
          <w:rFonts w:ascii="Times New Roman" w:hAnsi="Times New Roman"/>
          <w:b w:val="false"/>
          <w:i w:val="false"/>
          <w:color w:val="000000"/>
          <w:sz w:val="22"/>
        </w:rPr>
        <w:t>The department will serve written notice on the Administrator of any state administrative or judicial appeal concerning an acid rain provision of any Title V operating permit or denial of an acid rain portion of any Title V operating permit within 30 days of the filing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serve written notice on the Administrator of any determination or order in a state administrative or judicial proceeding that interprets, modifies, voids, or otherwise relates to any portion of an acid rain permit. Following any such determination or order, the Administrator will have an opportunity to review and veto the acid rain permit or revoke the permit for cause in accordance with </w:t>
      </w:r>
      <w:hyperlink r:id="rId176">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xml:space="preserve"> and </w:t>
      </w:r>
      <w:hyperlink r:id="rId177">
        <w:r>
          <w:rPr>
            <w:rStyle w:val="Hyperlink"/>
            <w:rFonts w:ascii="Times New Roman" w:hAnsi="Times New Roman"/>
            <w:b w:val="false"/>
            <w:i w:val="false"/>
            <w:color w:val="000000"/>
            <w:sz w:val="22"/>
          </w:rPr>
          <w:t>24.107(8)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567—24.140</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revisions—general.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24.140(1)</w:t>
      </w:r>
      <w:r>
        <w:rPr>
          <w:rFonts w:ascii="Times New Roman" w:hAnsi="Times New Roman"/>
          <w:b w:val="false"/>
          <w:i w:val="false"/>
          <w:color w:val="000000"/>
          <w:sz w:val="22"/>
        </w:rPr>
        <w:t> </w:t>
      </w:r>
      <w:hyperlink r:id="rId178">
        <w:r>
          <w:rPr>
            <w:rStyle w:val="Hyperlink"/>
            <w:rFonts w:ascii="Times New Roman" w:hAnsi="Times New Roman"/>
            <w:b w:val="false"/>
            <w:i w:val="false"/>
            <w:color w:val="000000"/>
            <w:sz w:val="22"/>
          </w:rPr>
          <w:t>567—24.140</w:t>
        </w:r>
      </w:hyperlink>
      <w:r>
        <w:rPr>
          <w:rFonts w:ascii="Times New Roman" w:hAnsi="Times New Roman"/>
          <w:b w:val="false"/>
          <w:i w:val="false"/>
          <w:color w:val="000000"/>
          <w:sz w:val="22"/>
        </w:rPr>
        <w:t xml:space="preserve">(455B) through </w:t>
      </w:r>
      <w:hyperlink r:id="rId179">
        <w:r>
          <w:rPr>
            <w:rStyle w:val="Hyperlink"/>
            <w:rFonts w:ascii="Times New Roman" w:hAnsi="Times New Roman"/>
            <w:b w:val="false"/>
            <w:i w:val="false"/>
            <w:color w:val="000000"/>
            <w:sz w:val="22"/>
          </w:rPr>
          <w:t>567—24.145</w:t>
        </w:r>
      </w:hyperlink>
      <w:r>
        <w:rPr>
          <w:rFonts w:ascii="Times New Roman" w:hAnsi="Times New Roman"/>
          <w:b w:val="false"/>
          <w:i w:val="false"/>
          <w:color w:val="000000"/>
          <w:sz w:val="22"/>
        </w:rPr>
        <w:t>(455B) shall govern revisions to any acid rain permit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24.140(2)</w:t>
      </w:r>
      <w:r>
        <w:rPr>
          <w:rFonts w:ascii="Times New Roman" w:hAnsi="Times New Roman"/>
          <w:b w:val="false"/>
          <w:i w:val="false"/>
          <w:color w:val="000000"/>
          <w:sz w:val="22"/>
        </w:rPr>
        <w:t> </w:t>
      </w:r>
      <w:r>
        <w:rPr>
          <w:rFonts w:ascii="Times New Roman" w:hAnsi="Times New Roman"/>
          <w:b w:val="false"/>
          <w:i w:val="false"/>
          <w:color w:val="000000"/>
          <w:sz w:val="22"/>
        </w:rPr>
        <w:t>A permit revision may be submitted for approval at any time. No permit revision shall affect the term of the acid rain permit to be revised. No permit revision shall excuse any violation of an acid rain program requirement that occurred prior to the effective date of the revision.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24.140(3)</w:t>
      </w:r>
      <w:r>
        <w:rPr>
          <w:rFonts w:ascii="Times New Roman" w:hAnsi="Times New Roman"/>
          <w:b w:val="false"/>
          <w:i w:val="false"/>
          <w:color w:val="000000"/>
          <w:sz w:val="22"/>
        </w:rPr>
        <w:t> </w:t>
      </w:r>
      <w:r>
        <w:rPr>
          <w:rFonts w:ascii="Times New Roman" w:hAnsi="Times New Roman"/>
          <w:b w:val="false"/>
          <w:i w:val="false"/>
          <w:color w:val="000000"/>
          <w:sz w:val="22"/>
        </w:rPr>
        <w:t>The terms of the acid rain permit shall apply while the permit revision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determination or interpretation by the state (including the department or a state court) modifying or voiding any acid rain permit provision shall be subject to review by the Administrator in accordance with 40 CFR §70.8(c), as applied to permit modifications, unless the determination or interpretation is an administrative amendment approved in accordance with </w:t>
      </w:r>
      <w:hyperlink r:id="rId180">
        <w:r>
          <w:rPr>
            <w:rStyle w:val="Hyperlink"/>
            <w:rFonts w:ascii="Times New Roman" w:hAnsi="Times New Roman"/>
            <w:b w:val="false"/>
            <w:i w:val="false"/>
            <w:color w:val="000000"/>
            <w:sz w:val="22"/>
          </w:rPr>
          <w:t>567—24.143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standard requirements of </w:t>
      </w:r>
      <w:hyperlink r:id="rId181">
        <w:r>
          <w:rPr>
            <w:rStyle w:val="Hyperlink"/>
            <w:rFonts w:ascii="Times New Roman" w:hAnsi="Times New Roman"/>
            <w:b w:val="false"/>
            <w:i w:val="false"/>
            <w:color w:val="000000"/>
            <w:sz w:val="22"/>
          </w:rPr>
          <w:t>567—24.125</w:t>
        </w:r>
      </w:hyperlink>
      <w:r>
        <w:rPr>
          <w:rFonts w:ascii="Times New Roman" w:hAnsi="Times New Roman"/>
          <w:b w:val="false"/>
          <w:i w:val="false"/>
          <w:color w:val="000000"/>
          <w:sz w:val="22"/>
        </w:rPr>
        <w:t>(455B) shall not be modified or voided by a permit revision.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24.140(6)</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permit revision involving incorporation of a compliance option that was not submitted for approval and comment during the permit issuance process, or involving a change in a compliance option that was previously submitted, shall meet the requirements for applying for such compliance option under </w:t>
      </w:r>
      <w:hyperlink r:id="rId182">
        <w:r>
          <w:rPr>
            <w:rStyle w:val="Hyperlink"/>
            <w:rFonts w:ascii="Times New Roman" w:hAnsi="Times New Roman"/>
            <w:b w:val="false"/>
            <w:i w:val="false"/>
            <w:color w:val="000000"/>
            <w:sz w:val="22"/>
          </w:rPr>
          <w:t>567—24.131</w:t>
        </w:r>
      </w:hyperlink>
      <w:r>
        <w:rPr>
          <w:rFonts w:ascii="Times New Roman" w:hAnsi="Times New Roman"/>
          <w:b w:val="false"/>
          <w:i w:val="false"/>
          <w:color w:val="000000"/>
          <w:sz w:val="22"/>
        </w:rPr>
        <w:t>(455B) and Section 407 of the Act and regulations implementing Section 407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24.140(7)</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permit revisions not described in </w:t>
      </w:r>
      <w:hyperlink r:id="rId183">
        <w:r>
          <w:rPr>
            <w:rStyle w:val="Hyperlink"/>
            <w:rFonts w:ascii="Times New Roman" w:hAnsi="Times New Roman"/>
            <w:b w:val="false"/>
            <w:i w:val="false"/>
            <w:color w:val="000000"/>
            <w:sz w:val="22"/>
          </w:rPr>
          <w:t>567—24.141</w:t>
        </w:r>
      </w:hyperlink>
      <w:r>
        <w:rPr>
          <w:rFonts w:ascii="Times New Roman" w:hAnsi="Times New Roman"/>
          <w:b w:val="false"/>
          <w:i w:val="false"/>
          <w:color w:val="000000"/>
          <w:sz w:val="22"/>
        </w:rPr>
        <w:t xml:space="preserve">(455B) and </w:t>
      </w:r>
      <w:hyperlink r:id="rId184">
        <w:r>
          <w:rPr>
            <w:rStyle w:val="Hyperlink"/>
            <w:rFonts w:ascii="Times New Roman" w:hAnsi="Times New Roman"/>
            <w:b w:val="false"/>
            <w:i w:val="false"/>
            <w:color w:val="000000"/>
            <w:sz w:val="22"/>
          </w:rPr>
          <w:t>567—24.142</w:t>
        </w:r>
      </w:hyperlink>
      <w:r>
        <w:rPr>
          <w:rFonts w:ascii="Times New Roman" w:hAnsi="Times New Roman"/>
          <w:b w:val="false"/>
          <w:i w:val="false"/>
          <w:color w:val="000000"/>
          <w:sz w:val="22"/>
        </w:rPr>
        <w:t>(455B), the department may, in its discretion, determine which of these rules is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567—24.141</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modifications.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24.141(1)</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modifications shall follow the permit issuance requirements of </w:t>
      </w:r>
      <w:hyperlink r:id="rId185">
        <w:r>
          <w:rPr>
            <w:rStyle w:val="Hyperlink"/>
            <w:rFonts w:ascii="Times New Roman" w:hAnsi="Times New Roman"/>
            <w:b w:val="false"/>
            <w:i w:val="false"/>
            <w:color w:val="000000"/>
            <w:sz w:val="22"/>
          </w:rPr>
          <w:t>567—24.135</w:t>
        </w:r>
      </w:hyperlink>
      <w:r>
        <w:rPr>
          <w:rFonts w:ascii="Times New Roman" w:hAnsi="Times New Roman"/>
          <w:b w:val="false"/>
          <w:i w:val="false"/>
          <w:color w:val="000000"/>
          <w:sz w:val="22"/>
        </w:rPr>
        <w:t xml:space="preserve">(455B) through </w:t>
      </w:r>
      <w:hyperlink r:id="rId186">
        <w:r>
          <w:rPr>
            <w:rStyle w:val="Hyperlink"/>
            <w:rFonts w:ascii="Times New Roman" w:hAnsi="Times New Roman"/>
            <w:b w:val="false"/>
            <w:i w:val="false"/>
            <w:color w:val="000000"/>
            <w:sz w:val="22"/>
          </w:rPr>
          <w:t>567—24.139</w:t>
        </w:r>
      </w:hyperlink>
      <w:r>
        <w:rPr>
          <w:rFonts w:ascii="Times New Roman" w:hAnsi="Times New Roman"/>
          <w:b w:val="false"/>
          <w:i w:val="false"/>
          <w:color w:val="000000"/>
          <w:sz w:val="22"/>
        </w:rPr>
        <w:t xml:space="preserve">(455B) and </w:t>
      </w:r>
      <w:hyperlink r:id="rId187">
        <w:r>
          <w:rPr>
            <w:rStyle w:val="Hyperlink"/>
            <w:rFonts w:ascii="Times New Roman" w:hAnsi="Times New Roman"/>
            <w:b w:val="false"/>
            <w:i w:val="false"/>
            <w:color w:val="000000"/>
            <w:sz w:val="22"/>
          </w:rPr>
          <w:t>24.113(2)</w:t>
        </w:r>
      </w:hyperlink>
      <w:r>
        <w:rPr>
          <w:rFonts w:ascii="Times New Roman" w:hAnsi="Times New Roman"/>
          <w:b w:val="false"/>
          <w:i w:val="false"/>
          <w:color w:val="000000"/>
          <w:sz w:val="22"/>
        </w:rPr>
        <w:t xml:space="preserve"> and </w:t>
      </w:r>
      <w:hyperlink r:id="rId188">
        <w:r>
          <w:rPr>
            <w:rStyle w:val="Hyperlink"/>
            <w:rFonts w:ascii="Times New Roman" w:hAnsi="Times New Roman"/>
            <w:b w:val="false"/>
            <w:i w:val="false"/>
            <w:color w:val="000000"/>
            <w:sz w:val="22"/>
          </w:rPr>
          <w:t>24.113(3)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24.141(2)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applying </w:t>
      </w:r>
      <w:hyperlink r:id="rId189">
        <w:r>
          <w:rPr>
            <w:rStyle w:val="Hyperlink"/>
            <w:rFonts w:ascii="Times New Roman" w:hAnsi="Times New Roman"/>
            <w:b w:val="false"/>
            <w:i w:val="false"/>
            <w:color w:val="000000"/>
            <w:sz w:val="22"/>
          </w:rPr>
          <w:t>24.141(1)</w:t>
        </w:r>
      </w:hyperlink>
      <w:r>
        <w:rPr>
          <w:rFonts w:ascii="Times New Roman" w:hAnsi="Times New Roman"/>
          <w:b w:val="false"/>
          <w:i w:val="false"/>
          <w:color w:val="000000"/>
          <w:sz w:val="22"/>
        </w:rPr>
        <w:t xml:space="preserve">, a permit modification shall be treated as an acid rain permit application, to the extent consistent with </w:t>
      </w:r>
      <w:hyperlink r:id="rId190">
        <w:r>
          <w:rPr>
            <w:rStyle w:val="Hyperlink"/>
            <w:rFonts w:ascii="Times New Roman" w:hAnsi="Times New Roman"/>
            <w:b w:val="false"/>
            <w:i w:val="false"/>
            <w:color w:val="000000"/>
            <w:sz w:val="22"/>
          </w:rPr>
          <w:t>567—24.140</w:t>
        </w:r>
      </w:hyperlink>
      <w:r>
        <w:rPr>
          <w:rFonts w:ascii="Times New Roman" w:hAnsi="Times New Roman"/>
          <w:b w:val="false"/>
          <w:i w:val="false"/>
          <w:color w:val="000000"/>
          <w:sz w:val="22"/>
        </w:rPr>
        <w:t xml:space="preserve">(455B) through </w:t>
      </w:r>
      <w:hyperlink r:id="rId191">
        <w:r>
          <w:rPr>
            <w:rStyle w:val="Hyperlink"/>
            <w:rFonts w:ascii="Times New Roman" w:hAnsi="Times New Roman"/>
            <w:b w:val="false"/>
            <w:i w:val="false"/>
            <w:color w:val="000000"/>
            <w:sz w:val="22"/>
          </w:rPr>
          <w:t>567—24.145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24.141(3)</w:t>
      </w:r>
      <w:r>
        <w:rPr>
          <w:rFonts w:ascii="Times New Roman" w:hAnsi="Times New Roman"/>
          <w:b w:val="false"/>
          <w:i w:val="false"/>
          <w:color w:val="000000"/>
          <w:sz w:val="22"/>
        </w:rPr>
        <w:t> </w:t>
      </w:r>
      <w:r>
        <w:rPr>
          <w:rFonts w:ascii="Times New Roman" w:hAnsi="Times New Roman"/>
          <w:b w:val="false"/>
          <w:i w:val="false"/>
          <w:color w:val="000000"/>
          <w:sz w:val="22"/>
        </w:rPr>
        <w:t>The following permit revisions are permit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Relaxation of an excess emission offset requirement after approval of the offset plan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Incorporation of a final nitrogen oxides alternative emissions limitation following a demonstration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option of the designated representative submitting the permit revision, the permit revisions listed in </w:t>
      </w:r>
      <w:hyperlink r:id="rId192">
        <w:r>
          <w:rPr>
            <w:rStyle w:val="Hyperlink"/>
            <w:rFonts w:ascii="Times New Roman" w:hAnsi="Times New Roman"/>
            <w:b w:val="false"/>
            <w:i w:val="false"/>
            <w:color w:val="000000"/>
            <w:sz w:val="22"/>
          </w:rPr>
          <w:t>24.142(2)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567—24.142</w:t>
      </w:r>
      <w:r>
        <w:rPr>
          <w:rFonts w:ascii="Times New Roman" w:hAnsi="Times New Roman"/>
          <w:b/>
          <w:i w:val="false"/>
          <w:color w:val="000000"/>
          <w:sz w:val="22"/>
        </w:rPr>
        <w:t xml:space="preserve">(455B) </w:t>
      </w:r>
      <w:r>
        <w:rPr>
          <w:rFonts w:ascii="Times New Roman" w:hAnsi="Times New Roman"/>
          <w:b/>
          <w:i w:val="false"/>
          <w:color w:val="000000"/>
          <w:sz w:val="22"/>
        </w:rPr>
        <w:t xml:space="preserve">Fast-track modifications. </w:t>
      </w:r>
      <w:r>
        <w:rPr>
          <w:rFonts w:ascii="Times New Roman" w:hAnsi="Times New Roman"/>
          <w:b w:val="false"/>
          <w:i w:val="false"/>
          <w:color w:val="000000"/>
          <w:sz w:val="22"/>
        </w:rPr>
        <w:t>The requirements for fast-track modifications as set forth in 40 CFR §72.82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567—24.143</w:t>
      </w:r>
      <w:r>
        <w:rPr>
          <w:rFonts w:ascii="Times New Roman" w:hAnsi="Times New Roman"/>
          <w:b/>
          <w:i w:val="false"/>
          <w:color w:val="000000"/>
          <w:sz w:val="22"/>
        </w:rPr>
        <w:t xml:space="preserve">(455B) </w:t>
      </w:r>
      <w:r>
        <w:rPr>
          <w:rFonts w:ascii="Times New Roman" w:hAnsi="Times New Roman"/>
          <w:b/>
          <w:i w:val="false"/>
          <w:color w:val="000000"/>
          <w:sz w:val="22"/>
        </w:rPr>
        <w:t xml:space="preserve">Administrative permit amendment.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24.143(1)</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amendments shall follow the procedures set forth in </w:t>
      </w:r>
      <w:hyperlink r:id="rId193">
        <w:r>
          <w:rPr>
            <w:rStyle w:val="Hyperlink"/>
            <w:rFonts w:ascii="Times New Roman" w:hAnsi="Times New Roman"/>
            <w:b w:val="false"/>
            <w:i w:val="false"/>
            <w:color w:val="000000"/>
            <w:sz w:val="22"/>
          </w:rPr>
          <w:t>567—24.111</w:t>
        </w:r>
      </w:hyperlink>
      <w:r>
        <w:rPr>
          <w:rFonts w:ascii="Times New Roman" w:hAnsi="Times New Roman"/>
          <w:b w:val="false"/>
          <w:i w:val="false"/>
          <w:color w:val="000000"/>
          <w:sz w:val="22"/>
        </w:rPr>
        <w:t>(455B). The department will submit the revised portion of the permit to the Administrator within ten working days after the date of final action on the request for an administrative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24.143(2)</w:t>
      </w:r>
      <w:r>
        <w:rPr>
          <w:rFonts w:ascii="Times New Roman" w:hAnsi="Times New Roman"/>
          <w:b w:val="false"/>
          <w:i w:val="false"/>
          <w:color w:val="000000"/>
          <w:sz w:val="22"/>
        </w:rPr>
        <w:t> </w:t>
      </w:r>
      <w:r>
        <w:rPr>
          <w:rFonts w:ascii="Times New Roman" w:hAnsi="Times New Roman"/>
          <w:b w:val="false"/>
          <w:i w:val="false"/>
          <w:color w:val="000000"/>
          <w:sz w:val="22"/>
        </w:rPr>
        <w:t>The following permit revisions are administrative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Activation of a compliance option conditionally approved by the department, provided that all requirements for activation under </w:t>
      </w:r>
      <w:hyperlink r:id="rId194">
        <w:r>
          <w:rPr>
            <w:rStyle w:val="Hyperlink"/>
            <w:rFonts w:ascii="Times New Roman" w:hAnsi="Times New Roman"/>
            <w:b w:val="false"/>
            <w:i w:val="false"/>
            <w:color w:val="000000"/>
            <w:sz w:val="22"/>
          </w:rPr>
          <w:t>24.131(3)</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Changes in the designated representative or alternative designated representative, provided that a new certificate of representation is submitted to the Administrator in accordance with Subpart B of 40 CFR Part 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Correction of typographical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Changes in names, addresses, or telephone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Changes in the owners or operators, provided that a new certificate of representation is submitted within 30 days to the Administrator and the department in accordance with Subpart B of 40 CFR Part 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Termination of a compliance option in the permit, provided that all requirements for termination under </w:t>
      </w:r>
      <w:hyperlink r:id="rId195">
        <w:r>
          <w:rPr>
            <w:rStyle w:val="Hyperlink"/>
            <w:rFonts w:ascii="Times New Roman" w:hAnsi="Times New Roman"/>
            <w:b w:val="false"/>
            <w:i w:val="false"/>
            <w:color w:val="000000"/>
            <w:sz w:val="22"/>
          </w:rPr>
          <w:t>24.131(4)</w:t>
        </w:r>
      </w:hyperlink>
      <w:r>
        <w:rPr>
          <w:rFonts w:ascii="Times New Roman" w:hAnsi="Times New Roman"/>
          <w:b w:val="false"/>
          <w:i w:val="false"/>
          <w:color w:val="000000"/>
          <w:sz w:val="22"/>
        </w:rPr>
        <w:t xml:space="preserve"> shall be met and this procedure shall not be used to terminate a repowering plan after December 31,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Changes in the date, specified in a new unit’s acid rain permit, of commencement of operation or the deadline for monitor certification; provided that they are in accordance with </w:t>
      </w:r>
      <w:hyperlink r:id="rId196">
        <w:r>
          <w:rPr>
            <w:rStyle w:val="Hyperlink"/>
            <w:rFonts w:ascii="Times New Roman" w:hAnsi="Times New Roman"/>
            <w:b w:val="false"/>
            <w:i w:val="false"/>
            <w:color w:val="000000"/>
            <w:sz w:val="22"/>
          </w:rPr>
          <w:t>567—24.125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addition of or change in a nitrogen oxides alternative emissions limitation demonstration period, provided that the requirements of regulations implementing Section 407 of the Act are met;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Incorporation of changes that the Administrator has determined to be similar to those in </w:t>
      </w:r>
      <w:hyperlink r:id="rId197">
        <w:r>
          <w:rPr>
            <w:rStyle w:val="Hyperlink"/>
            <w:rFonts w:ascii="Times New Roman" w:hAnsi="Times New Roman"/>
            <w:b w:val="false"/>
            <w:i w:val="false"/>
            <w:color w:val="000000"/>
            <w:sz w:val="22"/>
          </w:rPr>
          <w:t>24.143(2)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hyperlink r:id="rId198">
        <w:r>
          <w:rPr>
            <w:rStyle w:val="Hyperlink"/>
            <w:rFonts w:ascii="Times New Roman" w:hAnsi="Times New Roman"/>
            <w:b w:val="false"/>
            <w:i w:val="false"/>
            <w:color w:val="000000"/>
            <w:sz w:val="22"/>
          </w:rPr>
          <w:t>24.143(2)</w:t>
        </w:r>
      </w:hyperlink>
      <w:r>
        <w:rPr>
          <w:rFonts w:ascii="Times New Roman" w:hAnsi="Times New Roman"/>
          <w:b w:val="false"/>
          <w:i/>
          <w:color w:val="000000"/>
          <w:sz w:val="22"/>
        </w:rPr>
        <w: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567—24.144</w:t>
      </w:r>
      <w:r>
        <w:rPr>
          <w:rFonts w:ascii="Times New Roman" w:hAnsi="Times New Roman"/>
          <w:b/>
          <w:i w:val="false"/>
          <w:color w:val="000000"/>
          <w:sz w:val="22"/>
        </w:rPr>
        <w:t xml:space="preserve">(455B) </w:t>
      </w:r>
      <w:r>
        <w:rPr>
          <w:rFonts w:ascii="Times New Roman" w:hAnsi="Times New Roman"/>
          <w:b/>
          <w:i w:val="false"/>
          <w:color w:val="000000"/>
          <w:sz w:val="22"/>
        </w:rPr>
        <w:t xml:space="preserve">Automatic permit amendment. </w:t>
      </w:r>
      <w:r>
        <w:rPr>
          <w:rFonts w:ascii="Times New Roman" w:hAnsi="Times New Roman"/>
          <w:b w:val="false"/>
          <w:i w:val="false"/>
          <w:color w:val="000000"/>
          <w:sz w:val="22"/>
        </w:rPr>
        <w:t>The provisions for automatic permit amendments as set forth in 40 CFR §72.84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567—24.145</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reopenings. </w:t>
      </w:r>
      <w:r>
        <w:rPr>
          <w:rFonts w:ascii="Times New Roman" w:hAnsi="Times New Roman"/>
          <w:b w:val="false"/>
          <w:i w:val="false"/>
          <w:color w:val="000000"/>
          <w:sz w:val="22"/>
        </w:rPr>
        <w:t>The provisions for permit reopenings as set forth in 40 CFR §72.85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567—24.146</w:t>
      </w:r>
      <w:r>
        <w:rPr>
          <w:rFonts w:ascii="Times New Roman" w:hAnsi="Times New Roman"/>
          <w:b/>
          <w:i w:val="false"/>
          <w:color w:val="000000"/>
          <w:sz w:val="22"/>
        </w:rPr>
        <w:t xml:space="preserve">(455B) </w:t>
      </w:r>
      <w:r>
        <w:rPr>
          <w:rFonts w:ascii="Times New Roman" w:hAnsi="Times New Roman"/>
          <w:b/>
          <w:i w:val="false"/>
          <w:color w:val="000000"/>
          <w:sz w:val="22"/>
        </w:rPr>
        <w:t xml:space="preserve">Compliance certification—annual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24.146(1)</w:t>
      </w:r>
      <w:r>
        <w:rPr>
          <w:rFonts w:ascii="Times New Roman" w:hAnsi="Times New Roman"/>
          <w:b w:val="false"/>
          <w:i w:val="false"/>
          <w:color w:val="000000"/>
          <w:sz w:val="22"/>
        </w:rPr>
        <w:t> </w:t>
      </w:r>
      <w:r>
        <w:rPr>
          <w:rFonts w:ascii="Times New Roman" w:hAnsi="Times New Roman"/>
          <w:b w:val="false"/>
          <w:i w:val="false"/>
          <w:color w:val="000000"/>
          <w:sz w:val="22"/>
        </w:rPr>
        <w:t>Applicability and deadline. For each calendar year in which a unit is subject to the acid rain emissions limitations, the designated representative of the source at which the unit is located shall submit to the Administrator and the department, within 60 days after the end of the calendar year, an annual compliance certification report for the unit in compliance with 40 CFR §72.90.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submission of complete compliance certifications in accordance with </w:t>
      </w:r>
      <w:hyperlink r:id="rId199">
        <w:r>
          <w:rPr>
            <w:rStyle w:val="Hyperlink"/>
            <w:rFonts w:ascii="Times New Roman" w:hAnsi="Times New Roman"/>
            <w:b w:val="false"/>
            <w:i w:val="false"/>
            <w:color w:val="000000"/>
            <w:sz w:val="22"/>
          </w:rPr>
          <w:t>24.146(1)</w:t>
        </w:r>
      </w:hyperlink>
      <w:r>
        <w:rPr>
          <w:rFonts w:ascii="Times New Roman" w:hAnsi="Times New Roman"/>
          <w:b w:val="false"/>
          <w:i w:val="false"/>
          <w:color w:val="000000"/>
          <w:sz w:val="22"/>
        </w:rPr>
        <w:t xml:space="preserve"> and </w:t>
      </w:r>
      <w:hyperlink r:id="rId200">
        <w:r>
          <w:rPr>
            <w:rStyle w:val="Hyperlink"/>
            <w:rFonts w:ascii="Times New Roman" w:hAnsi="Times New Roman"/>
            <w:b w:val="false"/>
            <w:i w:val="false"/>
            <w:color w:val="000000"/>
            <w:sz w:val="22"/>
          </w:rPr>
          <w:t>567—25.2</w:t>
        </w:r>
      </w:hyperlink>
      <w:r>
        <w:rPr>
          <w:rFonts w:ascii="Times New Roman" w:hAnsi="Times New Roman"/>
          <w:b w:val="false"/>
          <w:i w:val="false"/>
          <w:color w:val="000000"/>
          <w:sz w:val="22"/>
        </w:rPr>
        <w:t xml:space="preserve">(455B) shall be deemed to satisfy the requirement to submit compliance certifications under </w:t>
      </w:r>
      <w:hyperlink r:id="rId201">
        <w:r>
          <w:rPr>
            <w:rStyle w:val="Hyperlink"/>
            <w:rFonts w:ascii="Times New Roman" w:hAnsi="Times New Roman"/>
            <w:b w:val="false"/>
            <w:i w:val="false"/>
            <w:color w:val="000000"/>
            <w:sz w:val="22"/>
          </w:rPr>
          <w:t>24.108(15)</w:t>
        </w:r>
      </w:hyperlink>
      <w:r>
        <w:rPr>
          <w:rFonts w:ascii="Times New Roman" w:hAnsi="Times New Roman"/>
          <w:b w:val="false"/>
          <w:i/>
          <w:color w:val="000000"/>
          <w:sz w:val="22"/>
        </w:rPr>
        <w:t>“e”</w:t>
      </w:r>
      <w:r>
        <w:rPr>
          <w:rFonts w:ascii="Times New Roman" w:hAnsi="Times New Roman"/>
          <w:b w:val="false"/>
          <w:i w:val="false"/>
          <w:color w:val="000000"/>
          <w:sz w:val="22"/>
        </w:rPr>
        <w:t xml:space="preserve"> with regard to the acid rain portion of the source’s Title V operating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567—24.147</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567—24.148</w:t>
      </w:r>
      <w:r>
        <w:rPr>
          <w:rFonts w:ascii="Times New Roman" w:hAnsi="Times New Roman"/>
          <w:b/>
          <w:i w:val="false"/>
          <w:color w:val="000000"/>
          <w:sz w:val="22"/>
        </w:rPr>
        <w:t xml:space="preserve">(455B) </w:t>
      </w:r>
      <w:r>
        <w:rPr>
          <w:rFonts w:ascii="Times New Roman" w:hAnsi="Times New Roman"/>
          <w:b/>
          <w:i w:val="false"/>
          <w:color w:val="000000"/>
          <w:sz w:val="22"/>
        </w:rPr>
        <w:t xml:space="preserve">Sulfur dioxide opt-ins. </w:t>
      </w:r>
      <w:r>
        <w:rPr>
          <w:rFonts w:ascii="Times New Roman" w:hAnsi="Times New Roman"/>
          <w:b w:val="false"/>
          <w:i w:val="false"/>
          <w:color w:val="000000"/>
          <w:sz w:val="22"/>
        </w:rPr>
        <w:t>The provisions for sulfur dioxide opt-ins as set forth in 40 CFR Part 74 as amended through April 28, 2006,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567—24.149</w:t>
      </w:r>
      <w:r>
        <w:rPr>
          <w:rFonts w:ascii="Times New Roman" w:hAnsi="Times New Roman"/>
          <w:b w:val="false"/>
          <w:i w:val="false"/>
          <w:color w:val="000000"/>
          <w:sz w:val="22"/>
        </w:rPr>
        <w:t xml:space="preserve"> to </w:t>
      </w:r>
      <w:r>
        <w:rPr>
          <w:rFonts w:ascii="Times New Roman" w:hAnsi="Times New Roman"/>
          <w:b/>
          <w:i w:val="false"/>
          <w:color w:val="000000"/>
          <w:sz w:val="22"/>
        </w:rPr>
        <w:t>24.299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567—24.300</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permit by rule for small sources. </w:t>
      </w:r>
      <w:r>
        <w:rPr>
          <w:rFonts w:ascii="Times New Roman" w:hAnsi="Times New Roman"/>
          <w:b w:val="false"/>
          <w:i w:val="false"/>
          <w:color w:val="000000"/>
          <w:sz w:val="22"/>
        </w:rPr>
        <w:t xml:space="preserve">Except as provided in </w:t>
      </w:r>
      <w:hyperlink r:id="rId202">
        <w:r>
          <w:rPr>
            <w:rStyle w:val="Hyperlink"/>
            <w:rFonts w:ascii="Times New Roman" w:hAnsi="Times New Roman"/>
            <w:b w:val="false"/>
            <w:i w:val="false"/>
            <w:color w:val="000000"/>
            <w:sz w:val="22"/>
          </w:rPr>
          <w:t>24.300(11)</w:t>
        </w:r>
      </w:hyperlink>
      <w:r>
        <w:rPr>
          <w:rFonts w:ascii="Times New Roman" w:hAnsi="Times New Roman"/>
          <w:b w:val="false"/>
          <w:i w:val="false"/>
          <w:color w:val="000000"/>
          <w:sz w:val="22"/>
        </w:rPr>
        <w:t xml:space="preserve">, any source that otherwise would be required to obtain a Title V operating permit may instead register for an operation permit by rule for small sources. Sources that comply with the requirements contained in this rule will be deemed to have an operating permit by rule for small sources. Sources that comply with this rule will be considered to have federally enforceable limits so that their potential emissions are less than the major source thresholds for regulated air pollutants and hazardous air pollutants as defined in </w:t>
      </w:r>
      <w:hyperlink r:id="rId203">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24.300(1)</w:t>
      </w:r>
      <w:r>
        <w:rPr>
          <w:rFonts w:ascii="Times New Roman" w:hAnsi="Times New Roman"/>
          <w:b w:val="false"/>
          <w:i w:val="false"/>
          <w:color w:val="000000"/>
          <w:sz w:val="22"/>
        </w:rPr>
        <w:t> </w:t>
      </w:r>
      <w:r>
        <w:rPr>
          <w:rFonts w:ascii="Times New Roman" w:hAnsi="Times New Roman"/>
          <w:b w:val="false"/>
          <w:i/>
          <w:color w:val="000000"/>
          <w:sz w:val="22"/>
        </w:rPr>
        <w:t xml:space="preserve">Definitions for operating permit by rule for small sources. </w:t>
      </w:r>
      <w:r>
        <w:rPr>
          <w:rFonts w:ascii="Times New Roman" w:hAnsi="Times New Roman"/>
          <w:b w:val="false"/>
          <w:i w:val="false"/>
          <w:color w:val="000000"/>
          <w:sz w:val="22"/>
        </w:rPr>
        <w:t xml:space="preserve">For the purposes of </w:t>
      </w:r>
      <w:hyperlink r:id="rId204">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the definitions shall be the same as the definitions found in </w:t>
      </w:r>
      <w:hyperlink r:id="rId205">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24.300(2)</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operating permit by rule for small 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206">
        <w:r>
          <w:rPr>
            <w:rStyle w:val="Hyperlink"/>
            <w:rFonts w:ascii="Times New Roman" w:hAnsi="Times New Roman"/>
            <w:b w:val="false"/>
            <w:i w:val="false"/>
            <w:color w:val="000000"/>
            <w:sz w:val="22"/>
          </w:rPr>
          <w:t>24.300(3)</w:t>
        </w:r>
      </w:hyperlink>
      <w:r>
        <w:rPr>
          <w:rFonts w:ascii="Times New Roman" w:hAnsi="Times New Roman"/>
          <w:b w:val="false"/>
          <w:i w:val="false"/>
          <w:color w:val="000000"/>
          <w:sz w:val="22"/>
        </w:rPr>
        <w:t xml:space="preserve"> and </w:t>
      </w:r>
      <w:hyperlink r:id="rId207">
        <w:r>
          <w:rPr>
            <w:rStyle w:val="Hyperlink"/>
            <w:rFonts w:ascii="Times New Roman" w:hAnsi="Times New Roman"/>
            <w:b w:val="false"/>
            <w:i w:val="false"/>
            <w:color w:val="000000"/>
            <w:sz w:val="22"/>
          </w:rPr>
          <w:t>24.300(11)</w:t>
        </w:r>
      </w:hyperlink>
      <w:r>
        <w:rPr>
          <w:rFonts w:ascii="Times New Roman" w:hAnsi="Times New Roman"/>
          <w:b w:val="false"/>
          <w:i w:val="false"/>
          <w:color w:val="000000"/>
          <w:sz w:val="22"/>
        </w:rPr>
        <w:t>, any person who owns or operates a stationary source and meets the following criteria may register for an operating permit by rule for small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potential to emit air contaminants is equal to or in excess of the threshold for a major stationary source of regulated air pollutants or hazardous air pollutants,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every 12-month rolling period, the actual emissions of the stationary source are less than or equal to the emission limitations specified in </w:t>
      </w:r>
      <w:hyperlink r:id="rId208">
        <w:r>
          <w:rPr>
            <w:rStyle w:val="Hyperlink"/>
            <w:rFonts w:ascii="Times New Roman" w:hAnsi="Times New Roman"/>
            <w:b w:val="false"/>
            <w:i w:val="false"/>
            <w:color w:val="000000"/>
            <w:sz w:val="22"/>
          </w:rPr>
          <w:t>24.300(6)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for an operating permit by rule for small sources does not eliminate the source’s responsibility to meet any and all applicable federal requirements including, but not limited to, a MACT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shall prevent any stationary source that has had a Title V operating permit from qualifying to comply with this rule in the future in lieu of maintaining an application for a Title V operating permit or upon rescission of a Title V operating permit if the owner or operator demonstrates that the stationary source is in compliance with the emissions limitations in </w:t>
      </w:r>
      <w:hyperlink r:id="rId209">
        <w:r>
          <w:rPr>
            <w:rStyle w:val="Hyperlink"/>
            <w:rFonts w:ascii="Times New Roman" w:hAnsi="Times New Roman"/>
            <w:b w:val="false"/>
            <w:i w:val="false"/>
            <w:color w:val="000000"/>
            <w:sz w:val="22"/>
          </w:rPr>
          <w:t>24.300(6)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reserves the right to require proof that the expected emissions from the stationary source, in conjunction with all other emissions, will not prevent the attainment or maintenance of the ambient air quality standards specified in </w:t>
      </w:r>
      <w:hyperlink r:id="rId210">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24.300(3)</w:t>
      </w:r>
      <w:r>
        <w:rPr>
          <w:rFonts w:ascii="Times New Roman" w:hAnsi="Times New Roman"/>
          <w:b w:val="false"/>
          <w:i w:val="false"/>
          <w:color w:val="000000"/>
          <w:sz w:val="22"/>
        </w:rPr>
        <w:t> </w:t>
      </w:r>
      <w:r>
        <w:rPr>
          <w:rFonts w:ascii="Times New Roman" w:hAnsi="Times New Roman"/>
          <w:b w:val="false"/>
          <w:i/>
          <w:color w:val="000000"/>
          <w:sz w:val="22"/>
        </w:rPr>
        <w:t xml:space="preserve">Exceptions to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affected source subject to the provisions of Title IV of the Act or any solid waste incinerator unit required to obtain a Title V operating permit under Section 129(e) of the Act is not eligible for an operating permit by rule for small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that meet the registration criteria established in </w:t>
      </w:r>
      <w:hyperlink r:id="rId211">
        <w:r>
          <w:rPr>
            <w:rStyle w:val="Hyperlink"/>
            <w:rFonts w:ascii="Times New Roman" w:hAnsi="Times New Roman"/>
            <w:b w:val="false"/>
            <w:i w:val="false"/>
            <w:color w:val="000000"/>
            <w:sz w:val="22"/>
          </w:rPr>
          <w:t>24.300(2)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meet all applicable requirements of </w:t>
      </w:r>
      <w:hyperlink r:id="rId212">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and are subject to a standard or other requirement under </w:t>
      </w:r>
      <w:hyperlink r:id="rId213">
        <w:r>
          <w:rPr>
            <w:rStyle w:val="Hyperlink"/>
            <w:rFonts w:ascii="Times New Roman" w:hAnsi="Times New Roman"/>
            <w:b w:val="false"/>
            <w:i w:val="false"/>
            <w:color w:val="000000"/>
            <w:sz w:val="22"/>
          </w:rPr>
          <w:t>567—subrule 23.1(2)</w:t>
        </w:r>
      </w:hyperlink>
      <w:r>
        <w:rPr>
          <w:rFonts w:ascii="Times New Roman" w:hAnsi="Times New Roman"/>
          <w:b w:val="false"/>
          <w:i w:val="false"/>
          <w:color w:val="000000"/>
          <w:sz w:val="22"/>
        </w:rPr>
        <w:t xml:space="preserve"> (standards of performance for new stationary sources) or Section 111 of the Act are eligible for an operating permit by rule for small sources. These sources shall be required to obtain a Title V operating permit when the exemptions specified in </w:t>
      </w:r>
      <w:hyperlink r:id="rId214">
        <w:r>
          <w:rPr>
            <w:rStyle w:val="Hyperlink"/>
            <w:rFonts w:ascii="Times New Roman" w:hAnsi="Times New Roman"/>
            <w:b w:val="false"/>
            <w:i w:val="false"/>
            <w:color w:val="000000"/>
            <w:sz w:val="22"/>
          </w:rPr>
          <w:t>24.102(1)</w:t>
        </w:r>
      </w:hyperlink>
      <w:r>
        <w:rPr>
          <w:rFonts w:ascii="Times New Roman" w:hAnsi="Times New Roman"/>
          <w:b w:val="false"/>
          <w:i w:val="false"/>
          <w:color w:val="000000"/>
          <w:sz w:val="22"/>
        </w:rPr>
        <w:t xml:space="preserve"> or </w:t>
      </w:r>
      <w:hyperlink r:id="rId215">
        <w:r>
          <w:rPr>
            <w:rStyle w:val="Hyperlink"/>
            <w:rFonts w:ascii="Times New Roman" w:hAnsi="Times New Roman"/>
            <w:b w:val="false"/>
            <w:i w:val="false"/>
            <w:color w:val="000000"/>
            <w:sz w:val="22"/>
          </w:rPr>
          <w:t>24.102(2)</w:t>
        </w:r>
      </w:hyperlink>
      <w:r>
        <w:rPr>
          <w:rFonts w:ascii="Times New Roman" w:hAnsi="Times New Roman"/>
          <w:b w:val="false"/>
          <w:i w:val="false"/>
          <w:color w:val="000000"/>
          <w:sz w:val="22"/>
        </w:rPr>
        <w:t xml:space="preserve"> no longer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that meet the registration criteria established in </w:t>
      </w:r>
      <w:hyperlink r:id="rId216">
        <w:r>
          <w:rPr>
            <w:rStyle w:val="Hyperlink"/>
            <w:rFonts w:ascii="Times New Roman" w:hAnsi="Times New Roman"/>
            <w:b w:val="false"/>
            <w:i w:val="false"/>
            <w:color w:val="000000"/>
            <w:sz w:val="22"/>
          </w:rPr>
          <w:t>24.300(2)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meet all applicable requirements of </w:t>
      </w:r>
      <w:hyperlink r:id="rId217">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and are subject to a standard or other requirement under </w:t>
      </w:r>
      <w:hyperlink r:id="rId218">
        <w:r>
          <w:rPr>
            <w:rStyle w:val="Hyperlink"/>
            <w:rFonts w:ascii="Times New Roman" w:hAnsi="Times New Roman"/>
            <w:b w:val="false"/>
            <w:i w:val="false"/>
            <w:color w:val="000000"/>
            <w:sz w:val="22"/>
          </w:rPr>
          <w:t>567—subrule 23.1(3)</w:t>
        </w:r>
      </w:hyperlink>
      <w:r>
        <w:rPr>
          <w:rFonts w:ascii="Times New Roman" w:hAnsi="Times New Roman"/>
          <w:b w:val="false"/>
          <w:i w:val="false"/>
          <w:color w:val="000000"/>
          <w:sz w:val="22"/>
        </w:rPr>
        <w:t xml:space="preserve"> (emissions standards for hazardous air pollutants), </w:t>
      </w:r>
      <w:hyperlink r:id="rId219">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 xml:space="preserve"> (emissions standards for hazardous air pollutants for source categories), or Section 112 of the Act are eligible for an operating permit by rule for small sources. These sources shall be required to obtain a Title V operating permit when the exemptions specified in </w:t>
      </w:r>
      <w:hyperlink r:id="rId220">
        <w:r>
          <w:rPr>
            <w:rStyle w:val="Hyperlink"/>
            <w:rFonts w:ascii="Times New Roman" w:hAnsi="Times New Roman"/>
            <w:b w:val="false"/>
            <w:i w:val="false"/>
            <w:color w:val="000000"/>
            <w:sz w:val="22"/>
          </w:rPr>
          <w:t>24.102(1)</w:t>
        </w:r>
      </w:hyperlink>
      <w:r>
        <w:rPr>
          <w:rFonts w:ascii="Times New Roman" w:hAnsi="Times New Roman"/>
          <w:b w:val="false"/>
          <w:i w:val="false"/>
          <w:color w:val="000000"/>
          <w:sz w:val="22"/>
        </w:rPr>
        <w:t xml:space="preserve"> or </w:t>
      </w:r>
      <w:hyperlink r:id="rId221">
        <w:r>
          <w:rPr>
            <w:rStyle w:val="Hyperlink"/>
            <w:rFonts w:ascii="Times New Roman" w:hAnsi="Times New Roman"/>
            <w:b w:val="false"/>
            <w:i w:val="false"/>
            <w:color w:val="000000"/>
            <w:sz w:val="22"/>
          </w:rPr>
          <w:t>24.102(2)</w:t>
        </w:r>
      </w:hyperlink>
      <w:r>
        <w:rPr>
          <w:rFonts w:ascii="Times New Roman" w:hAnsi="Times New Roman"/>
          <w:b w:val="false"/>
          <w:i w:val="false"/>
          <w:color w:val="000000"/>
          <w:sz w:val="22"/>
        </w:rPr>
        <w:t xml:space="preserve"> no longer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24.300(4)</w:t>
      </w:r>
      <w:r>
        <w:rPr>
          <w:rFonts w:ascii="Times New Roman" w:hAnsi="Times New Roman"/>
          <w:b w:val="false"/>
          <w:i w:val="false"/>
          <w:color w:val="000000"/>
          <w:sz w:val="22"/>
        </w:rPr>
        <w:t> </w:t>
      </w:r>
      <w:r>
        <w:rPr>
          <w:rFonts w:ascii="Times New Roman" w:hAnsi="Times New Roman"/>
          <w:b w:val="false"/>
          <w:i/>
          <w:color w:val="000000"/>
          <w:sz w:val="22"/>
        </w:rPr>
        <w:t xml:space="preserve">Stationary source with de minimus emissions. </w:t>
      </w:r>
      <w:r>
        <w:rPr>
          <w:rFonts w:ascii="Times New Roman" w:hAnsi="Times New Roman"/>
          <w:b w:val="false"/>
          <w:i w:val="false"/>
          <w:color w:val="000000"/>
          <w:sz w:val="22"/>
        </w:rPr>
        <w:t xml:space="preserve">Stationary sources with de minimus emissions must submit the standard registration form and must meet and fulfill all registration and reporting requirements as found in </w:t>
      </w:r>
      <w:hyperlink r:id="rId222">
        <w:r>
          <w:rPr>
            <w:rStyle w:val="Hyperlink"/>
            <w:rFonts w:ascii="Times New Roman" w:hAnsi="Times New Roman"/>
            <w:b w:val="false"/>
            <w:i w:val="false"/>
            <w:color w:val="000000"/>
            <w:sz w:val="22"/>
          </w:rPr>
          <w:t>24.300(8)</w:t>
        </w:r>
      </w:hyperlink>
      <w:r>
        <w:rPr>
          <w:rFonts w:ascii="Times New Roman" w:hAnsi="Times New Roman"/>
          <w:b w:val="false"/>
          <w:i w:val="false"/>
          <w:color w:val="000000"/>
          <w:sz w:val="22"/>
        </w:rPr>
        <w:t xml:space="preserve">. Only the recordkeeping and reporting provisions listed in </w:t>
      </w:r>
      <w:hyperlink r:id="rId223">
        <w:r>
          <w:rPr>
            <w:rStyle w:val="Hyperlink"/>
            <w:rFonts w:ascii="Times New Roman" w:hAnsi="Times New Roman"/>
            <w:b w:val="false"/>
            <w:i w:val="false"/>
            <w:color w:val="000000"/>
            <w:sz w:val="22"/>
          </w:rPr>
          <w:t>24.300(4)</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apply to a stationary source with de minimus emissions or operations as specified in </w:t>
      </w:r>
      <w:hyperlink r:id="rId224">
        <w:r>
          <w:rPr>
            <w:rStyle w:val="Hyperlink"/>
            <w:rFonts w:ascii="Times New Roman" w:hAnsi="Times New Roman"/>
            <w:b w:val="false"/>
            <w:i w:val="false"/>
            <w:color w:val="000000"/>
            <w:sz w:val="22"/>
          </w:rPr>
          <w:t>24.300(4)</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 minimus emission and usage limits. </w:t>
      </w:r>
      <w:r>
        <w:rPr>
          <w:rFonts w:ascii="Times New Roman" w:hAnsi="Times New Roman"/>
          <w:b w:val="false"/>
          <w:i w:val="false"/>
          <w:color w:val="000000"/>
          <w:sz w:val="22"/>
        </w:rPr>
        <w:t>For the purpose of this rule, a stationary source with de minimus emissions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every 12-month rolling period, the stationary source emits less than or equal to the following quantities of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 tons per year of a regulated air pollutant (excluding hazardous air pollutants (HAPs)),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 tons per year of a single HAP,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 tons per year of any combination of HAPs.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every 12-month rolling period, at least 90 percent of the stationary source’s emissions are associated with an operation for which the throughput is less than or equal to one of the quantities specified in numbered paragraphs “1” to “9”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1,400 gallons of any combination of solvent-containing materials but no more than 550 gallons of any one solvent-containing material, provided that the materials do not contain the following: methyl chloroform (1,1,1-trichloroethane), methylene chloride (dichloromethane), tetrachloroethylene (perchloroethylene), or trichloroethylene;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750 gallons of any combination of solvent-containing materials where the materials contain the following: methyl chloroform (1,1,1-trichloroethane), methylene chloride (dichloromethane), tetrachloroethylene (perchloroethylene), or trichloroethylene, but not more than 300 gallons of any one solvent-containing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365 gallons of solvent-containing material used at a paint spray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4,400,000 gallons of gasoline dispensed from equipment with Phase I and II vapor recovery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470,000 gallons of gasoline dispensed from equipment without Phase I and II vapor recovery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1,400 gallons of gasoline combusted;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16,600 gallons of diesel fuel combusted;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500,000 gallons of distillate oil combusted;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71,400,000 cubic feet of natural gas combusted.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Recordkeeping for de minimus sources. </w:t>
      </w:r>
      <w:r>
        <w:rPr>
          <w:rFonts w:ascii="Times New Roman" w:hAnsi="Times New Roman"/>
          <w:b w:val="false"/>
          <w:i w:val="false"/>
          <w:color w:val="000000"/>
          <w:sz w:val="22"/>
        </w:rPr>
        <w:t>Upon registration with the department, the owner or operator of a stationary source eligible to register for an operating permit by rule for small sources shall comply with all applicable recordkeeping requirements of this rule. The recordkeeping requirements of this rule shall not replace any recordkeeping requirement contained in a construction permit or in a local, state, or federal rule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 minimus sources shall always maintain an annual log of each raw material used and its amount. The annual log and all related material safety data sheets (MSDS) for all materials shall be maintained for a period of not less than the most current five years. The annual log will begin on the date the small source operating permit application is submitted, then on an annual basis, based on a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written request by the state or EPA, the owner or operator of a stationary source not maintaining records pursuant to </w:t>
      </w:r>
      <w:hyperlink r:id="rId225">
        <w:r>
          <w:rPr>
            <w:rStyle w:val="Hyperlink"/>
            <w:rFonts w:ascii="Times New Roman" w:hAnsi="Times New Roman"/>
            <w:b w:val="false"/>
            <w:i w:val="false"/>
            <w:color w:val="000000"/>
            <w:sz w:val="22"/>
          </w:rPr>
          <w:t>24.300(7)</w:t>
        </w:r>
      </w:hyperlink>
      <w:r>
        <w:rPr>
          <w:rFonts w:ascii="Times New Roman" w:hAnsi="Times New Roman"/>
          <w:b w:val="false"/>
          <w:i w:val="false"/>
          <w:color w:val="000000"/>
          <w:sz w:val="22"/>
        </w:rPr>
        <w:t xml:space="preserve"> shall demonstrate that the stationary source’s emissions or throughput is not in excess of the applicable quantities set forth in </w:t>
      </w:r>
      <w:hyperlink r:id="rId226">
        <w:r>
          <w:rPr>
            <w:rStyle w:val="Hyperlink"/>
            <w:rFonts w:ascii="Times New Roman" w:hAnsi="Times New Roman"/>
            <w:b w:val="false"/>
            <w:i w:val="false"/>
            <w:color w:val="000000"/>
            <w:sz w:val="22"/>
          </w:rPr>
          <w:t>24.300(4)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24.300(5)</w:t>
      </w:r>
      <w:r>
        <w:rPr>
          <w:rFonts w:ascii="Times New Roman" w:hAnsi="Times New Roman"/>
          <w:b w:val="false"/>
          <w:i w:val="false"/>
          <w:color w:val="000000"/>
          <w:sz w:val="22"/>
        </w:rPr>
        <w:t> </w:t>
      </w:r>
      <w:r>
        <w:rPr>
          <w:rFonts w:ascii="Times New Roman" w:hAnsi="Times New Roman"/>
          <w:b w:val="false"/>
          <w:i/>
          <w:color w:val="000000"/>
          <w:sz w:val="22"/>
        </w:rPr>
        <w:t xml:space="preserve">Provision for air pollution control equipment. </w:t>
      </w:r>
      <w:r>
        <w:rPr>
          <w:rFonts w:ascii="Times New Roman" w:hAnsi="Times New Roman"/>
          <w:b w:val="false"/>
          <w:i w:val="false"/>
          <w:color w:val="000000"/>
          <w:sz w:val="22"/>
        </w:rPr>
        <w:t>The owner or operator of a stationary source may take into account the operation of air pollution control equipment on the capacity of the source to emit an air contaminant if the equipment is required by federal, state, or local air pollution control agency rules and regulations or permit terms and conditions that are federally enforceable. The owner or operator of the stationary source shall maintain and operate such air pollution control equipment in a manner consistent with good air pollution control practice for minimizing emissions.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24.300(6)</w:t>
      </w:r>
      <w:r>
        <w:rPr>
          <w:rFonts w:ascii="Times New Roman" w:hAnsi="Times New Roman"/>
          <w:b w:val="false"/>
          <w:i w:val="false"/>
          <w:color w:val="000000"/>
          <w:sz w:val="22"/>
        </w:rPr>
        <w:t> </w:t>
      </w:r>
      <w:r>
        <w:rPr>
          <w:rFonts w:ascii="Times New Roman" w:hAnsi="Times New Roman"/>
          <w:b w:val="false"/>
          <w:i/>
          <w:color w:val="000000"/>
          <w:sz w:val="22"/>
        </w:rPr>
        <w:t xml:space="preserve">Emission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stationary source subject to this rule shall emit in every 12-month rolling period more than the following quantities of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50 percent of the major source thresholds for regulated air pollutants (excluding hazardous air pollutants),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5 tons per year of a single hazardous air pollutant,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12.5 tons per year of any combination of hazardous air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 stationary source subject to this rule shall obtain any necessary permits prior to commencing any physical or operational change or activity that will result in actual emissions that exceed the limits specified in </w:t>
      </w:r>
      <w:hyperlink r:id="rId227">
        <w:r>
          <w:rPr>
            <w:rStyle w:val="Hyperlink"/>
            <w:rFonts w:ascii="Times New Roman" w:hAnsi="Times New Roman"/>
            <w:b w:val="false"/>
            <w:i w:val="false"/>
            <w:color w:val="000000"/>
            <w:sz w:val="22"/>
          </w:rPr>
          <w:t>24.300(6)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24.300(7)</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for non-de minimus sources. </w:t>
      </w:r>
      <w:r>
        <w:rPr>
          <w:rFonts w:ascii="Times New Roman" w:hAnsi="Times New Roman"/>
          <w:b w:val="false"/>
          <w:i w:val="false"/>
          <w:color w:val="000000"/>
          <w:sz w:val="22"/>
        </w:rPr>
        <w:t>Upon registration with the department the owner or operator of a stationary source eligible to register for an operating permit by rule for small stationary sources shall comply with all applicable recordkeeping requirements in this rule. The recordkeeping requirements of this rule shall not replace any recordkeeping requirement contained in any operating permit, a construction permit, or in a local, state, or federal rule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stationary source previously covered by the provisions in </w:t>
      </w:r>
      <w:hyperlink r:id="rId228">
        <w:r>
          <w:rPr>
            <w:rStyle w:val="Hyperlink"/>
            <w:rFonts w:ascii="Times New Roman" w:hAnsi="Times New Roman"/>
            <w:b w:val="false"/>
            <w:i w:val="false"/>
            <w:color w:val="000000"/>
            <w:sz w:val="22"/>
          </w:rPr>
          <w:t>24.300(4)</w:t>
        </w:r>
      </w:hyperlink>
      <w:r>
        <w:rPr>
          <w:rFonts w:ascii="Times New Roman" w:hAnsi="Times New Roman"/>
          <w:b w:val="false"/>
          <w:i w:val="false"/>
          <w:color w:val="000000"/>
          <w:sz w:val="22"/>
        </w:rPr>
        <w:t xml:space="preserve"> shall comply with the applicable provisions of </w:t>
      </w:r>
      <w:hyperlink r:id="rId229">
        <w:r>
          <w:rPr>
            <w:rStyle w:val="Hyperlink"/>
            <w:rFonts w:ascii="Times New Roman" w:hAnsi="Times New Roman"/>
            <w:b w:val="false"/>
            <w:i w:val="false"/>
            <w:color w:val="000000"/>
            <w:sz w:val="22"/>
          </w:rPr>
          <w:t>24.300(7)</w:t>
        </w:r>
      </w:hyperlink>
      <w:r>
        <w:rPr>
          <w:rFonts w:ascii="Times New Roman" w:hAnsi="Times New Roman"/>
          <w:b w:val="false"/>
          <w:i w:val="false"/>
          <w:color w:val="000000"/>
          <w:sz w:val="22"/>
        </w:rPr>
        <w:t xml:space="preserve"> (recordkeeping requirements) and </w:t>
      </w:r>
      <w:hyperlink r:id="rId230">
        <w:r>
          <w:rPr>
            <w:rStyle w:val="Hyperlink"/>
            <w:rFonts w:ascii="Times New Roman" w:hAnsi="Times New Roman"/>
            <w:b w:val="false"/>
            <w:i w:val="false"/>
            <w:color w:val="000000"/>
            <w:sz w:val="22"/>
          </w:rPr>
          <w:t>24.300(8)</w:t>
        </w:r>
      </w:hyperlink>
      <w:r>
        <w:rPr>
          <w:rFonts w:ascii="Times New Roman" w:hAnsi="Times New Roman"/>
          <w:b w:val="false"/>
          <w:i w:val="false"/>
          <w:color w:val="000000"/>
          <w:sz w:val="22"/>
        </w:rPr>
        <w:t xml:space="preserve"> (reporting requirements) if the stationary source exceeds the quantities specified in </w:t>
      </w:r>
      <w:hyperlink r:id="rId231">
        <w:r>
          <w:rPr>
            <w:rStyle w:val="Hyperlink"/>
            <w:rFonts w:ascii="Times New Roman" w:hAnsi="Times New Roman"/>
            <w:b w:val="false"/>
            <w:i w:val="false"/>
            <w:color w:val="000000"/>
            <w:sz w:val="22"/>
          </w:rPr>
          <w:t>24.300(4)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 stationary source subject to this rule shall keep and maintain records, as specified in </w:t>
      </w:r>
      <w:hyperlink r:id="rId232">
        <w:r>
          <w:rPr>
            <w:rStyle w:val="Hyperlink"/>
            <w:rFonts w:ascii="Times New Roman" w:hAnsi="Times New Roman"/>
            <w:b w:val="false"/>
            <w:i w:val="false"/>
            <w:color w:val="000000"/>
            <w:sz w:val="22"/>
          </w:rPr>
          <w:t>24.300(7)</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 for each permitted emission unit and each piece of emission control equipment sufficient to determine actual emissions. Such information shall be maintained on site for five years and be made available to local, state, or EPA staff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Recordkeeping requirements for emission units and emission control equipment. Recordkeeping requirements for emission units are specified in </w:t>
      </w:r>
      <w:hyperlink r:id="rId233">
        <w:r>
          <w:rPr>
            <w:rStyle w:val="Hyperlink"/>
            <w:rFonts w:ascii="Times New Roman" w:hAnsi="Times New Roman"/>
            <w:b w:val="false"/>
            <w:i w:val="false"/>
            <w:color w:val="000000"/>
            <w:sz w:val="22"/>
          </w:rPr>
          <w:t>24.300(7)</w:t>
        </w:r>
      </w:hyperlink>
      <w:r>
        <w:rPr>
          <w:rFonts w:ascii="Times New Roman" w:hAnsi="Times New Roman"/>
          <w:b w:val="false"/>
          <w:i/>
          <w:color w:val="000000"/>
          <w:sz w:val="22"/>
        </w:rPr>
        <w:t>“c”</w:t>
      </w:r>
      <w:r>
        <w:rPr>
          <w:rFonts w:ascii="Times New Roman" w:hAnsi="Times New Roman"/>
          <w:b w:val="false"/>
          <w:i w:val="false"/>
          <w:color w:val="000000"/>
          <w:sz w:val="22"/>
        </w:rPr>
        <w:t xml:space="preserve">(1) through </w:t>
      </w:r>
      <w:hyperlink r:id="rId234">
        <w:r>
          <w:rPr>
            <w:rStyle w:val="Hyperlink"/>
            <w:rFonts w:ascii="Times New Roman" w:hAnsi="Times New Roman"/>
            <w:b w:val="false"/>
            <w:i w:val="false"/>
            <w:color w:val="000000"/>
            <w:sz w:val="22"/>
          </w:rPr>
          <w:t>24.300(7)</w:t>
        </w:r>
      </w:hyperlink>
      <w:r>
        <w:rPr>
          <w:rFonts w:ascii="Times New Roman" w:hAnsi="Times New Roman"/>
          <w:b w:val="false"/>
          <w:i/>
          <w:color w:val="000000"/>
          <w:sz w:val="22"/>
        </w:rPr>
        <w:t>“c”</w:t>
      </w:r>
      <w:r>
        <w:rPr>
          <w:rFonts w:ascii="Times New Roman" w:hAnsi="Times New Roman"/>
          <w:b w:val="false"/>
          <w:i w:val="false"/>
          <w:color w:val="000000"/>
          <w:sz w:val="22"/>
        </w:rPr>
        <w:t xml:space="preserve">(4). Recordkeeping requirements for emission control equipment are specified in </w:t>
      </w:r>
      <w:hyperlink r:id="rId235">
        <w:r>
          <w:rPr>
            <w:rStyle w:val="Hyperlink"/>
            <w:rFonts w:ascii="Times New Roman" w:hAnsi="Times New Roman"/>
            <w:b w:val="false"/>
            <w:i w:val="false"/>
            <w:color w:val="000000"/>
            <w:sz w:val="22"/>
          </w:rPr>
          <w:t>24.300(7)</w:t>
        </w:r>
      </w:hyperlink>
      <w:r>
        <w:rPr>
          <w:rFonts w:ascii="Times New Roman" w:hAnsi="Times New Roman"/>
          <w:b w:val="false"/>
          <w:i/>
          <w:color w:val="000000"/>
          <w:sz w:val="22"/>
        </w:rPr>
        <w:t>“c”</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Coating/solvent emission unit. The owner or operator of a stationary source subject to this rule that contains a coating/solvent emission unit not permitted under </w:t>
      </w:r>
      <w:hyperlink r:id="rId236">
        <w:r>
          <w:rPr>
            <w:rStyle w:val="Hyperlink"/>
            <w:rFonts w:ascii="Times New Roman" w:hAnsi="Times New Roman"/>
            <w:b w:val="false"/>
            <w:i w:val="false"/>
            <w:color w:val="000000"/>
            <w:sz w:val="22"/>
          </w:rPr>
          <w:t>567—subrule 22.8(1)</w:t>
        </w:r>
      </w:hyperlink>
      <w:r>
        <w:rPr>
          <w:rFonts w:ascii="Times New Roman" w:hAnsi="Times New Roman"/>
          <w:b w:val="false"/>
          <w:i w:val="false"/>
          <w:color w:val="000000"/>
          <w:sz w:val="22"/>
        </w:rPr>
        <w:t xml:space="preserve"> (permit by rule for spray booths) or uses a coating, solvent, ink or adhesive shall keep and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current list of all coatings, solvents, inks and adhesives in use. This list shall include MSDS, manufacturer’s product specifications, and material VOC content reports for each solvent (including solvents used in cleanup and surface preparation), coating, ink, and adhesive used and show at least the product manufacturer, product name and code, VOC, and hazardous air pollutant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any equipment used during and after coating/solvent application, including type, make, and model; maximum design process rate or throughput; and control device(s) type and description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monthly log of the consumption of each solvent (including solvents used in cleanup and surface preparation), coating, ink, and adhesive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purchase orders, invoices, and other documents to support information in the monthly log.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Organic liquid storage unit. The owner or operator of a stationary source subject to this rule that contains an organic liquid storage unit shall keep and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monthly log identifying the liquid stored and monthly throughput;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on the tank design and specifications including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Combustion emission unit. The owner or operator of a stationary source subject to this rule that contains a combustion emission unit shall keep and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on equipment type, make and model, maximum design process rate or maximum power input/output, minimum operating temperature (for thermal oxidizers) and capacity and all source test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monthly log of fuel type, fuel usage, fuel heating value (for nonfossil fuels; in terms of Btu/lb or Btu/gal), and percent sulfur for fuel oil and coal.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emission unit. The owner or operator of a stationary source subject to this rule that contains an emission unit not included in </w:t>
      </w:r>
      <w:hyperlink r:id="rId237">
        <w:r>
          <w:rPr>
            <w:rStyle w:val="Hyperlink"/>
            <w:rFonts w:ascii="Times New Roman" w:hAnsi="Times New Roman"/>
            <w:b w:val="false"/>
            <w:i w:val="false"/>
            <w:color w:val="000000"/>
            <w:sz w:val="22"/>
          </w:rPr>
          <w:t>24.300(7)</w:t>
        </w:r>
      </w:hyperlink>
      <w:r>
        <w:rPr>
          <w:rFonts w:ascii="Times New Roman" w:hAnsi="Times New Roman"/>
          <w:b w:val="false"/>
          <w:i/>
          <w:color w:val="000000"/>
          <w:sz w:val="22"/>
        </w:rPr>
        <w:t>“c”</w:t>
      </w:r>
      <w:r>
        <w:rPr>
          <w:rFonts w:ascii="Times New Roman" w:hAnsi="Times New Roman"/>
          <w:b w:val="false"/>
          <w:i w:val="false"/>
          <w:color w:val="000000"/>
          <w:sz w:val="22"/>
        </w:rPr>
        <w:t>(1), (2), or (3) shall keep and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on the process and equipment including the following: equipment type, description, make, and model and maximum design process rate or throughput;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monthly log of operating hours and each raw material used and its amount;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 orders, invoices, or other documents to support information in the monthly log.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Emission control equipment. The owner or operator of a stationary source subject to this rule that contains emission control equipment shall keep and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on equipment type and description, make and model, and emission units served by the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on equipment design including, where applicable: pollutant(s) controlled; control effectiveness; maximum design or rated capacity; other design data as appropriate including any available source test information and manufacturer’s design/repair/maintenance manual;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monthly log of hours of operation including notation of any control equipment breakdowns, upsets, repairs, or maintenance and any other deviations from design parameters.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24.300(8)</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Duty to apply. Any person who owns or operates a source otherwise required to obtain a Title V operating permit and that would be eligible for an operating permit by rule for small sources must either register for an operating permit by rule for small sources or apply for a Title V operating permit. Any source determined not to be eligible for an operating permit by rule for small sources, and operating without a valid Title V operating permit, shall be subject to enforcement action for operation without a Title V operating permit, except as provided for in the application shield provisions contained in </w:t>
      </w:r>
      <w:hyperlink r:id="rId238">
        <w:r>
          <w:rPr>
            <w:rStyle w:val="Hyperlink"/>
            <w:rFonts w:ascii="Times New Roman" w:hAnsi="Times New Roman"/>
            <w:b w:val="false"/>
            <w:i w:val="false"/>
            <w:color w:val="000000"/>
            <w:sz w:val="22"/>
          </w:rPr>
          <w:t>567—24.104</w:t>
        </w:r>
      </w:hyperlink>
      <w:r>
        <w:rPr>
          <w:rFonts w:ascii="Times New Roman" w:hAnsi="Times New Roman"/>
          <w:b w:val="false"/>
          <w:i w:val="false"/>
          <w:color w:val="000000"/>
          <w:sz w:val="22"/>
        </w:rPr>
        <w:t>(455B). For each source registering for an operating permit by rule for small sources, the owner or operator or designated representative, where applicable, shall present or mail to the Air Quality Bureau, Iowa Department of Natural Resources, 6200 Park Avenue, Suite 200, Des Moines, Iowa 50321, one original and one copy of a timely and complete registration form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Timely registration. Each source registering for an operating permit by rule for small sources shall submit a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August 1, 1996, if the source became subject to </w:t>
      </w:r>
      <w:hyperlink r:id="rId239">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 xml:space="preserve">(455B) on or before August 1, 1995, unless otherwise required to obtain a Title V permit under </w:t>
      </w:r>
      <w:hyperlink r:id="rId240">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12 months of becoming subject to </w:t>
      </w:r>
      <w:hyperlink r:id="rId241">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(455B) (the requirement to obtain a Title V operating permit) for a new source or a source that would otherwise become subject to the Title V permit requirement after August 1, 1995.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registration form. To be deemed complete, the registration form must provide all information required pursuant to </w:t>
      </w:r>
      <w:hyperlink r:id="rId242">
        <w:r>
          <w:rPr>
            <w:rStyle w:val="Hyperlink"/>
            <w:rFonts w:ascii="Times New Roman" w:hAnsi="Times New Roman"/>
            <w:b w:val="false"/>
            <w:i w:val="false"/>
            <w:color w:val="000000"/>
            <w:sz w:val="22"/>
          </w:rPr>
          <w:t>24.300(8)</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Duty to supplement or correct registration. Any registrant who fails to submit any relevant facts or who has submitted incorrect information in an operating permit by rule for small sources registration shall, upon becoming aware of such failure or incorrect submittal, promptly submit such supplementary facts or corrected information. In addition, the registrant shall provide additional information as necessary to address any requirements that become applicable to the source after the date it filed a complete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Certification of truth, accuracy, and completeness. Any registration form, report, or supplemental information submitted pursuant to these rules shall contain certification by a responsible official of truth, accuracy, and completeness. This certification and any other certification required under these rules shall state that, based on information and belief formed after reasonable inquiry, the statements and information in the document are true, accurate, and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registration for an operating permit by rule for small sources each owner or operator of a stationary source shall submit to the department a standard registration form and required attachments. To register for an operating permit by rule for small sources, applicants shall complete the registration form and supply all information required by the filing instructions. The information submitted must be sufficient to evaluate the source, its registration, and predicted actual emissions from the source and to determine whether the source is subject to the exceptions listed in </w:t>
      </w:r>
      <w:hyperlink r:id="rId243">
        <w:r>
          <w:rPr>
            <w:rStyle w:val="Hyperlink"/>
            <w:rFonts w:ascii="Times New Roman" w:hAnsi="Times New Roman"/>
            <w:b w:val="false"/>
            <w:i w:val="false"/>
            <w:color w:val="000000"/>
            <w:sz w:val="22"/>
          </w:rPr>
          <w:t>24.300(3)</w:t>
        </w:r>
      </w:hyperlink>
      <w:r>
        <w:rPr>
          <w:rFonts w:ascii="Times New Roman" w:hAnsi="Times New Roman"/>
          <w:b w:val="false"/>
          <w:i w:val="false"/>
          <w:color w:val="000000"/>
          <w:sz w:val="22"/>
        </w:rPr>
        <w:t>. The standard registration form and attachments shall require that the following information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information, including company name and address (or plant or source name if different from the company name), owner’s name and responsible official, and telephone number and names of plant site manager or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source processes and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emissions-related information shall be submitted to the department on the standard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actual emissions of each regulated air pollutant. Actual emissions shall be reported for one contiguous 12-month period within the 18 months preceding submission of the registration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and description of each emission unit with the potential to emit a regulated air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and description of air pollution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Limitations on source operations affecting emissions or any work practice standards, where applicable, for all regulated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Fugitive emissions sources shall be included in the registration form in the same manner as stack emissions if the source is one of the source categories defined as a stationary source category in rule </w:t>
      </w:r>
      <w:hyperlink r:id="rId244">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Requirements for certification. Facilities that claim to meet the requirements set forth in this rule to qualify for an operating permit by rule for small sources must submit to the department, with a complete registration form, a written statement as follows:</w:t>
      </w:r>
    </w:p>
    <w:p>
      <w:pPr>
        <w:spacing w:before="0" w:after="0"/>
        <w:ind w:left="120"/>
        <w:jc w:val="both"/>
      </w:pPr>
      <w:r>
        <w:rPr>
          <w:rFonts w:ascii="Times New Roman" w:hAnsi="Times New Roman"/>
          <w:b w:val="false"/>
          <w:i w:val="false"/>
          <w:color w:val="000000"/>
          <w:sz w:val="22"/>
        </w:rPr>
        <w:t>“I certify that all equipment at the facility with a potential to emit any regulated pollutant is included in the registration form, and submitted to the department as required in</w:t>
      </w:r>
      <w:hyperlink r:id="rId245">
        <w:r>
          <w:rPr>
            <w:rStyle w:val="Hyperlink"/>
            <w:rFonts w:ascii="Times New Roman" w:hAnsi="Times New Roman"/>
            <w:b w:val="false"/>
            <w:i w:val="false"/>
            <w:color w:val="000000"/>
            <w:sz w:val="22"/>
          </w:rPr>
          <w:t> 24.300(8)</w:t>
        </w:r>
      </w:hyperlink>
      <w:r>
        <w:rPr>
          <w:rFonts w:ascii="Times New Roman" w:hAnsi="Times New Roman"/>
          <w:b w:val="false"/>
          <w:i/>
          <w:color w:val="000000"/>
          <w:sz w:val="22"/>
        </w:rPr>
        <w:t>“b.”</w:t>
      </w:r>
      <w:r>
        <w:rPr>
          <w:rFonts w:ascii="Times New Roman" w:hAnsi="Times New Roman"/>
          <w:b w:val="false"/>
          <w:i w:val="false"/>
          <w:color w:val="000000"/>
          <w:sz w:val="22"/>
        </w:rPr>
        <w:t xml:space="preserve"> I understand that the facility will be deemed to have been granted an operating permit by rule for small sources under the terms of </w:t>
      </w:r>
      <w:hyperlink r:id="rId246">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only if all applicable requirements of </w:t>
      </w:r>
      <w:hyperlink r:id="rId247">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are met and if the registration is not denied by the director under </w:t>
      </w:r>
      <w:hyperlink r:id="rId248">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(11). This certification is based on information and belief formed after reasonable inquiry; the statements and information in the document are true, accurate, and complete.” The certification must be signed by one of the following individuals:</w:t>
      </w:r>
    </w:p>
    <w:p>
      <w:pPr>
        <w:spacing w:before="0" w:after="0"/>
        <w:ind w:left="120"/>
        <w:jc w:val="both"/>
      </w:pPr>
      <w:r>
        <w:rPr>
          <w:rFonts w:ascii="Times New Roman" w:hAnsi="Times New Roman"/>
          <w:b w:val="false"/>
          <w:i w:val="false"/>
          <w:color w:val="000000"/>
          <w:sz w:val="22"/>
        </w:rPr>
        <w:t xml:space="preserve">For corporations, a principal executive officer of at least the level of vice president, or a responsible official as defined in </w:t>
      </w:r>
      <w:hyperlink r:id="rId249">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For partnerships, a general partner.</w:t>
      </w:r>
    </w:p>
    <w:p>
      <w:pPr>
        <w:spacing w:before="0" w:after="0"/>
        <w:ind w:left="120"/>
        <w:jc w:val="both"/>
      </w:pPr>
      <w:r>
        <w:rPr>
          <w:rFonts w:ascii="Times New Roman" w:hAnsi="Times New Roman"/>
          <w:b w:val="false"/>
          <w:i w:val="false"/>
          <w:color w:val="000000"/>
          <w:sz w:val="22"/>
        </w:rPr>
        <w:t>For sole proprietorships, the proprietor.</w:t>
      </w:r>
    </w:p>
    <w:p>
      <w:pPr>
        <w:spacing w:before="0" w:after="0"/>
        <w:ind w:left="120"/>
        <w:jc w:val="both"/>
      </w:pPr>
      <w:r>
        <w:rPr>
          <w:rFonts w:ascii="Times New Roman" w:hAnsi="Times New Roman"/>
          <w:b w:val="false"/>
          <w:i w:val="false"/>
          <w:color w:val="000000"/>
          <w:sz w:val="22"/>
        </w:rPr>
        <w:t>For municipal, state, county, or other public facilities, the principal executive officer or the ranking elected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24.300(9)</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permits issued after registration for an operating permit by rule for small sources. </w:t>
      </w:r>
      <w:r>
        <w:rPr>
          <w:rFonts w:ascii="Times New Roman" w:hAnsi="Times New Roman"/>
          <w:b w:val="false"/>
          <w:i w:val="false"/>
          <w:color w:val="000000"/>
          <w:sz w:val="22"/>
        </w:rPr>
        <w:t>This rule shall not relieve any stationary source from complying with requirements pertaining to any otherwise applicable construction permit, or to replace a condition or term of any construction permit, or any provision of a construction permitting program. This does not preclude issuance of any construction permit with conditions or terms necessary to ensure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issuance of a construction permit acts to make the source no longer eligible for an operating permit by rule for small sources, the source shall, within 12 months of issuance of the construction permit, submit an application for a Title V operating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issuance of a construction permit does not prevent the source from continuing to be eligible to operate under an operating permit by rule for small sources, the source shall, within 30 days of issuance of a construction permit, provide to the department the information as listed in </w:t>
      </w:r>
      <w:hyperlink r:id="rId250">
        <w:r>
          <w:rPr>
            <w:rStyle w:val="Hyperlink"/>
            <w:rFonts w:ascii="Times New Roman" w:hAnsi="Times New Roman"/>
            <w:b w:val="false"/>
            <w:i w:val="false"/>
            <w:color w:val="000000"/>
            <w:sz w:val="22"/>
          </w:rPr>
          <w:t>24.300(8)</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the new or modified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24.300(10)</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any of the applicable provisions of this rule shall constitute a violation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stationary source subject to this rule shall be subject to applicable federal requirements for a major source, including </w:t>
      </w:r>
      <w:hyperlink r:id="rId251">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 xml:space="preserve">(455B) through </w:t>
      </w:r>
      <w:hyperlink r:id="rId252">
        <w:r>
          <w:rPr>
            <w:rStyle w:val="Hyperlink"/>
            <w:rFonts w:ascii="Times New Roman" w:hAnsi="Times New Roman"/>
            <w:b w:val="false"/>
            <w:i w:val="false"/>
            <w:color w:val="000000"/>
            <w:sz w:val="22"/>
          </w:rPr>
          <w:t>567—24.116</w:t>
        </w:r>
      </w:hyperlink>
      <w:r>
        <w:rPr>
          <w:rFonts w:ascii="Times New Roman" w:hAnsi="Times New Roman"/>
          <w:b w:val="false"/>
          <w:i w:val="false"/>
          <w:color w:val="000000"/>
          <w:sz w:val="22"/>
        </w:rPr>
        <w:t>(455B) when the conditions specified in either subparagraph (1) or (2) below,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Commencing on the first day following every 12-month rolling period in which the stationary source exceeds a limit specified in </w:t>
      </w:r>
      <w:hyperlink r:id="rId253">
        <w:r>
          <w:rPr>
            <w:rStyle w:val="Hyperlink"/>
            <w:rFonts w:ascii="Times New Roman" w:hAnsi="Times New Roman"/>
            <w:b w:val="false"/>
            <w:i w:val="false"/>
            <w:color w:val="000000"/>
            <w:sz w:val="22"/>
          </w:rPr>
          <w:t>24.300(6)</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Commencing on the first day following every 12-month rolling period in which the owner or operator cannot demonstrate that the stationary source is in compliance with the limits in </w:t>
      </w:r>
      <w:hyperlink r:id="rId254">
        <w:r>
          <w:rPr>
            <w:rStyle w:val="Hyperlink"/>
            <w:rFonts w:ascii="Times New Roman" w:hAnsi="Times New Roman"/>
            <w:b w:val="false"/>
            <w:i w:val="false"/>
            <w:color w:val="000000"/>
            <w:sz w:val="22"/>
          </w:rPr>
          <w:t>24.300(6)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24.300(11)</w:t>
      </w:r>
      <w:r>
        <w:rPr>
          <w:rFonts w:ascii="Times New Roman" w:hAnsi="Times New Roman"/>
          <w:b w:val="false"/>
          <w:i w:val="false"/>
          <w:color w:val="000000"/>
          <w:sz w:val="22"/>
        </w:rPr>
        <w:t> </w:t>
      </w:r>
      <w:r>
        <w:rPr>
          <w:rFonts w:ascii="Times New Roman" w:hAnsi="Times New Roman"/>
          <w:b w:val="false"/>
          <w:i/>
          <w:color w:val="000000"/>
          <w:sz w:val="22"/>
        </w:rPr>
        <w:t xml:space="preserve">Suspension, termination, and revocation of an operating permit by rule for small 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Registrations may be terminated, modified, revoked, or reissued for cause. The following examples shall be considered cause for the suspension, modification, revocation, or reissuance of an operating permit by rule for small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director has reasonable cause to believe that the operating permit by rule for small sources was obtained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registering for the operating permit by rule for small sources failed to disclose a material fact required by the registration form or the rules applicable to the operating permit by rule for small sources, of which the applicant had or should have had knowledge at the time the registration form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terms and conditions of the operating permit by rule for small sources have been or are being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the source has failed to pay an administrative, civil or criminal penalty for violations of the operating permit by rule for small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director suspends, terminates, or revokes an operating permit by rule for small sources under this rule, the notice of such action shall be served on the applicant by certified mail, return receipt requested. The notice shall include a statement detailing the grounds for the action sought, and the proceeding shall in all other respects comply with the requirements of </w:t>
      </w:r>
      <w:hyperlink r:id="rId255">
        <w:r>
          <w:rPr>
            <w:rStyle w:val="Hyperlink"/>
            <w:rFonts w:ascii="Times New Roman" w:hAnsi="Times New Roman"/>
            <w:b w:val="false"/>
            <w:i w:val="false"/>
            <w:color w:val="000000"/>
            <w:sz w:val="22"/>
          </w:rPr>
          <w:t>561—7.16</w:t>
        </w:r>
      </w:hyperlink>
      <w:r>
        <w:rPr>
          <w:rFonts w:ascii="Times New Roman" w:hAnsi="Times New Roman"/>
          <w:b w:val="false"/>
          <w:i w:val="false"/>
          <w:color w:val="000000"/>
          <w:sz w:val="22"/>
        </w:rPr>
        <w:t>(17A,455A).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24.300(12)</w:t>
      </w: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The new owner shall notify the department in writing no later than 30 days after the change of ownership of equipment covered by an operating permit by rule for small sources. The notification to the department shall be mailed to Air Quality Bureau, Iowa Department of Natural Resources, 6200 Park Avenue, Suite 200, Des Moines, Iowa 50321,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ownership change;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responsible official, the contact person, and the owner of the equipment both before and after the change of ownership.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56">
        <w:r>
          <w:rPr>
            <w:rStyle w:val="Hyperlink"/>
            <w:rFonts w:ascii="Times New Roman" w:hAnsi="Times New Roman"/>
            <w:b w:val="false"/>
            <w:i w:val="false"/>
            <w:color w:val="000000"/>
            <w:sz w:val="22"/>
          </w:rPr>
          <w:t>455B.133</w:t>
        </w:r>
      </w:hyperlink>
      <w:r>
        <w:rPr>
          <w:rFonts w:ascii="Times New Roman" w:hAnsi="Times New Roman"/>
          <w:b w:val="false"/>
          <w:i w:val="false"/>
          <w:color w:val="000000"/>
          <w:sz w:val="22"/>
        </w:rPr>
        <w:t xml:space="preserve"> and </w:t>
      </w:r>
      <w:hyperlink r:id="rId257">
        <w:r>
          <w:rPr>
            <w:rStyle w:val="Hyperlink"/>
            <w:rFonts w:ascii="Times New Roman" w:hAnsi="Times New Roman"/>
            <w:b w:val="false"/>
            <w:i w:val="false"/>
            <w:color w:val="000000"/>
            <w:sz w:val="22"/>
          </w:rPr>
          <w:t>455B.134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8/24/70; amended 5/2/72, 12/11/73, 12/17/74]</w:t>
      </w:r>
    </w:p>
    <w:p>
      <w:pPr>
        <w:spacing w:before="0" w:after="0"/>
        <w:ind w:left="120"/>
        <w:jc w:val="center"/>
      </w:pPr>
      <w:r>
        <w:rPr>
          <w:rFonts w:ascii="Times New Roman" w:hAnsi="Times New Roman"/>
          <w:b w:val="false"/>
          <w:i w:val="false"/>
          <w:color w:val="000000"/>
          <w:sz w:val="21"/>
        </w:rPr>
        <w:t>[Filed 12/12/80, Notice 5/28/80—published 1/7/81, effective 2/11/81]</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12/30/92, Notice 9/16/92—published 1/20/93, effective 2/24/93]</w:t>
      </w:r>
    </w:p>
    <w:p>
      <w:pPr>
        <w:spacing w:before="0" w:after="0"/>
        <w:ind w:left="120"/>
        <w:jc w:val="center"/>
      </w:pPr>
      <w:r>
        <w:rPr>
          <w:rFonts w:ascii="Times New Roman" w:hAnsi="Times New Roman"/>
          <w:b w:val="false"/>
          <w:i w:val="false"/>
          <w:color w:val="000000"/>
          <w:sz w:val="21"/>
        </w:rPr>
        <w:t>[Filed 3/19/98, Notice 1/14/98—published 4/8/98, effective 5/13/98]</w:t>
      </w:r>
    </w:p>
    <w:p>
      <w:pPr>
        <w:spacing w:before="0" w:after="0"/>
        <w:ind w:left="120"/>
        <w:jc w:val="center"/>
      </w:pPr>
      <w:r>
        <w:rPr>
          <w:rFonts w:ascii="Times New Roman" w:hAnsi="Times New Roman"/>
          <w:b w:val="false"/>
          <w:i w:val="false"/>
          <w:color w:val="000000"/>
          <w:sz w:val="21"/>
        </w:rPr>
        <w:t>[Filed ARC 9154B</w:t>
      </w:r>
      <w:r>
        <w:rPr>
          <w:rFonts w:ascii="Times New Roman" w:hAnsi="Times New Roman"/>
          <w:b w:val="false"/>
          <w:i w:val="false"/>
          <w:color w:val="000000"/>
          <w:sz w:val="21"/>
        </w:rPr>
        <w:t xml:space="preserve"> (Notice ARC 8845B, IAB 6/16/10)</w:t>
      </w:r>
      <w:r>
        <w:rPr>
          <w:rFonts w:ascii="Times New Roman" w:hAnsi="Times New Roman"/>
          <w:b w:val="false"/>
          <w:i w:val="false"/>
          <w:color w:val="000000"/>
          <w:sz w:val="21"/>
        </w:rPr>
        <w:t>, IAB 10/20/10, effective 11/24/10]</w:t>
      </w:r>
    </w:p>
    <w:p>
      <w:pPr>
        <w:spacing w:before="0" w:after="0"/>
        <w:ind w:left="120"/>
        <w:jc w:val="center"/>
      </w:pPr>
      <w:r>
        <w:rPr>
          <w:rFonts w:ascii="Times New Roman" w:hAnsi="Times New Roman"/>
          <w:b w:val="false"/>
          <w:i w:val="false"/>
          <w:color w:val="000000"/>
          <w:sz w:val="21"/>
        </w:rPr>
        <w:t>[Filed ARC 7953C</w:t>
      </w:r>
      <w:r>
        <w:rPr>
          <w:rFonts w:ascii="Times New Roman" w:hAnsi="Times New Roman"/>
          <w:b w:val="false"/>
          <w:i w:val="false"/>
          <w:color w:val="000000"/>
          <w:sz w:val="21"/>
        </w:rPr>
        <w:t xml:space="preserve"> (Notice ARC 7213C, IAB 12/27/23)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7/23/25]</w:t>
      </w:r>
    </w:p>
    <w:p>
      <w:pPr>
        <w:spacing w:before="0" w:after="0"/>
        <w:ind w:left="120"/>
        <w:jc w:val="center"/>
      </w:pPr>
      <w:r>
        <w:rPr>
          <w:rFonts w:ascii="Times New Roman" w:hAnsi="Times New Roman"/>
          <w:b w:val="false"/>
          <w:i w:val="false"/>
          <w:color w:val="000000"/>
          <w:sz w:val="21"/>
        </w:rPr>
        <w:t>[Editorial change: IAC Supplement 1/7/26]</w:t>
      </w:r>
    </w:p>
    <w:sectPr>
      <w:footerReference r:id="rId258"/>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22.1.pdf" Type="http://schemas.openxmlformats.org/officeDocument/2006/relationships/hyperlink" Id="rId5"/>
    <Relationship TargetMode="External" Target="https://www.legis.iowa.gov/docs/iac/rule/567.23.1.pdf" Type="http://schemas.openxmlformats.org/officeDocument/2006/relationships/hyperlink" Id="rId6"/>
    <Relationship TargetMode="External" Target="https://www.legis.iowa.gov/docs/iac/rule/567.23.1.pdf" Type="http://schemas.openxmlformats.org/officeDocument/2006/relationships/hyperlink" Id="rId7"/>
    <Relationship TargetMode="External" Target="https://www.legis.iowa.gov/docs/iac/rule/567.23.1.pdf" Type="http://schemas.openxmlformats.org/officeDocument/2006/relationships/hyperlink" Id="rId8"/>
    <Relationship TargetMode="External" Target="https://www.legis.iowa.gov/docs/iac/chapter/567.23.pdf" Type="http://schemas.openxmlformats.org/officeDocument/2006/relationships/hyperlink" Id="rId9"/>
    <Relationship TargetMode="External" Target="https://www.legis.iowa.gov/docs/iac/rule/567.24.100.pdf" Type="http://schemas.openxmlformats.org/officeDocument/2006/relationships/hyperlink" Id="rId10"/>
    <Relationship TargetMode="External" Target="https://www.legis.iowa.gov/docs/iac/rule/567.22.10.pdf" Type="http://schemas.openxmlformats.org/officeDocument/2006/relationships/hyperlink" Id="rId11"/>
    <Relationship TargetMode="External" Target="https://www.legis.iowa.gov/docs/iac/chapter/567.24.pdf" Type="http://schemas.openxmlformats.org/officeDocument/2006/relationships/hyperlink" Id="rId12"/>
    <Relationship TargetMode="External" Target="https://www.legis.iowa.gov/docs/iac/rule/567.22.1.pdf" Type="http://schemas.openxmlformats.org/officeDocument/2006/relationships/hyperlink" Id="rId13"/>
    <Relationship TargetMode="External" Target="https://www.legis.iowa.gov/docs/iac/rule/567.22.1.pdf" Type="http://schemas.openxmlformats.org/officeDocument/2006/relationships/hyperlink" Id="rId14"/>
    <Relationship TargetMode="External" Target="https://www.legis.iowa.gov/docs/iac/rule/567.22.1.pdf" Type="http://schemas.openxmlformats.org/officeDocument/2006/relationships/hyperlink" Id="rId15"/>
    <Relationship TargetMode="External" Target="https://www.legis.iowa.gov/docs/iac/rule/567.23.1.pdf" Type="http://schemas.openxmlformats.org/officeDocument/2006/relationships/hyperlink" Id="rId16"/>
    <Relationship TargetMode="External" Target="https://www.legis.iowa.gov/docs/iac/rule/567.23.1.pdf" Type="http://schemas.openxmlformats.org/officeDocument/2006/relationships/hyperlink" Id="rId17"/>
    <Relationship TargetMode="External" Target="https://www.legis.iowa.gov/docs/iac/rule/567.23.1.pdf" Type="http://schemas.openxmlformats.org/officeDocument/2006/relationships/hyperlink" Id="rId18"/>
    <Relationship TargetMode="External" Target="https://www.legis.iowa.gov/docs/iac/rule/567.23.1.pdf" Type="http://schemas.openxmlformats.org/officeDocument/2006/relationships/hyperlink" Id="rId19"/>
    <Relationship TargetMode="External" Target="https://www.legis.iowa.gov/docs/iac/rule/567.23.1.pdf" Type="http://schemas.openxmlformats.org/officeDocument/2006/relationships/hyperlink" Id="rId20"/>
    <Relationship TargetMode="External" Target="https://www.legis.iowa.gov/docs/iac/rule/567.23.1.pdf" Type="http://schemas.openxmlformats.org/officeDocument/2006/relationships/hyperlink" Id="rId21"/>
    <Relationship TargetMode="External" Target="https://www.legis.iowa.gov/docs/iac/rule/567.23.1.pdf" Type="http://schemas.openxmlformats.org/officeDocument/2006/relationships/hyperlink" Id="rId22"/>
    <Relationship TargetMode="External" Target="https://www.legis.iowa.gov/docs/iac/rule/567.23.1.pdf" Type="http://schemas.openxmlformats.org/officeDocument/2006/relationships/hyperlink" Id="rId23"/>
    <Relationship TargetMode="External" Target="https://www.legis.iowa.gov/docs/iac/rule/567.23.1.pdf" Type="http://schemas.openxmlformats.org/officeDocument/2006/relationships/hyperlink" Id="rId24"/>
    <Relationship TargetMode="External" Target="https://www.legis.iowa.gov/docs/iac/rule/567.23.1.pdf" Type="http://schemas.openxmlformats.org/officeDocument/2006/relationships/hyperlink" Id="rId25"/>
    <Relationship TargetMode="External" Target="https://www.legis.iowa.gov/docs/iac/rule/567.24.111.pdf" Type="http://schemas.openxmlformats.org/officeDocument/2006/relationships/hyperlink" Id="rId26"/>
    <Relationship TargetMode="External" Target="https://www.legis.iowa.gov/docs/iac/rule/567.24.120.pdf" Type="http://schemas.openxmlformats.org/officeDocument/2006/relationships/hyperlink" Id="rId27"/>
    <Relationship TargetMode="External" Target="https://www.legis.iowa.gov/docs/iac/rule/567.24.146.pdf" Type="http://schemas.openxmlformats.org/officeDocument/2006/relationships/hyperlink" Id="rId28"/>
    <Relationship TargetMode="External" Target="https://www.legis.iowa.gov/docs/iac/rule/567.22.10.pdf" Type="http://schemas.openxmlformats.org/officeDocument/2006/relationships/hyperlink" Id="rId29"/>
    <Relationship TargetMode="External" Target="https://www.legis.iowa.gov/docs/iac/chapter/567.30.pdf" Type="http://schemas.openxmlformats.org/officeDocument/2006/relationships/hyperlink" Id="rId30"/>
    <Relationship TargetMode="External" Target="https://www.legis.iowa.gov/docs/iac/rule/567.22.1.pdf" Type="http://schemas.openxmlformats.org/officeDocument/2006/relationships/hyperlink" Id="rId31"/>
    <Relationship TargetMode="External" Target="https://www.legis.iowa.gov/docs/iac/rule/567.24.102.pdf" Type="http://schemas.openxmlformats.org/officeDocument/2006/relationships/hyperlink" Id="rId32"/>
    <Relationship TargetMode="External" Target="https://www.legis.iowa.gov/docs/iac/chapter/567.30.pdf" Type="http://schemas.openxmlformats.org/officeDocument/2006/relationships/hyperlink" Id="rId33"/>
    <Relationship TargetMode="External" Target="https://www.legis.iowa.gov/docs/iac/rule/567.23.1.pdf" Type="http://schemas.openxmlformats.org/officeDocument/2006/relationships/hyperlink" Id="rId34"/>
    <Relationship TargetMode="External" Target="https://www.legis.iowa.gov/docs/iac/rule/567.23.1.pdf" Type="http://schemas.openxmlformats.org/officeDocument/2006/relationships/hyperlink" Id="rId35"/>
    <Relationship TargetMode="External" Target="https://www.legis.iowa.gov/docs/iac/rule/567.23.1.pdf" Type="http://schemas.openxmlformats.org/officeDocument/2006/relationships/hyperlink" Id="rId36"/>
    <Relationship TargetMode="External" Target="https://www.legis.iowa.gov/docs/iac/rule/567.23.1.pdf" Type="http://schemas.openxmlformats.org/officeDocument/2006/relationships/hyperlink" Id="rId37"/>
    <Relationship TargetMode="External" Target="https://www.legis.iowa.gov/docs/iac/rule/567.24.101.pdf" Type="http://schemas.openxmlformats.org/officeDocument/2006/relationships/hyperlink" Id="rId38"/>
    <Relationship TargetMode="External" Target="https://www.legis.iowa.gov/docs/iac/rule/567.24.101.pdf" Type="http://schemas.openxmlformats.org/officeDocument/2006/relationships/hyperlink" Id="rId39"/>
    <Relationship TargetMode="External" Target="https://www.legis.iowa.gov/docs/iac/rule/567.24.102.pdf" Type="http://schemas.openxmlformats.org/officeDocument/2006/relationships/hyperlink" Id="rId40"/>
    <Relationship TargetMode="External" Target="https://www.legis.iowa.gov/docs/iac/rule/567.23.1.pdf" Type="http://schemas.openxmlformats.org/officeDocument/2006/relationships/hyperlink" Id="rId41"/>
    <Relationship TargetMode="External" Target="https://www.legis.iowa.gov/docs/iac/rule/567.23.1.pdf" Type="http://schemas.openxmlformats.org/officeDocument/2006/relationships/hyperlink" Id="rId42"/>
    <Relationship TargetMode="External" Target="https://www.legis.iowa.gov/docs/iac/rule/567.23.1.pdf" Type="http://schemas.openxmlformats.org/officeDocument/2006/relationships/hyperlink" Id="rId43"/>
    <Relationship TargetMode="External" Target="https://www.legis.iowa.gov/docs/iac/rule/567.23.1.pdf" Type="http://schemas.openxmlformats.org/officeDocument/2006/relationships/hyperlink" Id="rId44"/>
    <Relationship TargetMode="External" Target="https://www.legis.iowa.gov/docs/iac/rule/567.23.1.pdf" Type="http://schemas.openxmlformats.org/officeDocument/2006/relationships/hyperlink" Id="rId45"/>
    <Relationship TargetMode="External" Target="https://www.legis.iowa.gov/docs/iac/rule/567.23.1.pdf" Type="http://schemas.openxmlformats.org/officeDocument/2006/relationships/hyperlink" Id="rId46"/>
    <Relationship TargetMode="External" Target="https://www.legis.iowa.gov/docs/iac/rule/567.23.1.pdf" Type="http://schemas.openxmlformats.org/officeDocument/2006/relationships/hyperlink" Id="rId47"/>
    <Relationship TargetMode="External" Target="https://www.legis.iowa.gov/docs/iac/rule/567.30.4.pdf" Type="http://schemas.openxmlformats.org/officeDocument/2006/relationships/hyperlink" Id="rId48"/>
    <Relationship TargetMode="External" Target="https://www.legis.iowa.gov/docs/ico/chapter/198.3.pdf" Type="http://schemas.openxmlformats.org/officeDocument/2006/relationships/hyperlink" Id="rId49"/>
    <Relationship TargetMode="External" Target="https://www.legis.iowa.gov/docs/ico/chapter/172D.1.pdf" Type="http://schemas.openxmlformats.org/officeDocument/2006/relationships/hyperlink" Id="rId50"/>
    <Relationship TargetMode="External" Target="https://www.legis.iowa.gov/docs/iac/rule/567.23.2.pdf" Type="http://schemas.openxmlformats.org/officeDocument/2006/relationships/hyperlink" Id="rId51"/>
    <Relationship TargetMode="External" Target="https://www.legis.iowa.gov/docs/iac/rule/567.22.1.pdf" Type="http://schemas.openxmlformats.org/officeDocument/2006/relationships/hyperlink" Id="rId52"/>
    <Relationship TargetMode="External" Target="https://www.legis.iowa.gov/docs/iac/rule/567.22.1.pdf" Type="http://schemas.openxmlformats.org/officeDocument/2006/relationships/hyperlink" Id="rId53"/>
    <Relationship TargetMode="External" Target="https://www.legis.iowa.gov/docs/iac/rule/567.22.1.pdf" Type="http://schemas.openxmlformats.org/officeDocument/2006/relationships/hyperlink" Id="rId54"/>
    <Relationship TargetMode="External" Target="https://www.legis.iowa.gov/docs/iac/rule/567.24.100.pdf" Type="http://schemas.openxmlformats.org/officeDocument/2006/relationships/hyperlink" Id="rId55"/>
    <Relationship TargetMode="External" Target="https://www.legis.iowa.gov/docs/iac/rule/567.22.1.pdf" Type="http://schemas.openxmlformats.org/officeDocument/2006/relationships/hyperlink" Id="rId56"/>
    <Relationship TargetMode="External" Target="https://www.legis.iowa.gov/docs/iac/rule/567.22.1.pdf" Type="http://schemas.openxmlformats.org/officeDocument/2006/relationships/hyperlink" Id="rId57"/>
    <Relationship TargetMode="External" Target="https://www.legis.iowa.gov/docs/iac/rule/567.24.103.pdf" Type="http://schemas.openxmlformats.org/officeDocument/2006/relationships/hyperlink" Id="rId58"/>
    <Relationship TargetMode="External" Target="https://www.legis.iowa.gov/docs/iac/rule/567.22.1.pdf" Type="http://schemas.openxmlformats.org/officeDocument/2006/relationships/hyperlink" Id="rId59"/>
    <Relationship TargetMode="External" Target="https://www.legis.iowa.gov/docs/iac/rule/567.22.1.pdf" Type="http://schemas.openxmlformats.org/officeDocument/2006/relationships/hyperlink" Id="rId60"/>
    <Relationship TargetMode="External" Target="https://www.legis.iowa.gov/docs/iac/rule/567.24.103.pdf" Type="http://schemas.openxmlformats.org/officeDocument/2006/relationships/hyperlink" Id="rId61"/>
    <Relationship TargetMode="External" Target="https://www.legis.iowa.gov/docs/iac/rule/567.24.103.pdf" Type="http://schemas.openxmlformats.org/officeDocument/2006/relationships/hyperlink" Id="rId62"/>
    <Relationship TargetMode="External" Target="https://www.legis.iowa.gov/docs/iac/rule/567.24.110.pdf" Type="http://schemas.openxmlformats.org/officeDocument/2006/relationships/hyperlink" Id="rId63"/>
    <Relationship TargetMode="External" Target="https://www.legis.iowa.gov/docs/iac/rule/567.24.101.pdf" Type="http://schemas.openxmlformats.org/officeDocument/2006/relationships/hyperlink" Id="rId64"/>
    <Relationship TargetMode="External" Target="https://www.legis.iowa.gov/docs/iac/chapter/567.30.pdf" Type="http://schemas.openxmlformats.org/officeDocument/2006/relationships/hyperlink" Id="rId65"/>
    <Relationship TargetMode="External" Target="https://www.legis.iowa.gov/docs/iac/rule/567.24.4.pdf" Type="http://schemas.openxmlformats.org/officeDocument/2006/relationships/hyperlink" Id="rId66"/>
    <Relationship TargetMode="External" Target="https://www.legis.iowa.gov/docs/iac/rule/567.33.3.pdf" Type="http://schemas.openxmlformats.org/officeDocument/2006/relationships/hyperlink" Id="rId67"/>
    <Relationship TargetMode="External" Target="https://www.legis.iowa.gov/docs/iac/rule/567.24.5.pdf" Type="http://schemas.openxmlformats.org/officeDocument/2006/relationships/hyperlink" Id="rId68"/>
    <Relationship TargetMode="External" Target="https://www.legis.iowa.gov/docs/iac/rule/567.31.3.pdf" Type="http://schemas.openxmlformats.org/officeDocument/2006/relationships/hyperlink" Id="rId69"/>
    <Relationship TargetMode="External" Target="https://www.legis.iowa.gov/docs/iac/rule/567.24.110.pdf" Type="http://schemas.openxmlformats.org/officeDocument/2006/relationships/hyperlink" Id="rId70"/>
    <Relationship TargetMode="External" Target="https://www.legis.iowa.gov/docs/iac/rule/567.24.110.pdf" Type="http://schemas.openxmlformats.org/officeDocument/2006/relationships/hyperlink" Id="rId71"/>
    <Relationship TargetMode="External" Target="https://www.legis.iowa.gov/docs/iac/rule/567.24.111.pdf" Type="http://schemas.openxmlformats.org/officeDocument/2006/relationships/hyperlink" Id="rId72"/>
    <Relationship TargetMode="External" Target="https://www.legis.iowa.gov/docs/iac/rule/567.24.111.pdf" Type="http://schemas.openxmlformats.org/officeDocument/2006/relationships/hyperlink" Id="rId73"/>
    <Relationship TargetMode="External" Target="https://www.legis.iowa.gov/docs/iac/rule/567.24.112.pdf" Type="http://schemas.openxmlformats.org/officeDocument/2006/relationships/hyperlink" Id="rId74"/>
    <Relationship TargetMode="External" Target="https://www.legis.iowa.gov/docs/iac/rule/567.24.112.pdf" Type="http://schemas.openxmlformats.org/officeDocument/2006/relationships/hyperlink" Id="rId75"/>
    <Relationship TargetMode="External" Target="https://www.legis.iowa.gov/docs/iac/rule/567.24.113.pdf" Type="http://schemas.openxmlformats.org/officeDocument/2006/relationships/hyperlink" Id="rId76"/>
    <Relationship TargetMode="External" Target="https://www.legis.iowa.gov/docs/iac/rule/567.24.113.pdf" Type="http://schemas.openxmlformats.org/officeDocument/2006/relationships/hyperlink" Id="rId77"/>
    <Relationship TargetMode="External" Target="https://www.legis.iowa.gov/docs/iac/rule/567.24.105.pdf" Type="http://schemas.openxmlformats.org/officeDocument/2006/relationships/hyperlink" Id="rId78"/>
    <Relationship TargetMode="External" Target="https://www.legis.iowa.gov/docs/iac/rule/567.30.4.pdf" Type="http://schemas.openxmlformats.org/officeDocument/2006/relationships/hyperlink" Id="rId79"/>
    <Relationship TargetMode="External" Target="https://www.legis.iowa.gov/docs/iac/rule/567.24.101.pdf" Type="http://schemas.openxmlformats.org/officeDocument/2006/relationships/hyperlink" Id="rId80"/>
    <Relationship TargetMode="External" Target="https://www.legis.iowa.gov/docs/iac/rule/567.24.101.pdf" Type="http://schemas.openxmlformats.org/officeDocument/2006/relationships/hyperlink" Id="rId81"/>
    <Relationship TargetMode="External" Target="https://www.legis.iowa.gov/docs/iac/rule/567.24.103.pdf" Type="http://schemas.openxmlformats.org/officeDocument/2006/relationships/hyperlink" Id="rId82"/>
    <Relationship TargetMode="External" Target="https://www.legis.iowa.gov/docs/iac/rule/567.24.128.pdf" Type="http://schemas.openxmlformats.org/officeDocument/2006/relationships/hyperlink" Id="rId83"/>
    <Relationship TargetMode="External" Target="https://www.legis.iowa.gov/docs/iac/rule/567.24.105.pdf" Type="http://schemas.openxmlformats.org/officeDocument/2006/relationships/hyperlink" Id="rId84"/>
    <Relationship TargetMode="External" Target="https://www.legis.iowa.gov/docs/iac/rule/567.24.108.pdf" Type="http://schemas.openxmlformats.org/officeDocument/2006/relationships/hyperlink" Id="rId85"/>
    <Relationship TargetMode="External" Target="https://www.legis.iowa.gov/docs/iac/rule/567.24.108.pdf" Type="http://schemas.openxmlformats.org/officeDocument/2006/relationships/hyperlink" Id="rId86"/>
    <Relationship TargetMode="External" Target="https://www.legis.iowa.gov/docs/iac/rule/567.24.112.pdf" Type="http://schemas.openxmlformats.org/officeDocument/2006/relationships/hyperlink" Id="rId87"/>
    <Relationship TargetMode="External" Target="https://www.legis.iowa.gov/docs/iac/rule/567.24.107.pdf" Type="http://schemas.openxmlformats.org/officeDocument/2006/relationships/hyperlink" Id="rId88"/>
    <Relationship TargetMode="External" Target="https://www.legis.iowa.gov/docs/iac/rule/567.24.108.pdf" Type="http://schemas.openxmlformats.org/officeDocument/2006/relationships/hyperlink" Id="rId89"/>
    <Relationship TargetMode="External" Target="https://www.legis.iowa.gov/docs/iac/rule/567.24.108.pdf" Type="http://schemas.openxmlformats.org/officeDocument/2006/relationships/hyperlink" Id="rId90"/>
    <Relationship TargetMode="External" Target="https://www.legis.iowa.gov/docs/iac/rule/567.24.108.pdf" Type="http://schemas.openxmlformats.org/officeDocument/2006/relationships/hyperlink" Id="rId91"/>
    <Relationship TargetMode="External" Target="https://www.legis.iowa.gov/docs/iac/rule/567.23.1.pdf" Type="http://schemas.openxmlformats.org/officeDocument/2006/relationships/hyperlink" Id="rId92"/>
    <Relationship TargetMode="External" Target="https://www.legis.iowa.gov/docs/iac/rule/567.24.128.pdf" Type="http://schemas.openxmlformats.org/officeDocument/2006/relationships/hyperlink" Id="rId93"/>
    <Relationship TargetMode="External" Target="https://www.legis.iowa.gov/docs/iac/rule/567.24.129.pdf" Type="http://schemas.openxmlformats.org/officeDocument/2006/relationships/hyperlink" Id="rId94"/>
    <Relationship TargetMode="External" Target="https://www.legis.iowa.gov/docs/iac/rule/567.24.105.pdf" Type="http://schemas.openxmlformats.org/officeDocument/2006/relationships/hyperlink" Id="rId95"/>
    <Relationship TargetMode="External" Target="https://www.legis.iowa.gov/docs/iac/chapter/567.30.pdf" Type="http://schemas.openxmlformats.org/officeDocument/2006/relationships/hyperlink" Id="rId96"/>
    <Relationship TargetMode="External" Target="https://www.legis.iowa.gov/docs/iac/rule/567.24.109.pdf" Type="http://schemas.openxmlformats.org/officeDocument/2006/relationships/hyperlink" Id="rId97"/>
    <Relationship TargetMode="External" Target="https://www.legis.iowa.gov/docs/iac/rule/567.24.112.pdf" Type="http://schemas.openxmlformats.org/officeDocument/2006/relationships/hyperlink" Id="rId98"/>
    <Relationship TargetMode="External" Target="https://www.legis.iowa.gov/docs/iac/rule/567.24.107.pdf" Type="http://schemas.openxmlformats.org/officeDocument/2006/relationships/hyperlink" Id="rId99"/>
    <Relationship TargetMode="External" Target="https://www.legis.iowa.gov/docs/iac/rule/567.24.107.pdf" Type="http://schemas.openxmlformats.org/officeDocument/2006/relationships/hyperlink" Id="rId100"/>
    <Relationship TargetMode="External" Target="https://www.legis.iowa.gov/docs/iac/rule/567.24.107.pdf" Type="http://schemas.openxmlformats.org/officeDocument/2006/relationships/hyperlink" Id="rId101"/>
    <Relationship TargetMode="External" Target="https://www.legis.iowa.gov/docs/iac/rule/567.24.107.pdf" Type="http://schemas.openxmlformats.org/officeDocument/2006/relationships/hyperlink" Id="rId102"/>
    <Relationship TargetMode="External" Target="https://www.legis.iowa.gov/docs/iac/rule/567.24.107.pdf" Type="http://schemas.openxmlformats.org/officeDocument/2006/relationships/hyperlink" Id="rId103"/>
    <Relationship TargetMode="External" Target="https://www.legis.iowa.gov/docs/iac/rule/567.22.1.pdf" Type="http://schemas.openxmlformats.org/officeDocument/2006/relationships/hyperlink" Id="rId104"/>
    <Relationship TargetMode="External" Target="https://www.legis.iowa.gov/docs/iac/rule/567.23.1.pdf" Type="http://schemas.openxmlformats.org/officeDocument/2006/relationships/hyperlink" Id="rId105"/>
    <Relationship TargetMode="External" Target="https://www.legis.iowa.gov/docs/iac/rule/567.24.104.pdf" Type="http://schemas.openxmlformats.org/officeDocument/2006/relationships/hyperlink" Id="rId106"/>
    <Relationship TargetMode="External" Target="https://www.legis.iowa.gov/docs/iac/rule/567.24.107.pdf" Type="http://schemas.openxmlformats.org/officeDocument/2006/relationships/hyperlink" Id="rId107"/>
    <Relationship TargetMode="External" Target="https://www.legis.iowa.gov/docs/iac/rule/567.22.1.pdf" Type="http://schemas.openxmlformats.org/officeDocument/2006/relationships/hyperlink" Id="rId108"/>
    <Relationship TargetMode="External" Target="https://www.legis.iowa.gov/docs/iac/chapter/561.2.pdf" Type="http://schemas.openxmlformats.org/officeDocument/2006/relationships/hyperlink" Id="rId109"/>
    <Relationship TargetMode="External" Target="https://www.legis.iowa.gov/docs/iac/rule/567.23.1.pdf" Type="http://schemas.openxmlformats.org/officeDocument/2006/relationships/hyperlink" Id="rId110"/>
    <Relationship TargetMode="External" Target="https://www.legis.iowa.gov/docs/iac/rule/567.24.107.pdf" Type="http://schemas.openxmlformats.org/officeDocument/2006/relationships/hyperlink" Id="rId111"/>
    <Relationship TargetMode="External" Target="https://www.legis.iowa.gov/docs/iac/rule/567.24.107.pdf" Type="http://schemas.openxmlformats.org/officeDocument/2006/relationships/hyperlink" Id="rId112"/>
    <Relationship TargetMode="External" Target="https://www.legis.iowa.gov/docs/iac/rule/567.24.107.pdf" Type="http://schemas.openxmlformats.org/officeDocument/2006/relationships/hyperlink" Id="rId113"/>
    <Relationship TargetMode="External" Target="https://www.legis.iowa.gov/docs/iac/rule/567.24.112.pdf" Type="http://schemas.openxmlformats.org/officeDocument/2006/relationships/hyperlink" Id="rId114"/>
    <Relationship TargetMode="External" Target="https://www.legis.iowa.gov/docs/iac/rule/567.24.107.pdf" Type="http://schemas.openxmlformats.org/officeDocument/2006/relationships/hyperlink" Id="rId115"/>
    <Relationship TargetMode="External" Target="https://www.legis.iowa.gov/docs/iac/rule/567.24.108.pdf" Type="http://schemas.openxmlformats.org/officeDocument/2006/relationships/hyperlink" Id="rId116"/>
    <Relationship TargetMode="External" Target="https://www.legis.iowa.gov/docs/iac/rule/567.24.107.pdf" Type="http://schemas.openxmlformats.org/officeDocument/2006/relationships/hyperlink" Id="rId117"/>
    <Relationship TargetMode="External" Target="https://www.legis.iowa.gov/docs/iac/rule/567.30.4.pdf" Type="http://schemas.openxmlformats.org/officeDocument/2006/relationships/hyperlink" Id="rId118"/>
    <Relationship TargetMode="External" Target="https://www.legis.iowa.gov/docs/iac/rule/567.24.108.pdf" Type="http://schemas.openxmlformats.org/officeDocument/2006/relationships/hyperlink" Id="rId119"/>
    <Relationship TargetMode="External" Target="https://www.legis.iowa.gov/docs/iac/rule/567.24.108.pdf" Type="http://schemas.openxmlformats.org/officeDocument/2006/relationships/hyperlink" Id="rId120"/>
    <Relationship TargetMode="External" Target="https://www.legis.iowa.gov/docs/iac/rule/567.24.108.pdf" Type="http://schemas.openxmlformats.org/officeDocument/2006/relationships/hyperlink" Id="rId121"/>
    <Relationship TargetMode="External" Target="https://www.legis.iowa.gov/docs/iac/rule/567.24.108.pdf" Type="http://schemas.openxmlformats.org/officeDocument/2006/relationships/hyperlink" Id="rId122"/>
    <Relationship TargetMode="External" Target="https://www.legis.iowa.gov/docs/iac/rule/567.24.108.pdf" Type="http://schemas.openxmlformats.org/officeDocument/2006/relationships/hyperlink" Id="rId123"/>
    <Relationship TargetMode="External" Target="https://www.legis.iowa.gov/docs/iac/rule/567.24.108.pdf" Type="http://schemas.openxmlformats.org/officeDocument/2006/relationships/hyperlink" Id="rId124"/>
    <Relationship TargetMode="External" Target="https://www.legis.iowa.gov/docs/iac/rule/567.24.108.pdf" Type="http://schemas.openxmlformats.org/officeDocument/2006/relationships/hyperlink" Id="rId125"/>
    <Relationship TargetMode="External" Target="https://www.legis.iowa.gov/docs/iac/rule/567.24.107.pdf" Type="http://schemas.openxmlformats.org/officeDocument/2006/relationships/hyperlink" Id="rId126"/>
    <Relationship TargetMode="External" Target="https://www.legis.iowa.gov/docs/iac/rule/567.24.105.pdf" Type="http://schemas.openxmlformats.org/officeDocument/2006/relationships/hyperlink" Id="rId127"/>
    <Relationship TargetMode="External" Target="https://www.legis.iowa.gov/docs/iac/rule/567.24.105.pdf" Type="http://schemas.openxmlformats.org/officeDocument/2006/relationships/hyperlink" Id="rId128"/>
    <Relationship TargetMode="External" Target="https://www.legis.iowa.gov/docs/iac/rule/567.24.105.pdf" Type="http://schemas.openxmlformats.org/officeDocument/2006/relationships/hyperlink" Id="rId129"/>
    <Relationship TargetMode="External" Target="https://www.legis.iowa.gov/docs/iac/rule/567.24.105.pdf" Type="http://schemas.openxmlformats.org/officeDocument/2006/relationships/hyperlink" Id="rId130"/>
    <Relationship TargetMode="External" Target="https://www.legis.iowa.gov/docs/iac/rule/567.24.105.pdf" Type="http://schemas.openxmlformats.org/officeDocument/2006/relationships/hyperlink" Id="rId131"/>
    <Relationship TargetMode="External" Target="https://www.legis.iowa.gov/docs/iac/rule/567.24.108.pdf" Type="http://schemas.openxmlformats.org/officeDocument/2006/relationships/hyperlink" Id="rId132"/>
    <Relationship TargetMode="External" Target="https://www.legis.iowa.gov/docs/iac/rule/567.24.108.pdf" Type="http://schemas.openxmlformats.org/officeDocument/2006/relationships/hyperlink" Id="rId133"/>
    <Relationship TargetMode="External" Target="https://www.legis.iowa.gov/docs/iac/rule/567.24.140.pdf" Type="http://schemas.openxmlformats.org/officeDocument/2006/relationships/hyperlink" Id="rId134"/>
    <Relationship TargetMode="External" Target="https://www.legis.iowa.gov/docs/iac/rule/567.24.144.pdf" Type="http://schemas.openxmlformats.org/officeDocument/2006/relationships/hyperlink" Id="rId135"/>
    <Relationship TargetMode="External" Target="https://www.legis.iowa.gov/docs/iac/rule/567.24.110.pdf" Type="http://schemas.openxmlformats.org/officeDocument/2006/relationships/hyperlink" Id="rId136"/>
    <Relationship TargetMode="External" Target="https://www.legis.iowa.gov/docs/iac/rule/567.24.108.pdf" Type="http://schemas.openxmlformats.org/officeDocument/2006/relationships/hyperlink" Id="rId137"/>
    <Relationship TargetMode="External" Target="https://www.legis.iowa.gov/docs/iac/rule/567.24.113.pdf" Type="http://schemas.openxmlformats.org/officeDocument/2006/relationships/hyperlink" Id="rId138"/>
    <Relationship TargetMode="External" Target="https://www.legis.iowa.gov/docs/iac/rule/567.24.107.pdf" Type="http://schemas.openxmlformats.org/officeDocument/2006/relationships/hyperlink" Id="rId139"/>
    <Relationship TargetMode="External" Target="https://www.legis.iowa.gov/docs/iac/rule/567.24.107.pdf" Type="http://schemas.openxmlformats.org/officeDocument/2006/relationships/hyperlink" Id="rId140"/>
    <Relationship TargetMode="External" Target="https://www.legis.iowa.gov/docs/iac/rule/567.24.107.pdf" Type="http://schemas.openxmlformats.org/officeDocument/2006/relationships/hyperlink" Id="rId141"/>
    <Relationship TargetMode="External" Target="https://www.legis.iowa.gov/docs/iac/rule/567.24.107.pdf" Type="http://schemas.openxmlformats.org/officeDocument/2006/relationships/hyperlink" Id="rId142"/>
    <Relationship TargetMode="External" Target="https://www.legis.iowa.gov/docs/iac/rule/567.24.107.pdf" Type="http://schemas.openxmlformats.org/officeDocument/2006/relationships/hyperlink" Id="rId143"/>
    <Relationship TargetMode="External" Target="https://www.legis.iowa.gov/docs/iac/rule/567.24.107.pdf" Type="http://schemas.openxmlformats.org/officeDocument/2006/relationships/hyperlink" Id="rId144"/>
    <Relationship TargetMode="External" Target="https://www.legis.iowa.gov/docs/iac/rule/567.24.112.pdf" Type="http://schemas.openxmlformats.org/officeDocument/2006/relationships/hyperlink" Id="rId145"/>
    <Relationship TargetMode="External" Target="https://www.legis.iowa.gov/docs/iac/rule/567.24.112.pdf" Type="http://schemas.openxmlformats.org/officeDocument/2006/relationships/hyperlink" Id="rId146"/>
    <Relationship TargetMode="External" Target="https://www.legis.iowa.gov/docs/iac/rule/567.24.108.pdf" Type="http://schemas.openxmlformats.org/officeDocument/2006/relationships/hyperlink" Id="rId147"/>
    <Relationship TargetMode="External" Target="https://www.legis.iowa.gov/docs/iac/rule/567.24.113.pdf" Type="http://schemas.openxmlformats.org/officeDocument/2006/relationships/hyperlink" Id="rId148"/>
    <Relationship TargetMode="External" Target="https://www.legis.iowa.gov/docs/iac/rule/561.7.16.pdf" Type="http://schemas.openxmlformats.org/officeDocument/2006/relationships/hyperlink" Id="rId149"/>
    <Relationship TargetMode="External" Target="https://www.legis.iowa.gov/docs/iac/rule/567.24.104.pdf" Type="http://schemas.openxmlformats.org/officeDocument/2006/relationships/hyperlink" Id="rId150"/>
    <Relationship TargetMode="External" Target="https://www.legis.iowa.gov/docs/iac/rule/567.24.105.pdf" Type="http://schemas.openxmlformats.org/officeDocument/2006/relationships/hyperlink" Id="rId151"/>
    <Relationship TargetMode="External" Target="https://www.legis.iowa.gov/docs/iac/rule/567.24.120.pdf" Type="http://schemas.openxmlformats.org/officeDocument/2006/relationships/hyperlink" Id="rId152"/>
    <Relationship TargetMode="External" Target="https://www.legis.iowa.gov/docs/iac/rule/567.24.146.pdf" Type="http://schemas.openxmlformats.org/officeDocument/2006/relationships/hyperlink" Id="rId153"/>
    <Relationship TargetMode="External" Target="https://www.legis.iowa.gov/docs/iac/rule/567.24.100.pdf" Type="http://schemas.openxmlformats.org/officeDocument/2006/relationships/hyperlink" Id="rId154"/>
    <Relationship TargetMode="External" Target="https://www.legis.iowa.gov/docs/iac/rule/567.24.116.pdf" Type="http://schemas.openxmlformats.org/officeDocument/2006/relationships/hyperlink" Id="rId155"/>
    <Relationship TargetMode="External" Target="https://www.legis.iowa.gov/docs/iac/rule/567.24.131.pdf" Type="http://schemas.openxmlformats.org/officeDocument/2006/relationships/hyperlink" Id="rId156"/>
    <Relationship TargetMode="External" Target="https://www.legis.iowa.gov/docs/iac/rule/567.24.125.pdf" Type="http://schemas.openxmlformats.org/officeDocument/2006/relationships/hyperlink" Id="rId157"/>
    <Relationship TargetMode="External" Target="https://www.legis.iowa.gov/docs/iac/rule/567.24.100.pdf" Type="http://schemas.openxmlformats.org/officeDocument/2006/relationships/hyperlink" Id="rId158"/>
    <Relationship TargetMode="External" Target="https://www.legis.iowa.gov/docs/iac/rule/567.24.116.pdf" Type="http://schemas.openxmlformats.org/officeDocument/2006/relationships/hyperlink" Id="rId159"/>
    <Relationship TargetMode="External" Target="https://www.legis.iowa.gov/docs/iac/rule/567.24.135.pdf" Type="http://schemas.openxmlformats.org/officeDocument/2006/relationships/hyperlink" Id="rId160"/>
    <Relationship TargetMode="External" Target="https://www.legis.iowa.gov/docs/iac/rule/567.24.145.pdf" Type="http://schemas.openxmlformats.org/officeDocument/2006/relationships/hyperlink" Id="rId161"/>
    <Relationship TargetMode="External" Target="https://www.legis.iowa.gov/docs/iac/rule/567.24.107.pdf" Type="http://schemas.openxmlformats.org/officeDocument/2006/relationships/hyperlink" Id="rId162"/>
    <Relationship TargetMode="External" Target="https://www.legis.iowa.gov/docs/iac/rule/567.24.107.pdf" Type="http://schemas.openxmlformats.org/officeDocument/2006/relationships/hyperlink" Id="rId163"/>
    <Relationship TargetMode="External" Target="https://www.legis.iowa.gov/docs/iac/rule/567.24.100.pdf" Type="http://schemas.openxmlformats.org/officeDocument/2006/relationships/hyperlink" Id="rId164"/>
    <Relationship TargetMode="External" Target="https://www.legis.iowa.gov/docs/iac/rule/567.24.116.pdf" Type="http://schemas.openxmlformats.org/officeDocument/2006/relationships/hyperlink" Id="rId165"/>
    <Relationship TargetMode="External" Target="https://www.legis.iowa.gov/docs/iac/rule/567.24.133.pdf" Type="http://schemas.openxmlformats.org/officeDocument/2006/relationships/hyperlink" Id="rId166"/>
    <Relationship TargetMode="External" Target="https://www.legis.iowa.gov/docs/iac/rule/567.24.134.pdf" Type="http://schemas.openxmlformats.org/officeDocument/2006/relationships/hyperlink" Id="rId167"/>
    <Relationship TargetMode="External" Target="https://www.legis.iowa.gov/docs/iac/rule/567.24.138.pdf" Type="http://schemas.openxmlformats.org/officeDocument/2006/relationships/hyperlink" Id="rId168"/>
    <Relationship TargetMode="External" Target="https://www.legis.iowa.gov/docs/iac/rule/567.24.122.pdf" Type="http://schemas.openxmlformats.org/officeDocument/2006/relationships/hyperlink" Id="rId169"/>
    <Relationship TargetMode="External" Target="https://www.legis.iowa.gov/docs/iac/rule/567.25.2.pdf" Type="http://schemas.openxmlformats.org/officeDocument/2006/relationships/hyperlink" Id="rId170"/>
    <Relationship TargetMode="External" Target="https://www.legis.iowa.gov/docs/ico/chapter/17A.pdf" Type="http://schemas.openxmlformats.org/officeDocument/2006/relationships/hyperlink" Id="rId171"/>
    <Relationship TargetMode="External" Target="https://www.legis.iowa.gov/docs/iac/chapter/561.7.pdf" Type="http://schemas.openxmlformats.org/officeDocument/2006/relationships/hyperlink" Id="rId172"/>
    <Relationship TargetMode="External" Target="https://www.legis.iowa.gov/docs/iac/chapter/567.7.pdf" Type="http://schemas.openxmlformats.org/officeDocument/2006/relationships/hyperlink" Id="rId173"/>
    <Relationship TargetMode="External" Target="https://www.legis.iowa.gov/docs/iac/rule/567.24.125.pdf" Type="http://schemas.openxmlformats.org/officeDocument/2006/relationships/hyperlink" Id="rId174"/>
    <Relationship TargetMode="External" Target="https://www.legis.iowa.gov/docs/iac/rule/567.25.2.pdf" Type="http://schemas.openxmlformats.org/officeDocument/2006/relationships/hyperlink" Id="rId175"/>
    <Relationship TargetMode="External" Target="https://www.legis.iowa.gov/docs/iac/rule/567.24.107.pdf" Type="http://schemas.openxmlformats.org/officeDocument/2006/relationships/hyperlink" Id="rId176"/>
    <Relationship TargetMode="External" Target="https://www.legis.iowa.gov/docs/iac/rule/567.24.107.pdf" Type="http://schemas.openxmlformats.org/officeDocument/2006/relationships/hyperlink" Id="rId177"/>
    <Relationship TargetMode="External" Target="https://www.legis.iowa.gov/docs/iac/rule/567.24.140.pdf" Type="http://schemas.openxmlformats.org/officeDocument/2006/relationships/hyperlink" Id="rId178"/>
    <Relationship TargetMode="External" Target="https://www.legis.iowa.gov/docs/iac/rule/567.24.145.pdf" Type="http://schemas.openxmlformats.org/officeDocument/2006/relationships/hyperlink" Id="rId179"/>
    <Relationship TargetMode="External" Target="https://www.legis.iowa.gov/docs/iac/rule/567.24.143.pdf" Type="http://schemas.openxmlformats.org/officeDocument/2006/relationships/hyperlink" Id="rId180"/>
    <Relationship TargetMode="External" Target="https://www.legis.iowa.gov/docs/iac/rule/567.24.125.pdf" Type="http://schemas.openxmlformats.org/officeDocument/2006/relationships/hyperlink" Id="rId181"/>
    <Relationship TargetMode="External" Target="https://www.legis.iowa.gov/docs/iac/rule/567.24.131.pdf" Type="http://schemas.openxmlformats.org/officeDocument/2006/relationships/hyperlink" Id="rId182"/>
    <Relationship TargetMode="External" Target="https://www.legis.iowa.gov/docs/iac/rule/567.24.141.pdf" Type="http://schemas.openxmlformats.org/officeDocument/2006/relationships/hyperlink" Id="rId183"/>
    <Relationship TargetMode="External" Target="https://www.legis.iowa.gov/docs/iac/rule/567.24.142.pdf" Type="http://schemas.openxmlformats.org/officeDocument/2006/relationships/hyperlink" Id="rId184"/>
    <Relationship TargetMode="External" Target="https://www.legis.iowa.gov/docs/iac/rule/567.24.135.pdf" Type="http://schemas.openxmlformats.org/officeDocument/2006/relationships/hyperlink" Id="rId185"/>
    <Relationship TargetMode="External" Target="https://www.legis.iowa.gov/docs/iac/rule/567.24.139.pdf" Type="http://schemas.openxmlformats.org/officeDocument/2006/relationships/hyperlink" Id="rId186"/>
    <Relationship TargetMode="External" Target="https://www.legis.iowa.gov/docs/iac/rule/567.24.113.pdf" Type="http://schemas.openxmlformats.org/officeDocument/2006/relationships/hyperlink" Id="rId187"/>
    <Relationship TargetMode="External" Target="https://www.legis.iowa.gov/docs/iac/rule/567.24.113.pdf" Type="http://schemas.openxmlformats.org/officeDocument/2006/relationships/hyperlink" Id="rId188"/>
    <Relationship TargetMode="External" Target="https://www.legis.iowa.gov/docs/iac/rule/567.24.141.pdf" Type="http://schemas.openxmlformats.org/officeDocument/2006/relationships/hyperlink" Id="rId189"/>
    <Relationship TargetMode="External" Target="https://www.legis.iowa.gov/docs/iac/rule/567.24.140.pdf" Type="http://schemas.openxmlformats.org/officeDocument/2006/relationships/hyperlink" Id="rId190"/>
    <Relationship TargetMode="External" Target="https://www.legis.iowa.gov/docs/iac/rule/567.24.145.pdf" Type="http://schemas.openxmlformats.org/officeDocument/2006/relationships/hyperlink" Id="rId191"/>
    <Relationship TargetMode="External" Target="https://www.legis.iowa.gov/docs/iac/rule/567.24.142.pdf" Type="http://schemas.openxmlformats.org/officeDocument/2006/relationships/hyperlink" Id="rId192"/>
    <Relationship TargetMode="External" Target="https://www.legis.iowa.gov/docs/iac/rule/567.24.111.pdf" Type="http://schemas.openxmlformats.org/officeDocument/2006/relationships/hyperlink" Id="rId193"/>
    <Relationship TargetMode="External" Target="https://www.legis.iowa.gov/docs/iac/rule/567.24.131.pdf" Type="http://schemas.openxmlformats.org/officeDocument/2006/relationships/hyperlink" Id="rId194"/>
    <Relationship TargetMode="External" Target="https://www.legis.iowa.gov/docs/iac/rule/567.24.131.pdf" Type="http://schemas.openxmlformats.org/officeDocument/2006/relationships/hyperlink" Id="rId195"/>
    <Relationship TargetMode="External" Target="https://www.legis.iowa.gov/docs/iac/rule/567.24.125.pdf" Type="http://schemas.openxmlformats.org/officeDocument/2006/relationships/hyperlink" Id="rId196"/>
    <Relationship TargetMode="External" Target="https://www.legis.iowa.gov/docs/iac/rule/567.24.143.pdf" Type="http://schemas.openxmlformats.org/officeDocument/2006/relationships/hyperlink" Id="rId197"/>
    <Relationship TargetMode="External" Target="https://www.legis.iowa.gov/docs/iac/rule/567.24.143.pdf" Type="http://schemas.openxmlformats.org/officeDocument/2006/relationships/hyperlink" Id="rId198"/>
    <Relationship TargetMode="External" Target="https://www.legis.iowa.gov/docs/iac/rule/567.24.146.pdf" Type="http://schemas.openxmlformats.org/officeDocument/2006/relationships/hyperlink" Id="rId199"/>
    <Relationship TargetMode="External" Target="https://www.legis.iowa.gov/docs/iac/rule/567.25.2.pdf" Type="http://schemas.openxmlformats.org/officeDocument/2006/relationships/hyperlink" Id="rId200"/>
    <Relationship TargetMode="External" Target="https://www.legis.iowa.gov/docs/iac/rule/567.24.108.pdf" Type="http://schemas.openxmlformats.org/officeDocument/2006/relationships/hyperlink" Id="rId201"/>
    <Relationship TargetMode="External" Target="https://www.legis.iowa.gov/docs/iac/rule/567.24.300.pdf" Type="http://schemas.openxmlformats.org/officeDocument/2006/relationships/hyperlink" Id="rId202"/>
    <Relationship TargetMode="External" Target="https://www.legis.iowa.gov/docs/iac/rule/567.24.100.pdf" Type="http://schemas.openxmlformats.org/officeDocument/2006/relationships/hyperlink" Id="rId203"/>
    <Relationship TargetMode="External" Target="https://www.legis.iowa.gov/docs/iac/rule/567.24.300.pdf" Type="http://schemas.openxmlformats.org/officeDocument/2006/relationships/hyperlink" Id="rId204"/>
    <Relationship TargetMode="External" Target="https://www.legis.iowa.gov/docs/iac/rule/567.24.100.pdf" Type="http://schemas.openxmlformats.org/officeDocument/2006/relationships/hyperlink" Id="rId205"/>
    <Relationship TargetMode="External" Target="https://www.legis.iowa.gov/docs/iac/rule/567.24.300.pdf" Type="http://schemas.openxmlformats.org/officeDocument/2006/relationships/hyperlink" Id="rId206"/>
    <Relationship TargetMode="External" Target="https://www.legis.iowa.gov/docs/iac/rule/567.24.300.pdf" Type="http://schemas.openxmlformats.org/officeDocument/2006/relationships/hyperlink" Id="rId207"/>
    <Relationship TargetMode="External" Target="https://www.legis.iowa.gov/docs/iac/rule/567.24.300.pdf" Type="http://schemas.openxmlformats.org/officeDocument/2006/relationships/hyperlink" Id="rId208"/>
    <Relationship TargetMode="External" Target="https://www.legis.iowa.gov/docs/iac/rule/567.24.300.pdf" Type="http://schemas.openxmlformats.org/officeDocument/2006/relationships/hyperlink" Id="rId209"/>
    <Relationship TargetMode="External" Target="https://www.legis.iowa.gov/docs/iac/chapter/567.22.pdf" Type="http://schemas.openxmlformats.org/officeDocument/2006/relationships/hyperlink" Id="rId210"/>
    <Relationship TargetMode="External" Target="https://www.legis.iowa.gov/docs/iac/rule/567.24.300.pdf" Type="http://schemas.openxmlformats.org/officeDocument/2006/relationships/hyperlink" Id="rId211"/>
    <Relationship TargetMode="External" Target="https://www.legis.iowa.gov/docs/iac/rule/567.24.300.pdf" Type="http://schemas.openxmlformats.org/officeDocument/2006/relationships/hyperlink" Id="rId212"/>
    <Relationship TargetMode="External" Target="https://www.legis.iowa.gov/docs/iac/rule/567.23.1.pdf" Type="http://schemas.openxmlformats.org/officeDocument/2006/relationships/hyperlink" Id="rId213"/>
    <Relationship TargetMode="External" Target="https://www.legis.iowa.gov/docs/iac/rule/567.24.102.pdf" Type="http://schemas.openxmlformats.org/officeDocument/2006/relationships/hyperlink" Id="rId214"/>
    <Relationship TargetMode="External" Target="https://www.legis.iowa.gov/docs/iac/rule/567.24.102.pdf" Type="http://schemas.openxmlformats.org/officeDocument/2006/relationships/hyperlink" Id="rId215"/>
    <Relationship TargetMode="External" Target="https://www.legis.iowa.gov/docs/iac/rule/567.24.300.pdf" Type="http://schemas.openxmlformats.org/officeDocument/2006/relationships/hyperlink" Id="rId216"/>
    <Relationship TargetMode="External" Target="https://www.legis.iowa.gov/docs/iac/rule/567.24.300.pdf" Type="http://schemas.openxmlformats.org/officeDocument/2006/relationships/hyperlink" Id="rId217"/>
    <Relationship TargetMode="External" Target="https://www.legis.iowa.gov/docs/iac/rule/567.23.1.pdf" Type="http://schemas.openxmlformats.org/officeDocument/2006/relationships/hyperlink" Id="rId218"/>
    <Relationship TargetMode="External" Target="https://www.legis.iowa.gov/docs/iac/rule/567.23.1.pdf" Type="http://schemas.openxmlformats.org/officeDocument/2006/relationships/hyperlink" Id="rId219"/>
    <Relationship TargetMode="External" Target="https://www.legis.iowa.gov/docs/iac/rule/567.24.102.pdf" Type="http://schemas.openxmlformats.org/officeDocument/2006/relationships/hyperlink" Id="rId220"/>
    <Relationship TargetMode="External" Target="https://www.legis.iowa.gov/docs/iac/rule/567.24.102.pdf" Type="http://schemas.openxmlformats.org/officeDocument/2006/relationships/hyperlink" Id="rId221"/>
    <Relationship TargetMode="External" Target="https://www.legis.iowa.gov/docs/iac/rule/567.24.300.pdf" Type="http://schemas.openxmlformats.org/officeDocument/2006/relationships/hyperlink" Id="rId222"/>
    <Relationship TargetMode="External" Target="https://www.legis.iowa.gov/docs/iac/rule/567.24.300.pdf" Type="http://schemas.openxmlformats.org/officeDocument/2006/relationships/hyperlink" Id="rId223"/>
    <Relationship TargetMode="External" Target="https://www.legis.iowa.gov/docs/iac/rule/567.24.300.pdf" Type="http://schemas.openxmlformats.org/officeDocument/2006/relationships/hyperlink" Id="rId224"/>
    <Relationship TargetMode="External" Target="https://www.legis.iowa.gov/docs/iac/rule/567.24.300.pdf" Type="http://schemas.openxmlformats.org/officeDocument/2006/relationships/hyperlink" Id="rId225"/>
    <Relationship TargetMode="External" Target="https://www.legis.iowa.gov/docs/iac/rule/567.24.300.pdf" Type="http://schemas.openxmlformats.org/officeDocument/2006/relationships/hyperlink" Id="rId226"/>
    <Relationship TargetMode="External" Target="https://www.legis.iowa.gov/docs/iac/rule/567.24.300.pdf" Type="http://schemas.openxmlformats.org/officeDocument/2006/relationships/hyperlink" Id="rId227"/>
    <Relationship TargetMode="External" Target="https://www.legis.iowa.gov/docs/iac/rule/567.24.300.pdf" Type="http://schemas.openxmlformats.org/officeDocument/2006/relationships/hyperlink" Id="rId228"/>
    <Relationship TargetMode="External" Target="https://www.legis.iowa.gov/docs/iac/rule/567.24.300.pdf" Type="http://schemas.openxmlformats.org/officeDocument/2006/relationships/hyperlink" Id="rId229"/>
    <Relationship TargetMode="External" Target="https://www.legis.iowa.gov/docs/iac/rule/567.24.300.pdf" Type="http://schemas.openxmlformats.org/officeDocument/2006/relationships/hyperlink" Id="rId230"/>
    <Relationship TargetMode="External" Target="https://www.legis.iowa.gov/docs/iac/rule/567.24.300.pdf" Type="http://schemas.openxmlformats.org/officeDocument/2006/relationships/hyperlink" Id="rId231"/>
    <Relationship TargetMode="External" Target="https://www.legis.iowa.gov/docs/iac/rule/567.24.300.pdf" Type="http://schemas.openxmlformats.org/officeDocument/2006/relationships/hyperlink" Id="rId232"/>
    <Relationship TargetMode="External" Target="https://www.legis.iowa.gov/docs/iac/rule/567.24.300.pdf" Type="http://schemas.openxmlformats.org/officeDocument/2006/relationships/hyperlink" Id="rId233"/>
    <Relationship TargetMode="External" Target="https://www.legis.iowa.gov/docs/iac/rule/567.24.300.pdf" Type="http://schemas.openxmlformats.org/officeDocument/2006/relationships/hyperlink" Id="rId234"/>
    <Relationship TargetMode="External" Target="https://www.legis.iowa.gov/docs/iac/rule/567.24.300.pdf" Type="http://schemas.openxmlformats.org/officeDocument/2006/relationships/hyperlink" Id="rId235"/>
    <Relationship TargetMode="External" Target="https://www.legis.iowa.gov/docs/iac/rule/567.22.8.pdf" Type="http://schemas.openxmlformats.org/officeDocument/2006/relationships/hyperlink" Id="rId236"/>
    <Relationship TargetMode="External" Target="https://www.legis.iowa.gov/docs/iac/rule/567.24.300.pdf" Type="http://schemas.openxmlformats.org/officeDocument/2006/relationships/hyperlink" Id="rId237"/>
    <Relationship TargetMode="External" Target="https://www.legis.iowa.gov/docs/iac/rule/567.24.104.pdf" Type="http://schemas.openxmlformats.org/officeDocument/2006/relationships/hyperlink" Id="rId238"/>
    <Relationship TargetMode="External" Target="https://www.legis.iowa.gov/docs/iac/rule/567.24.101.pdf" Type="http://schemas.openxmlformats.org/officeDocument/2006/relationships/hyperlink" Id="rId239"/>
    <Relationship TargetMode="External" Target="https://www.legis.iowa.gov/docs/iac/rule/567.24.101.pdf" Type="http://schemas.openxmlformats.org/officeDocument/2006/relationships/hyperlink" Id="rId240"/>
    <Relationship TargetMode="External" Target="https://www.legis.iowa.gov/docs/iac/rule/567.24.101.pdf" Type="http://schemas.openxmlformats.org/officeDocument/2006/relationships/hyperlink" Id="rId241"/>
    <Relationship TargetMode="External" Target="https://www.legis.iowa.gov/docs/iac/rule/567.24.300.pdf" Type="http://schemas.openxmlformats.org/officeDocument/2006/relationships/hyperlink" Id="rId242"/>
    <Relationship TargetMode="External" Target="https://www.legis.iowa.gov/docs/iac/rule/567.24.300.pdf" Type="http://schemas.openxmlformats.org/officeDocument/2006/relationships/hyperlink" Id="rId243"/>
    <Relationship TargetMode="External" Target="https://www.legis.iowa.gov/docs/iac/rule/567.24.100.pdf" Type="http://schemas.openxmlformats.org/officeDocument/2006/relationships/hyperlink" Id="rId244"/>
    <Relationship TargetMode="External" Target="https://www.legis.iowa.gov/docs/iac/rule/567.24.300.pdf" Type="http://schemas.openxmlformats.org/officeDocument/2006/relationships/hyperlink" Id="rId245"/>
    <Relationship TargetMode="External" Target="https://www.legis.iowa.gov/docs/iac/rule/567.24.300.pdf" Type="http://schemas.openxmlformats.org/officeDocument/2006/relationships/hyperlink" Id="rId246"/>
    <Relationship TargetMode="External" Target="https://www.legis.iowa.gov/docs/iac/rule/567.24.300.pdf" Type="http://schemas.openxmlformats.org/officeDocument/2006/relationships/hyperlink" Id="rId247"/>
    <Relationship TargetMode="External" Target="https://www.legis.iowa.gov/docs/iac/rule/567.24.300.pdf" Type="http://schemas.openxmlformats.org/officeDocument/2006/relationships/hyperlink" Id="rId248"/>
    <Relationship TargetMode="External" Target="https://www.legis.iowa.gov/docs/iac/rule/567.24.100.pdf" Type="http://schemas.openxmlformats.org/officeDocument/2006/relationships/hyperlink" Id="rId249"/>
    <Relationship TargetMode="External" Target="https://www.legis.iowa.gov/docs/iac/rule/567.24.300.pdf" Type="http://schemas.openxmlformats.org/officeDocument/2006/relationships/hyperlink" Id="rId250"/>
    <Relationship TargetMode="External" Target="https://www.legis.iowa.gov/docs/iac/rule/567.24.101.pdf" Type="http://schemas.openxmlformats.org/officeDocument/2006/relationships/hyperlink" Id="rId251"/>
    <Relationship TargetMode="External" Target="https://www.legis.iowa.gov/docs/iac/rule/567.24.116.pdf" Type="http://schemas.openxmlformats.org/officeDocument/2006/relationships/hyperlink" Id="rId252"/>
    <Relationship TargetMode="External" Target="https://www.legis.iowa.gov/docs/iac/rule/567.24.300.pdf" Type="http://schemas.openxmlformats.org/officeDocument/2006/relationships/hyperlink" Id="rId253"/>
    <Relationship TargetMode="External" Target="https://www.legis.iowa.gov/docs/iac/rule/567.24.300.pdf" Type="http://schemas.openxmlformats.org/officeDocument/2006/relationships/hyperlink" Id="rId254"/>
    <Relationship TargetMode="External" Target="https://www.legis.iowa.gov/docs/iac/rule/561.7.16.pdf" Type="http://schemas.openxmlformats.org/officeDocument/2006/relationships/hyperlink" Id="rId255"/>
    <Relationship TargetMode="External" Target="https://www.legis.iowa.gov/docs/ico/chapter/455B.133.pdf" Type="http://schemas.openxmlformats.org/officeDocument/2006/relationships/hyperlink" Id="rId256"/>
    <Relationship TargetMode="External" Target="https://www.legis.iowa.gov/docs/ico/chapter/455B.134.pdf" Type="http://schemas.openxmlformats.org/officeDocument/2006/relationships/hyperlink" Id="rId257"/>
    <Relationship Target="footer.xml" Type="http://schemas.openxmlformats.org/officeDocument/2006/relationships/footer" Id="rId2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