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CONTROLLING AIR POLLUTION</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567—22.1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and permit requirements for new or existing stationary sources. </w:t>
      </w:r>
      <w:r>
        <w:rPr>
          <w:rFonts w:ascii="Times New Roman" w:hAnsi="Times New Roman"/>
          <w:b w:val="false"/>
          <w:i w:val="false"/>
          <w:color w:val="000000"/>
          <w:sz w:val="22"/>
        </w:rPr>
        <w:t xml:space="preserve">For the purpose of these rules and the rules in </w:t>
      </w:r>
      <w:hyperlink r:id="rId5">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chapter. Additional definitions potentially applicable to this chapter are set forth in </w:t>
      </w:r>
      <w:hyperlink r:id="rId7">
        <w:r>
          <w:rPr>
            <w:rStyle w:val="Hyperlink"/>
            <w:rFonts w:ascii="Times New Roman" w:hAnsi="Times New Roman"/>
            <w:b w:val="false"/>
            <w:i w:val="false"/>
            <w:color w:val="000000"/>
            <w:sz w:val="22"/>
          </w:rPr>
          <w:t>567—Chapters 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The definitions set out in Iowa Code sections </w:t>
      </w:r>
      <w:hyperlink r:id="rId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means a period of 12 consecutive months determined on a rolling basis with a new 12-month period beginning on the first day of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Clean Air Act (42 U.S.C. Sections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quality standard” </w:t>
      </w:r>
      <w:r>
        <w:rPr>
          <w:rFonts w:ascii="Times New Roman" w:hAnsi="Times New Roman"/>
          <w:b w:val="false"/>
          <w:i w:val="false"/>
          <w:color w:val="000000"/>
          <w:sz w:val="22"/>
        </w:rPr>
        <w:t>means an allowable level of air contaminant or atmospheric air concentration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“Ambient air” </w:t>
      </w:r>
      <w:r>
        <w:rPr>
          <w:rFonts w:ascii="Times New Roman" w:hAnsi="Times New Roman"/>
          <w:b w:val="false"/>
          <w:i w:val="false"/>
          <w:color w:val="000000"/>
          <w:sz w:val="22"/>
        </w:rPr>
        <w:t>means that portion of the atmosphere, external to buildings, to which the general public has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 xml:space="preserve">for purposes of air quality rules in </w:t>
      </w:r>
      <w:hyperlink r:id="rId12">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means an impoundment, the primary function of which is to store and stabilize organic wastes. The impoundment is designed to receive wastes on a regular basis and the design waste loading rates are such that the predominant biological activity in the impoundment will be anaerobic. An anaerobic lagoon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that collects and stores only precipitation-induced runoff from an open feedlot feeding operation;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waste slurry storage basin that receives waste discharges from confinement feeding operations and that is designed for complete removal of accumulated wastes from the basin at least semiannually;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anaerobic treatment system that includes collection and treatment facilities for all off-gases.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fuel” </w:t>
      </w:r>
      <w:r>
        <w:rPr>
          <w:rFonts w:ascii="Times New Roman" w:hAnsi="Times New Roman"/>
          <w:b w:val="false"/>
          <w:i w:val="false"/>
          <w:color w:val="000000"/>
          <w:sz w:val="22"/>
        </w:rPr>
        <w:t>means a renewable, biodegradable, mono alkyl ester combustible liquid fuel derived from agricultural plant oils or animal fat, such as but not limited to soybean oil. For purposes of this definition, “biodiesel fuel” must also meet the specifications of American Society for Testing and Material Specifications (ASTM) D 6751-02, “Standard Specification for Biodiesel Fuel (B100) Blend Stock for Distillate Fuels,” and be registered with the U.S. Environmental Protection Agency as a fuel and a fuel additive under Section 211(b)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“Chimney”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“stack” </w:t>
      </w:r>
      <w:r>
        <w:rPr>
          <w:rFonts w:ascii="Times New Roman" w:hAnsi="Times New Roman"/>
          <w:b w:val="false"/>
          <w:i w:val="false"/>
          <w:color w:val="000000"/>
          <w:sz w:val="22"/>
        </w:rPr>
        <w:t>means any flue, conduit or duct permitting the discharge or passage of air contaminants into the open air or constructed or arranged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“Combustion for indirect heating” </w:t>
      </w:r>
      <w:r>
        <w:rPr>
          <w:rFonts w:ascii="Times New Roman" w:hAnsi="Times New Roman"/>
          <w:b w:val="false"/>
          <w:i w:val="false"/>
          <w:color w:val="000000"/>
          <w:sz w:val="22"/>
        </w:rPr>
        <w:t>means the combustion of fuel to produce usable heat that is to be transferred through a heat-conducting materials barrier or by a heat storage medium to a material to be heated so that the material being heated is not contacted by, and adds no substance to, the products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equipment” </w:t>
      </w:r>
      <w:r>
        <w:rPr>
          <w:rFonts w:ascii="Times New Roman" w:hAnsi="Times New Roman"/>
          <w:b w:val="false"/>
          <w:i w:val="false"/>
          <w:color w:val="000000"/>
          <w:sz w:val="22"/>
        </w:rPr>
        <w:t>means any equipment that has the function to prevent the formation of or the emission to the atmosphere of air contaminants from any fuel burning, incinerator or process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means a low sulfur fuel oil that complies with the specifications for grade 1-D or 2-D, as defined by the ASTM D 975-02, “Standard Specification for Diesel Fuel Oils,” grade 1-GT or 2-GT, as defined by ASTM D 2880-00, “Standard Specification for Gas Turbine Fuel Oils,” or grade 1 or 2, as defined by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diesel fuel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diesel fuel.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Construction permits or operating permits issued under </w:t>
      </w:r>
      <w:hyperlink r:id="rId15">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that restrict equipment fuel use to diesel fuel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furnace” </w:t>
      </w:r>
      <w:r>
        <w:rPr>
          <w:rFonts w:ascii="Times New Roman" w:hAnsi="Times New Roman"/>
          <w:b w:val="false"/>
          <w:i w:val="false"/>
          <w:color w:val="000000"/>
          <w:sz w:val="22"/>
        </w:rPr>
        <w:t>means a furnace in which the melting and refining of metals are accomplished by means of electrical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 xml:space="preserve">for purposes of </w:t>
      </w:r>
      <w:hyperlink r:id="rId16">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means a software, Internet-based, or other electronic means specified by the department for submitting air quality information or fees to the department related to but not limited to applications, certifications, determination requests, emissions inventories, forms, notifications, payments, permit applications and registrations. References to these information submittal methods in </w:t>
      </w:r>
      <w:hyperlink r:id="rId18">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may, as specified by the department, include electronic submittal as stated in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means any generator of which the sole function is to provide emergency backup power during an interruption of electrical power from the electric utility. An emergency is an unforeseeable condition that is beyond the control of the owner or operator. An emergency generator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Peaking units at electric utilities.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Generators at industrial facilities that typically operate at low rates but are not confined to emergency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standby generators that are used during time periods when power is available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limitation”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“emission standard” </w:t>
      </w:r>
      <w:r>
        <w:rPr>
          <w:rFonts w:ascii="Times New Roman" w:hAnsi="Times New Roman"/>
          <w:b w:val="false"/>
          <w:i w:val="false"/>
          <w:color w:val="000000"/>
          <w:sz w:val="22"/>
        </w:rPr>
        <w:t>means a requirement established by a state, local government, or the administrator that limits the quantity, rate or concentration of emissions of air pollutants on a continuous basis, including any requirements that limit the level of opacity, prescribe equipment, set fuel specifications or prescribe operation or maintenance procedures for a source to ensure continuous emission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means any method of sampling and analyzing for air pollutants that has been validated by the administrator but that has not been published as an EPA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means the following methods used for performance tests and continuous monitoring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Performance test (stack test). A stack test shall be conducted according to EPA reference methods specified in 40 CFR 51, Appendix M (as amended or corrected through March 29, 2023); 40 CFR 60, Appendix A (as amended or corrected through March 29, 2023); 40 CFR 61, Appendix B (as amended or corrected through October 7, 2020); and 40 CFR 63, Appendix A (as amended or corrected through March 29, 2023).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monitoring systems. Minimum performance specifications and quality assurance procedures for performance evaluations of continuous monitoring systems are as specified in 40 CFR 60, Appendix B (as amended or corrected through June 28, 2023); 40 CFR 60, Appendix F (as amended or corrected through March 29, 2023); 40 CFR 75, Appendix A (as amended or corrected through August 30, 2016); 40 CFR 75, Appendix B (as amended or corrected through August 30, 2016); and 40 CFR 75, Appendix F (as amended or corrected through August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means the same as defined in </w:t>
      </w:r>
      <w:hyperlink r:id="rId20">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air” </w:t>
      </w:r>
      <w:r>
        <w:rPr>
          <w:rFonts w:ascii="Times New Roman" w:hAnsi="Times New Roman"/>
          <w:b w:val="false"/>
          <w:i w:val="false"/>
          <w:color w:val="000000"/>
          <w:sz w:val="22"/>
        </w:rPr>
        <w:t>means that amount of air supplied in addition to the theoretical quantity necessary for complete combustion of all fuel or combustible waste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 xml:space="preserve">means the same as defined in </w:t>
      </w:r>
      <w:hyperlink r:id="rId21">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“Foundry cupola” </w:t>
      </w:r>
      <w:r>
        <w:rPr>
          <w:rFonts w:ascii="Times New Roman" w:hAnsi="Times New Roman"/>
          <w:b w:val="false"/>
          <w:i w:val="false"/>
          <w:color w:val="000000"/>
          <w:sz w:val="22"/>
        </w:rPr>
        <w:t>means a stack-type furnace used for melting of metals consisting of but not limited to the furnace proper, tuyeres, fans or blowers, tapping spout, charging equipment, gas cleaning devices and other auxiliaries.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dust” </w:t>
      </w:r>
      <w:r>
        <w:rPr>
          <w:rFonts w:ascii="Times New Roman" w:hAnsi="Times New Roman"/>
          <w:b w:val="false"/>
          <w:i w:val="false"/>
          <w:color w:val="000000"/>
          <w:sz w:val="22"/>
        </w:rPr>
        <w:t>means any airborne solid particulate matter emitted from any source other than a flue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equipment, or the combination of different types of equipment, used in the processing of grain to produce a product primarily for wholesale or retail sale for human or animal consumption, including the processing of grain for production of biofuels, except for “feed mill equipment” as defined in </w:t>
      </w:r>
      <w:hyperlink r:id="rId22">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means any plant or installation at which grain is unloaded, handled, cleaned, dried, stored, or loaded and that is located at any wheat flour mill, wet corn mill, dry corn mill (human consumption), rice mill, or soybean oil extraction plant that has a permanent grain storage capacity (grain storage capacity that is inside a building, bin, or silo) of more than 35,200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(ca. 1 million U.S.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“Greenhouse gas” </w:t>
      </w:r>
      <w:r>
        <w:rPr>
          <w:rFonts w:ascii="Times New Roman" w:hAnsi="Times New Roman"/>
          <w:b w:val="false"/>
          <w:i w:val="false"/>
          <w:color w:val="000000"/>
          <w:sz w:val="22"/>
        </w:rPr>
        <w:t>means carbon dioxide, methane, nitrous oxide, hydrofluorocarbons, perfluorocarbons, and sulfur hexafluoride.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r>
        <w:rPr>
          <w:rFonts w:ascii="Times New Roman" w:hAnsi="Times New Roman"/>
          <w:b w:val="false"/>
          <w:i w:val="false"/>
          <w:color w:val="000000"/>
          <w:sz w:val="22"/>
        </w:rPr>
        <w:t>means the heat released by combustion of one pound of waste or fuel measured in Btu on an as-received basis. For solid fuels, the heating value shall be determined by use of ASTM Standard D 2015-66.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“Incinerator” </w:t>
      </w:r>
      <w:r>
        <w:rPr>
          <w:rFonts w:ascii="Times New Roman" w:hAnsi="Times New Roman"/>
          <w:b w:val="false"/>
          <w:i w:val="false"/>
          <w:color w:val="000000"/>
          <w:sz w:val="22"/>
        </w:rPr>
        <w:t>means a combustion apparatus designed for high temperature operation in which solid, semisolid, liquid or gaseous combustible refuse is ignited and burned efficiently and from which the solid residues contain little or no combustible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“Initiation of construction, installation or alteration” </w:t>
      </w:r>
      <w:r>
        <w:rPr>
          <w:rFonts w:ascii="Times New Roman" w:hAnsi="Times New Roman"/>
          <w:b w:val="false"/>
          <w:i w:val="false"/>
          <w:color w:val="000000"/>
          <w:sz w:val="22"/>
        </w:rPr>
        <w:t>means significant permanent modification of a site to install equipment, control equipment or permanent structures. Not included are activities incident to preliminary engineering, environmental studies, or acquisition of a site for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 xml:space="preserve">means the same as defined in </w:t>
      </w:r>
      <w:hyperlink r:id="rId23">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“Number 1 fuel oil” </w:t>
      </w:r>
      <w:r>
        <w:rPr>
          <w:rFonts w:ascii="Times New Roman" w:hAnsi="Times New Roman"/>
          <w:b w:val="false"/>
          <w:i w:val="false"/>
          <w:color w:val="000000"/>
          <w:sz w:val="22"/>
        </w:rPr>
        <w:t xml:space="preserve">and </w:t>
      </w:r>
      <w:r>
        <w:rPr>
          <w:rFonts w:ascii="Times New Roman" w:hAnsi="Times New Roman"/>
          <w:b w:val="false"/>
          <w:i/>
          <w:color w:val="000000"/>
          <w:sz w:val="22"/>
        </w:rPr>
        <w:t>“number 2 fuel oil,”</w:t>
      </w:r>
      <w:r>
        <w:rPr>
          <w:rFonts w:ascii="Times New Roman" w:hAnsi="Times New Roman"/>
          <w:b w:val="false"/>
          <w:i w:val="false"/>
          <w:color w:val="000000"/>
          <w:sz w:val="22"/>
        </w:rPr>
        <w:t xml:space="preserve"> also known as “distillate oil,” mean fuel oil that complies with the specifications for fuel oil number 1 or fuel oil number 2, as defined by the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number 1 fuel oil or number 2 fuel oil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number 1 fuel oil or unblended number 2 fuel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permits or operating permits issued under this chapter that restrict equipment fuel use to number 1 fuel oil or number 2 fuel oil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“One-hour period” </w:t>
      </w:r>
      <w:r>
        <w:rPr>
          <w:rFonts w:ascii="Times New Roman" w:hAnsi="Times New Roman"/>
          <w:b w:val="false"/>
          <w:i w:val="false"/>
          <w:color w:val="000000"/>
          <w:sz w:val="22"/>
        </w:rPr>
        <w:t>means any 60-minute period commencing on the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(except for the purposes of new source performance standards as defined in 40 CFR 60) means any material, except uncombined water, that exists in a finely divided form as a liquid or solid at standard conditions and includes gaseous emissions that condense to liquid or solid form as measured by EPA-approved reference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documents” </w:t>
      </w:r>
      <w:r>
        <w:rPr>
          <w:rFonts w:ascii="Times New Roman" w:hAnsi="Times New Roman"/>
          <w:b w:val="false"/>
          <w:i w:val="false"/>
          <w:color w:val="000000"/>
          <w:sz w:val="22"/>
        </w:rPr>
        <w:t>means the reports, proposals, preliminary plans, survey and basis of design data, general and detail construction plans, profiles, specifications and all other information pertaining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10</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with an aerodynamic diameter less than or equal to a nominal 10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2.5</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as defined in this rule with an aerodynamic diameter less than or equal to a nominal 2.5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4">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If the source is subject to new source construction permit review, then potential to emit is defined as stated above or as established in a federally enforceable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“Privileged communication” </w:t>
      </w:r>
      <w:r>
        <w:rPr>
          <w:rFonts w:ascii="Times New Roman" w:hAnsi="Times New Roman"/>
          <w:b w:val="false"/>
          <w:i w:val="false"/>
          <w:color w:val="000000"/>
          <w:sz w:val="22"/>
        </w:rPr>
        <w:t>means information other than air pollutant emissions data, the release of which would tend to affect adversely the competitive position of the owner or operator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any action, operation or treatment, and all methods and forms of manufacturing or processing, that may emit smoke, particulate matter, gaseous matter or other air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w:t>
      </w:r>
      <w:r>
        <w:rPr>
          <w:rFonts w:ascii="Times New Roman" w:hAnsi="Times New Roman"/>
          <w:b w:val="false"/>
          <w:i w:val="false"/>
          <w:color w:val="000000"/>
          <w:sz w:val="22"/>
        </w:rPr>
        <w:t>means the total weight of all materials introduced into any source operation. Solid fuels charged will be considered as part of the process weight, but liquid and gaseous fuels and combustion air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rate” </w:t>
      </w:r>
      <w:r>
        <w:rPr>
          <w:rFonts w:ascii="Times New Roman" w:hAnsi="Times New Roman"/>
          <w:b w:val="false"/>
          <w:i w:val="false"/>
          <w:color w:val="000000"/>
          <w:sz w:val="22"/>
        </w:rPr>
        <w:t>means continuous or long-run steady-state source operations, the total process weight for the entire period of continuous operation or for a typical portion thereof, divided by the number of hours of such period or portion thereof; or for a cyclical or batch source operation, the total process weight for a period that covers a complete operation or an integral number of cycles, divided by the number of hours of actual process operation during such a period. Where the nature of any process or operation, or the design of any equipment is such as to permit more than one interpretation of this definition, the interpretation that results in the minimum value for allowable emission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“Six-minute period” </w:t>
      </w:r>
      <w:r>
        <w:rPr>
          <w:rFonts w:ascii="Times New Roman" w:hAnsi="Times New Roman"/>
          <w:b w:val="false"/>
          <w:i w:val="false"/>
          <w:color w:val="000000"/>
          <w:sz w:val="22"/>
        </w:rPr>
        <w:t>means any one of the ten equal parts of a one-hour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w:t>
      </w:r>
      <w:r>
        <w:rPr>
          <w:rFonts w:ascii="Times New Roman" w:hAnsi="Times New Roman"/>
          <w:b w:val="false"/>
          <w:i w:val="false"/>
          <w:color w:val="000000"/>
          <w:sz w:val="22"/>
        </w:rPr>
        <w:t>means gas-borne particles resulting from incomplete combustion, consisting predominantly, but not exclusively, of carbon, and other combustible material, or ash, that form a visible plume in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operation” </w:t>
      </w:r>
      <w:r>
        <w:rPr>
          <w:rFonts w:ascii="Times New Roman" w:hAnsi="Times New Roman"/>
          <w:b w:val="false"/>
          <w:i w:val="false"/>
          <w:color w:val="000000"/>
          <w:sz w:val="22"/>
        </w:rPr>
        <w:t>means the last operation preceding the emission of an air contaminant and that results in the separation of the air contaminant from the process materials or in the conversion of the process materials into air contaminants but is not an air pollution control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conditions” </w:t>
      </w:r>
      <w:r>
        <w:rPr>
          <w:rFonts w:ascii="Times New Roman" w:hAnsi="Times New Roman"/>
          <w:b w:val="false"/>
          <w:i w:val="false"/>
          <w:color w:val="000000"/>
          <w:sz w:val="22"/>
        </w:rPr>
        <w:t>means a temperature of 68°F and a pressure of 29.92 inches of mercury absolute.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cubic foot”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“SCF” </w:t>
      </w:r>
      <w:r>
        <w:rPr>
          <w:rFonts w:ascii="Times New Roman" w:hAnsi="Times New Roman"/>
          <w:b w:val="false"/>
          <w:i w:val="false"/>
          <w:color w:val="000000"/>
          <w:sz w:val="22"/>
        </w:rPr>
        <w:t>means the volume of one cubic foot of gas at standard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metropolitan statistical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“SMSA” </w:t>
      </w:r>
      <w:r>
        <w:rPr>
          <w:rFonts w:ascii="Times New Roman" w:hAnsi="Times New Roman"/>
          <w:b w:val="false"/>
          <w:i w:val="false"/>
          <w:color w:val="000000"/>
          <w:sz w:val="22"/>
        </w:rPr>
        <w:t>means an area that has at least one city with a population of at least 50,000 and such surrounding areas as geographically defined by the U.S. Office of Management and Budget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suspended particulate” </w:t>
      </w:r>
      <w:r>
        <w:rPr>
          <w:rFonts w:ascii="Times New Roman" w:hAnsi="Times New Roman"/>
          <w:b w:val="false"/>
          <w:i w:val="false"/>
          <w:color w:val="000000"/>
          <w:sz w:val="22"/>
        </w:rPr>
        <w:t>means particulate matter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“Untreated” </w:t>
      </w:r>
      <w:r>
        <w:rPr>
          <w:rFonts w:ascii="Times New Roman" w:hAnsi="Times New Roman"/>
          <w:b w:val="false"/>
          <w:i w:val="false"/>
          <w:color w:val="000000"/>
          <w:sz w:val="22"/>
        </w:rPr>
        <w:t>as it refers to wood or wood products includes only wood or wood products that have not been treated with compounds such as, but not limited to, paint, pigment-stain, adhesive, varnish, lacquer, or resin or that have not been pressure treated with compounds such as, but not limited to, chromate copper acetate, pentachlorophenol or creosote. “Untreated” as it refers to seeds, pellets or other vegetative matter includes only seeds, pellets or other vegetative matter that has not been treated with pesticides or fungicides.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 </w:t>
      </w:r>
      <w:r>
        <w:rPr>
          <w:rFonts w:ascii="Times New Roman" w:hAnsi="Times New Roman"/>
          <w:b w:val="false"/>
          <w:i w:val="false"/>
          <w:color w:val="000000"/>
          <w:sz w:val="22"/>
        </w:rPr>
        <w:t>means any Iowa city of 100,000 or more population in the current census and all Iowa cities contiguous to such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means a temporary waiver from rules or standards governing the quality, nature, duration or extent of emissions granted by the commission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“Volatile organic compounds”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“VOC” </w:t>
      </w:r>
      <w:r>
        <w:rPr>
          <w:rFonts w:ascii="Times New Roman" w:hAnsi="Times New Roman"/>
          <w:b w:val="false"/>
          <w:i w:val="false"/>
          <w:color w:val="000000"/>
          <w:sz w:val="22"/>
        </w:rPr>
        <w:t>means any compound included in the definition of “volatile organic compounds” found at 40 CFR Section 51.100(s) as amended through February 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No person shall construct, install, reconstruct or alter any equipment, control equipment or anaerobic lagoon unless a permit is first obtained pursuant to this chapter, </w:t>
      </w:r>
      <w:hyperlink r:id="rId25">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or </w:t>
      </w:r>
      <w:hyperlink r:id="rId26">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or the equipment qualifies for an exemption under </w:t>
      </w:r>
      <w:hyperlink r:id="rId27">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An air quality construction permit shall be obtained prior to the initiation of construction, installation or alteration of any portion of the stationary source or anaerobic lagoon, unless the parameters in </w:t>
      </w:r>
      <w:hyperlink r:id="rId28">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equipment is not subject to this subrule, unless it has been modified, reconstructed, or altered on or after September 23, 1970.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construct or reconstruct a major source of hazardous air pollutants, as defined in 40 CFR Section 63.2 and 40 CFR Section 63.41 as adopted by reference in </w:t>
      </w:r>
      <w:hyperlink r:id="rId2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unless a construction permit has been obtained from the department, which requires maximum achievable control technology for new sources to be applied. The permit shall be obtained prior to the initiation of construction or reconstruction of the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prior to issuance of an air quality construction permit issued by the department may begin if the eligibility requirements stated in </w:t>
      </w:r>
      <w:hyperlink r:id="rId30">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(1) are met. The applicant must assume any liability for construction conducted on a source before the permit is issued. In no case will the applicant be allowed to hook up the equipment to the exhaust stack or operate the equipment in any way that may emit any pollutant prior to receiving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construction permit application to the department, as specified in </w:t>
      </w:r>
      <w:hyperlink r:id="rId31">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notified the department of the applicant’s intentions in writing five working days prior to initiating construction;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or process is not subject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Prevention of significant deterioration (PSD), as set forth in </w:t>
      </w:r>
      <w:hyperlink r:id="rId32">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New source performance standards (NSPS), as set forth in </w:t>
      </w:r>
      <w:hyperlink r:id="rId3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emission standards for hazardous air pollutants (NESHAP), as set forth in </w:t>
      </w:r>
      <w:hyperlink r:id="rId34">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Emission guidelines, as set forth in </w:t>
      </w:r>
      <w:hyperlink r:id="rId36">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Nonattainment new source review, as set forth in </w:t>
      </w:r>
      <w:hyperlink r:id="rId37">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equipment or process is a major source of hazardous air pollutants, as defined in 40 CFR Sections 63.2 and 63.41, and as adopted by reference in </w:t>
      </w:r>
      <w:hyperlink r:id="rId38">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equipment and processes are subject to PSD until the owner or operator of a proposed project legally obtains permitted limits that limit the project below the PSD thresholds (i.e., PSD synthetic minor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cease construction if the department’s evaluation demonstrates that the construction, reconstruction or modification of the stationary source will interfere with the attainment or maintenance of the national ambient air quality standards or will result in a violation of a control strategy required by 40 CFR Part 51, Subpart G, as amended through February 19,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will be required to make any modification to the stationary source that may be imposed in the issued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notify the department in writing of the actual start date of construction or reconstruction. All notifications shall be submitted to the department in writing no later than 30 days after construction or reconstruction started. All notifications shall include all of the information listed in </w:t>
      </w:r>
      <w:hyperlink r:id="rId39">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country grain elevator, country grain terminal elevator, grain terminal elevator or feed mill equipment, as “country grain elevator,” “country grain terminal elevator,” “grain terminal elevator,” and “feed mill equipment,” as these terms are defined in </w:t>
      </w:r>
      <w:hyperlink r:id="rId4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may elect to comply with the requirements specified in </w:t>
      </w:r>
      <w:hyperlink r:id="rId41">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as an alternative to the construction permitting requirements set forth in </w:t>
      </w:r>
      <w:hyperlink r:id="rId4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An owner or operator may opt to use one of the permitting exemptions in this subrule in lieu of obtaining an air quality construction permit if the equipment, control equipment, or process meets the conditions in the specific exemption and is not: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Permitted under the provisions of the permit by rule for spray booths, as set forth in </w:t>
      </w:r>
      <w:hyperlink r:id="rId4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nonattainment new source review, as set forth in </w:t>
      </w:r>
      <w:hyperlink r:id="rId44">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PSD, as set forth in </w:t>
      </w:r>
      <w:hyperlink r:id="rId45">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A permitting exemption may be used only if a permit is not necessary to establish federally enforceable limits that restrict potential to emit.</w:t>
      </w:r>
    </w:p>
    <w:p>
      <w:pPr>
        <w:spacing w:before="0" w:after="0"/>
        <w:ind w:left="120"/>
        <w:jc w:val="both"/>
      </w:pPr>
      <w:r>
        <w:rPr>
          <w:rFonts w:ascii="Times New Roman" w:hAnsi="Times New Roman"/>
          <w:b w:val="false"/>
          <w:i w:val="false"/>
          <w:color w:val="000000"/>
          <w:sz w:val="22"/>
        </w:rPr>
        <w:t>An owner or operator shall keep records at the facility and will make the records available to the department upon request if any of the exemptions under the following paragraphs are claimed:</w:t>
      </w:r>
    </w:p>
    <w:p>
      <w:pPr>
        <w:spacing w:before="0" w:after="0"/>
        <w:ind w:left="120"/>
        <w:jc w:val="both"/>
      </w:pPr>
      <w:r>
        <w:rPr>
          <w:rFonts w:ascii="Times New Roman" w:hAnsi="Times New Roman"/>
          <w:b w:val="false"/>
          <w:i w:val="false"/>
          <w:color w:val="000000"/>
          <w:sz w:val="22"/>
        </w:rPr>
        <w:t>     ●   </w:t>
      </w:r>
      <w:hyperlink r:id="rId46">
        <w:r>
          <w:rPr>
            <w:rStyle w:val="Hyperlink"/>
            <w:rFonts w:ascii="Times New Roman" w:hAnsi="Times New Roman"/>
            <w:b w:val="false"/>
            <w:i w:val="false"/>
            <w:color w:val="000000"/>
            <w:sz w:val="22"/>
          </w:rPr>
          <w:t>22.1(2)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equipment &gt; 1 million Btu per hour input), </w:t>
      </w:r>
    </w:p>
    <w:p>
      <w:pPr>
        <w:spacing w:before="0" w:after="0"/>
        <w:ind w:left="120"/>
        <w:jc w:val="both"/>
      </w:pPr>
      <w:r>
        <w:rPr>
          <w:rFonts w:ascii="Times New Roman" w:hAnsi="Times New Roman"/>
          <w:b w:val="false"/>
          <w:i w:val="false"/>
          <w:color w:val="000000"/>
          <w:sz w:val="22"/>
        </w:rPr>
        <w:t>     ●   </w:t>
      </w:r>
      <w:hyperlink r:id="rId47">
        <w:r>
          <w:rPr>
            <w:rStyle w:val="Hyperlink"/>
            <w:rFonts w:ascii="Times New Roman" w:hAnsi="Times New Roman"/>
            <w:b w:val="false"/>
            <w:i w:val="false"/>
            <w:color w:val="000000"/>
            <w:sz w:val="22"/>
          </w:rPr>
          <w:t>22.1(2)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   </w:t>
      </w:r>
      <w:hyperlink r:id="rId48">
        <w:r>
          <w:rPr>
            <w:rStyle w:val="Hyperlink"/>
            <w:rFonts w:ascii="Times New Roman" w:hAnsi="Times New Roman"/>
            <w:b w:val="false"/>
            <w:i w:val="false"/>
            <w:color w:val="000000"/>
            <w:sz w:val="22"/>
          </w:rPr>
          <w:t>22.1(2)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   </w:t>
      </w:r>
      <w:hyperlink r:id="rId49">
        <w:r>
          <w:rPr>
            <w:rStyle w:val="Hyperlink"/>
            <w:rFonts w:ascii="Times New Roman" w:hAnsi="Times New Roman"/>
            <w:b w:val="false"/>
            <w:i w:val="false"/>
            <w:color w:val="000000"/>
            <w:sz w:val="22"/>
          </w:rPr>
          <w:t>22.1(2)</w:t>
        </w:r>
      </w:hyperlink>
      <w:r>
        <w:rPr>
          <w:rFonts w:ascii="Times New Roman" w:hAnsi="Times New Roman"/>
          <w:b w:val="false"/>
          <w:i/>
          <w:color w:val="000000"/>
          <w:sz w:val="22"/>
        </w:rPr>
        <w:t>“r,”</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   </w:t>
      </w:r>
      <w:hyperlink r:id="rId50">
        <w:r>
          <w:rPr>
            <w:rStyle w:val="Hyperlink"/>
            <w:rFonts w:ascii="Times New Roman" w:hAnsi="Times New Roman"/>
            <w:b w:val="false"/>
            <w:i w:val="false"/>
            <w:color w:val="000000"/>
            <w:sz w:val="22"/>
          </w:rPr>
          <w:t>22.1(2)</w:t>
        </w:r>
      </w:hyperlink>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Records kept on site shall contain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specific exemption claimed;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description of the associated equipment. </w:t>
      </w:r>
    </w:p>
    <w:p>
      <w:pPr>
        <w:spacing w:before="0" w:after="0"/>
        <w:ind w:left="120"/>
        <w:jc w:val="both"/>
      </w:pPr>
      <w:r>
        <w:rPr>
          <w:rFonts w:ascii="Times New Roman" w:hAnsi="Times New Roman"/>
          <w:b w:val="false"/>
          <w:i w:val="false"/>
          <w:color w:val="000000"/>
          <w:sz w:val="22"/>
        </w:rPr>
        <w:t>The permitting exemptions in this subrule do not relieve the owner or operator of any source from any obligation to comply with any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cooling units using natural gas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with a capacity of less than 1 million Btu per hour input per combustion unit when burning untreated wood, untreated seeds or pellets, other untreated vegetative materials, or fuel oil, provided that the equipment and the fuel meet the conditions specified in this paragraph. Used oils meeting the specification from 40 CFR Section 279.11 as amended through July 14, 2006, are acceptable fuels for this exemption.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 Records shall be maintained on site by the owner or operator for at least two calendar years to demonstrate that fuel usage is less than the exemption thresholds. Owners or operators initiating construction, installation, reconstruction, or alteration of equipment (as defined in </w:t>
      </w:r>
      <w:hyperlink r:id="rId5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on or before October 23, 2013, burning coal, used oils, untreated wood, untreated seeds or pellets, or other untreated vegetative materials that qualified for this exemption may continue to claim this exemption after October 23, 2013, without being restricted to the maximum heat input or throughput specified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for cultivating land, harvesting crops, or raising livestock other than anaerobic lagoons. This exemption is not applicable if the equipment is used to remove substances from grain that were applied to the grain by another person. This exemption is also not applicable to equipment used by a person to manufacture commercial feed, as defined in Iowa Code section </w:t>
      </w:r>
      <w:hyperlink r:id="rId52">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xml:space="preserve">, that is normally not fed to livestock, owned by the person or another person, in a feedlot, as defined in Iowa Code section </w:t>
      </w:r>
      <w:hyperlink r:id="rId53">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a confinement building owned or operated by that person and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and pyrolysis cleaning furnaces with a rated refuse burning capacity of less than 25 pounds per hour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Pyrolysis cleaning furnace exemption is limited to those units that use only natural gas or propane. Salt bath units are not included in this exemption. Incinerators or pyrolysis cleaning furnaces for which initiation of construction, installation, reconstruction, or alteration (as defined in </w:t>
      </w:r>
      <w:hyperlink r:id="rId55">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 occurred after October 23, 2013, shall not qualify for this exemption. After October 23, 2013, only paint clean-off ovens with a maximum rated capacity of less than 25 pounds per hour that do not combust lead-containing materials shall qualify for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Fugitive dust controls, unless a control efficiency can be assigned to the equipment or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reduces or eliminates all emission to the atmosphere. An owner or operator electing to use this exemption shall provide to the department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description of each change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the beginning of actual construction and date that operation will begin after the changes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emissions estimates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and potential emissions, specifically noting increases or decreases, for the project for all regulated pollutants (as defined in </w:t>
      </w:r>
      <w:hyperlink r:id="rId5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accumulated emissions increases associated with each change when totaled with other net emissions increases at the facility contemporaneous with the proposed change (occurring within five years before construction of the particular change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the basis for all emissions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Height of the emission point or stack and height of the highest building within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that the provisions of </w:t>
      </w:r>
      <w:hyperlink r:id="rId57">
        <w:r>
          <w:rPr>
            <w:rStyle w:val="Hyperlink"/>
            <w:rFonts w:ascii="Times New Roman" w:hAnsi="Times New Roman"/>
            <w:b w:val="false"/>
            <w:i w:val="false"/>
            <w:color w:val="000000"/>
            <w:sz w:val="22"/>
          </w:rPr>
          <w:t>567—Chapters 31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do not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statement containing certification by a responsible official as defined in </w:t>
      </w:r>
      <w:hyperlink r:id="rId5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of truth, accuracy, and completeness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Accumulated emissions with other contemporaneous net increases have not exceeded significant levels, as defined in 40 CFR 52.21(b)(23), and adopted in </w:t>
      </w:r>
      <w:hyperlink r:id="rId60">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will not prevent the attainment or maintenance of the ambient air quality standards specified in </w:t>
      </w:r>
      <w:hyperlink r:id="rId6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The conditions listed below also apply to this exemption: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not yet constructed or modified, the information shall be provided to the department at least 30 days in advance of the beginning of construction on the project.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that has already been constructed or modified and that does not have a construction permit for that construction or modification, the owner or operator shall not operate until the information listed above is provided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construction permit has been previously issued for the equipment or control equipment, all other conditions of the construction permit remain in effect.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wishes to obtain credit for emission reductions, an air quality construction permit must be obtained for the reduction prior to the time the reduction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or control equipment that emits odors, unless such equipment or control equipment also emits particulate matter or any other regulated air contaminant (as defined in </w:t>
      </w:r>
      <w:hyperlink r:id="rId6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Residential heaters, cookstoves, or fireplaces that burn untreated wood, untreated seeds or pellets, or other untreated vegetative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 demolition and renovation projects subject to 40 CFR Section 61.145 as adopted by reference in 567—subrule </w:t>
      </w:r>
      <w:hyperlink r:id="rId63">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Storage tanks with a capacity of less than 19,812 gallons and an annual throughput of less than 200,000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Stack or vents to prevent escape of sewer gases through plumbing traps.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nonproduction surface coating process that uses only handheld aerosol spray 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Brazing, soldering or welding equipment or portable cutting torches used only for nonproduction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Cooling and ventilating equipment: comfort air conditioning not designed or used to remove air contaminants generated by, or released from, specific units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 internal combustion engine with a brake horsepower rating of less than 400 measured at the shaft, provided that the owner or operator meets all of the conditions in this paragraph. For the purposes of this exemption, the manufacturer’s nameplate rated capacity at full load shall be defined as the brake horsepower output at the shaft. The owner or operator of an engine that was manufactured, ordered, modified or reconstructed after March 18, 2009, may use this exemption only if the owner or operator, prior to installing, modifying or reconstructing the engine, submits to the department a completed registration on forms provided by the department (unless the engine is exempted from registration, as specified in this paragraph or on the registration form) certifying that the engine is in compliance with the following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NSPS for stationary compression ignition internal combustion engines (40 CFR Part 60, Subpart IIII);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NSPS for stationary spark ignition internal combustion engines (40 CFR Part 60, Subpart JJJJ);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NESHAP for reciprocating internal combustion engines (40 CFR Part 63, Subpart ZZZZ).</w:t>
      </w:r>
    </w:p>
    <w:p>
      <w:pPr>
        <w:spacing w:before="0" w:after="0"/>
        <w:ind w:left="120"/>
        <w:jc w:val="both"/>
      </w:pPr>
      <w:r>
        <w:rPr>
          <w:rFonts w:ascii="Times New Roman" w:hAnsi="Times New Roman"/>
          <w:b w:val="false"/>
          <w:i w:val="false"/>
          <w:color w:val="000000"/>
          <w:sz w:val="22"/>
        </w:rPr>
        <w:t>Use of this exemption does not relieve an owner or operator from any obligation to comply with NSPS or NESHAP requirements. An engine that meets the definition of a nonroad engine as specified in 40 CFR Section 1068.30, as amended through January 24, 2023, is exempt from the registration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that is not related to the production of goods or services and used exclusively for academic purposes, located at educational institutions (as defined in Iowa Code section </w:t>
      </w:r>
      <w:hyperlink r:id="rId64">
        <w:r>
          <w:rPr>
            <w:rStyle w:val="Hyperlink"/>
            <w:rFonts w:ascii="Times New Roman" w:hAnsi="Times New Roman"/>
            <w:b w:val="false"/>
            <w:i w:val="false"/>
            <w:color w:val="000000"/>
            <w:sz w:val="22"/>
          </w:rPr>
          <w:t>455B.161</w:t>
        </w:r>
      </w:hyperlink>
      <w:r>
        <w:rPr>
          <w:rFonts w:ascii="Times New Roman" w:hAnsi="Times New Roman"/>
          <w:b w:val="false"/>
          <w:i w:val="false"/>
          <w:color w:val="000000"/>
          <w:sz w:val="22"/>
        </w:rPr>
        <w:t>). The equipment covered under this exemption is limited to lab hoods, art class equipment, wood shop equipment in classrooms, wood fired pottery kilns, and fuel-burning units with a capacity of less than 1 million Btu per hour fuel capacity. This exemption does not apply to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container, storage tank, or vessel that contains a fluid having a maximum true vapor pressure of less than 0.75 psia. “Maximum true vapor pressure” means the equilibrium partial pressure of the material considering: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material stored at ambient temperature, the maximum monthly average temperature as reported by the National Weather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material stored above or below the ambient temperature, the temperature equal to the highest calendar-month average of the material storage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Equipment for carving, cutting, routing, turning, drilling, machining, sawing, surface grinding, sanding, planing, buffing, sandblast cleaning, shot blasting, shot peening, or polishing ceramic artwork, leather, metals (other than beryllium), plastics, concrete, rubber, paper stock, and wood or wood products, where such equipment is either used for nonproduction activities or exhausted inside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Manually operated equipment, as defined in </w:t>
      </w:r>
      <w:hyperlink r:id="rId6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Small unit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unit” means any emission unit and associated control (if applicable) that emits less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(40 pounds per year of lead or lead compounds for equipment for which initiation of construction, installation, reconstruction, or alteration (as defined in </w:t>
      </w:r>
      <w:hyperlink r:id="rId6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6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air pollutants (as defined in </w:t>
      </w:r>
      <w:hyperlink r:id="rId6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the purposes of this exemption, “emission unit” means any part or activity of a stationary source that emits or has the potential to emit any pollutant subject to regulation under the Act. This exemption applies to existing and new or modified “small units.”</w:t>
      </w:r>
    </w:p>
    <w:p>
      <w:pPr>
        <w:spacing w:before="0" w:after="0"/>
        <w:ind w:left="120"/>
        <w:jc w:val="both"/>
      </w:pPr>
      <w:r>
        <w:rPr>
          <w:rFonts w:ascii="Times New Roman" w:hAnsi="Times New Roman"/>
          <w:b w:val="false"/>
          <w:i w:val="false"/>
          <w:color w:val="000000"/>
          <w:sz w:val="22"/>
        </w:rPr>
        <w:t xml:space="preserve">An emission unit that emits hazardous air pollutants (as defined in </w:t>
      </w:r>
      <w:hyperlink r:id="rId6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is not eligible for this exemption if the emission unit is required to be reviewed for compliance with </w:t>
      </w:r>
      <w:hyperlink r:id="rId70">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 standards for hazardous air pollutants (40 CFR Part 61, NESHAP), or </w:t>
      </w:r>
      <w:hyperlink r:id="rId7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emission standards for hazardous air pollutants for source categories (40 CFR Part 63, NESHAP).</w:t>
      </w:r>
    </w:p>
    <w:p>
      <w:pPr>
        <w:spacing w:before="0" w:after="0"/>
        <w:ind w:left="120"/>
        <w:jc w:val="both"/>
      </w:pPr>
      <w:r>
        <w:rPr>
          <w:rFonts w:ascii="Times New Roman" w:hAnsi="Times New Roman"/>
          <w:b w:val="false"/>
          <w:i w:val="false"/>
          <w:color w:val="000000"/>
          <w:sz w:val="22"/>
        </w:rPr>
        <w:t xml:space="preserve">An emission unit that emits air pollutants that are not regulated air pollutants as defined in </w:t>
      </w:r>
      <w:hyperlink r:id="rId7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requested. If a construction permit is requested in writing by the owner or operator of a small unit, the director may issue a construction permit for the emission point associated with that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that utilizes the small unit exemption must maintain on site an “exemption justification document.” The exemption justification document must document conformance and compliance with the emission rate limits contained in the definition of “small unit” for the particular emission unit or group of similar emission units obtaining the exemption. Controls that may be part of the exemption justification document include, but are not limited to, the following: emission control devices, such as cyclones, filters, or baghouses; restricted hours of operation or fuel; and raw material or solvent substitution. The exemption justification document for an emission unit or group of similar emission units must be made available for review during normal business hours and for state or EPA on-site inspections and shall be provided to the director or the director’s representative upon request. If an exemption justification document does not exist, the applicability of the small unit exemption is voided for that particular emission unit or group of similar emission units. The controls described in the exemption justification document establish a limit on the potential emissions. An exemption justification document shall include the following for each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how the emissions from the emission unit or group of similar emission units were determined and maintained at or below the annual small unit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a description of the air pollution control equipment used on the emission unit or group of similar emission units and a statement that the emission unit or group of similar emission units will not be operated without the pollution control equipment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the applicant shall maintain a copy of any report of manufacturer’s testing results of any emissions test, if available. The department may require a test if it believes that a test is necessary for the exemption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all production limits required for the emission unit or group of similar emission units to comply with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Detailed calculations of emissions reflecting the use of any air pollution control devices or production or throughput limitations, or both, for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Records of actual operation that demonstrate that the annual emissions from the emission unit or group of similar emission units were maintained below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designated as major sources with respect to </w:t>
      </w:r>
      <w:hyperlink r:id="rId73">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74">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the exemption justification document for five years. The record retention requirements supersede any retention conditions of an individual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responsible official that the emission unit or group of similar emission units have complied with the exemption levels specified in </w:t>
      </w:r>
      <w:hyperlink r:id="rId75">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to apply for a construction permit. An owner or operator of a small unit will be required to obtain a construction permit or take the unit out of service if the emission unit exceeds the small unit emission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during an inspection or other investigation of a facility, the department believes that the emission unit exceeds the emission levels that define a “small unit,” then the department will submit calculations and detailed information in a letter to the owner or operator. The owner or operator shall have 60 days to respond with detailed calculations and information to substantiate a claim that the small unit does not exceed the emission levels that define a small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unable to substantiate a claim to the satisfaction of the department, then the owner or operator that has been using the small unit exemption must cease operation of that small unit or apply for a construction permit for that unit within 90 days after receiving a letter of notice from the department. The emission unit and control equipment may continue operation during this period and the associated initial application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notification of nonqualification as a small unit is made by the department following the process described above, the owner or operator will be deemed to have constructed an emission unit without the required permit and may be subject to applicable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Required notice for construction or modification of a substantial small unit. The owner or operator shall notify the department in writing at least ten days prior to commencing construction of any new or modified “substantial small unit” as defined in </w:t>
      </w:r>
      <w:hyperlink r:id="rId76">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 xml:space="preserve">(6). The owner or operator shall notify the department within 30 days after determining an existing small unit meets the criteria of the “substantial small unit” as defined in </w:t>
      </w:r>
      <w:hyperlink r:id="rId77">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(6). Notification shall include the name of the business, the location where the unit will be installed, and information describing the unit and quantifying its emissions. The owner or operator shall notify the department within 90 days of the end of the calendar year for which the aggregate emissions from substantial small units at the facility have reached any of the cumulative notice thresholds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paragraph, “substantial small unit” means a small unit that emits more than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(30 pounds per year of lead or lead compounds for equipment for which initiation of construction, installation, reconstruction, or alteration (as defined in </w:t>
      </w:r>
      <w:hyperlink r:id="rId7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3.75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3.75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3.75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3.75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3.75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1.875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0.4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7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3.75 tons per year of any hazardous air pollutant or 3.75 tons per year of any combination of hazardous air pollutants.</w:t>
      </w:r>
    </w:p>
    <w:p>
      <w:pPr>
        <w:spacing w:before="0" w:after="0"/>
        <w:ind w:left="120"/>
        <w:jc w:val="both"/>
      </w:pPr>
      <w:r>
        <w:rPr>
          <w:rFonts w:ascii="Times New Roman" w:hAnsi="Times New Roman"/>
          <w:b w:val="false"/>
          <w:i w:val="false"/>
          <w:color w:val="000000"/>
          <w:sz w:val="22"/>
        </w:rPr>
        <w:t>An emission unit is a “substantial small unit” only for those substances for which annual emissions exceed the above-indicated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notice that a cumulative notice threshold has been reached. Once a “cumulative notice threshold,” as defined in </w:t>
      </w:r>
      <w:hyperlink r:id="rId80">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(8), has been reached for any of the listed pollutants, the owner or operator at the facility must apply for air construction permits for all substantial small units for which the cumulative notice threshold for the pollutant(s) in question has been reached. The owner or operator shall have 90 days from the date it determines that the cumulative notice threshold has been reached in which to apply for construction permit(s). The owner or operator shall submit a letter to the department, within five working days of making this determination, establishing the date the owner or operator determined that the cumulative notice threshold had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“Cumulative notice threshold” means the total combined emissions from all substantial small units using the small unit exemption that emit at the facility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0.6 tons per year of lead and lead compounds expressed as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40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40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100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25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10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8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10 tons per year of any hazardous air pollutant or 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following equipment, processes,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Consumer use of office equipment and products, not including printers or businesses primarily involved in photographic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Janitorial services and consumer use of janitorial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Internal combustion engines used for lawn care, landscaping, and groundskeeping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activities located at a stationary source that uses washers and dryers to clean, with water solutions of bleach or detergents, or to dry clothing, bedding, and other fabric items used on site. This exemption does not include laundry activities that use dry cleaning equipment or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Bathroom vent emissions, including toilet vent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Blacksmith forges.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Plant maintenance and upkeep activities and repair or maintenance shop activities (e.g., groundskeeping, general repairs, cleaning, painting, welding, plumbing, retarring roofs, installing insulation, and paving parking lots), provided that these activities are not conducted as part of manufacturing process, are not related to the source’s primary business activity, and do not otherwise trigger a permit modification. Cleaning and painting activities qualify if they are not subject to control requirements for volatile organic compounds or hazardous air pollutants as defined in </w:t>
      </w:r>
      <w:hyperlink r:id="rId8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Air compressors and vacuum pumps, including hand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Batteries and battery charging stations, except at battery manufacturing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Equipment used to store, mix, pump, handle or package soaps, detergents, surfactants, waxes, glycerin, vegetable oils, greases, animal fats, sweetener, corn syrup, and aqueous salt or caustic solutions, provided that appropriate lids and covers are utilized and that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used exclusively to slaughter animals, but not including other equipment at slaughterhouses, such as rendering cookers, boilers, heating plants, incinerators, and electrical power 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Vents from continuous emissions monitors and other analyzers.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Natural gas pressure regulator vents, excluding venting at oil and gas production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by surface coating operations that apply the coating by brush, roller, or dipping, except equipment that emits volatile organic compounds or hazardous air pollutants as defined in </w:t>
      </w:r>
      <w:hyperlink r:id="rId8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Hydraulic and hydrostatic testing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Environmental chambers not using gases that are hazardous air pollutants as defined in </w:t>
      </w:r>
      <w:hyperlink r:id="rId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Shock chambers, humidity chambers, and solar simulators.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Fugitive dust emissions related to movement of passenger vehicles on unpaved road surfaces, provided that the emissions are not counted for applicability purposes and that any fugitive dust control plan or its equivalent is submitted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Process water filtration systems and demineralizers, demineralized water tanks, and demineralizer 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Boiler water treatment operations, not including cooling towers or lime silos.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Oxygen scavenging (deaeration)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Fire suppression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Emergency road flares.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Steam vents, safety relief valves, and steam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Steam sterilizers.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Application of hot melt adhesives from closed-pot systems using polyolefin compounds, polyamides, acrylics, ethylene vinyl acetate and urethane material when stored and applied at the manufacturer’s recommended temperatures. Equipment used to apply hot melt adhesives shall have a safety device that automatically shuts down the equipment if the hot melt temperature exceeds the manufacturer’s recommended application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Direct-fired equipment burning natural gas, propane, or liquefied propane with a capacity of less than 10 million Btu per hour input, and direct-fired equipment burning fuel oil with a capacity of less than 1 million Btu per hour input, with emissions that are attributable only to the products of combustion. Emissions other than those attributable to the products of combustion shall be accounted for in an enforceable permit condition or shall otherwise be exempt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Closed 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Pretreatment application processes that use aqueous-based chemistries designed to clean a substrate, provided that the chemical concentrate contains no more than 5 percent organic solvents by weight. This exemption includes pretreatment processes that use aqueous-based cleaners, cleaner-phosphatizers, and phosphate conversion coating chemistries.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Indoor-vented powder coating operations with filters or powder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Electric curing ovens or curing ovens that run on natural gas or propane with a maximum heat input of less than 10 million Btu per hour and that are used for powder coating operations, provided that the total cured powder usage is less than 75 tons of powder per year at the stationary source. Records shall be maintained on site by the owner or operator for a period of at least two calendar years to demonstrate that cured powder usage is less than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production painting, adhesive or coating unit using an application method other than a spray system and associated cleaning operations that use 1,000 gallons or less of coating and solvents annually, unless the production painting, adhesive or coating unit and associated cleaning operations are subject to work practice, process limits, emissions limits, stack testing, recordkeeping or reporting requirements under </w:t>
      </w:r>
      <w:hyperlink r:id="rId85">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Records shall be maintained on site by the owner or operator for a period of at least two calendar years to demonstrate that paint, adhesive, or solvent usage is at or below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Any production surface coating activity that uses only nonrefillable handheld aerosol cans, where the total volatile organic compound emissions from all these activities at a stationary source do not exceed 5.0 tons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Production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Consumable electrode.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200,000 pounds per year for GMAW and 28,000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1380x - 19,200 or 200,000 for GMAW, or</w:t>
      </w:r>
    </w:p>
    <w:p>
      <w:pPr>
        <w:spacing w:before="0" w:after="0"/>
        <w:ind w:left="120"/>
        <w:jc w:val="both"/>
      </w:pPr>
      <w:r>
        <w:rPr>
          <w:rFonts w:ascii="Times New Roman" w:hAnsi="Times New Roman"/>
          <w:b w:val="false"/>
          <w:i w:val="false"/>
          <w:color w:val="000000"/>
          <w:sz w:val="22"/>
        </w:rPr>
        <w:t>Y = the greater of 187x - 2,600 or 28,000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12,500 pounds per year for GMAW and 1,600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84x - 1,200 or 12,500 for GMAW, or</w:t>
      </w:r>
    </w:p>
    <w:p>
      <w:pPr>
        <w:spacing w:before="0" w:after="0"/>
        <w:ind w:left="120"/>
        <w:jc w:val="both"/>
      </w:pPr>
      <w:r>
        <w:rPr>
          <w:rFonts w:ascii="Times New Roman" w:hAnsi="Times New Roman"/>
          <w:b w:val="false"/>
          <w:i w:val="false"/>
          <w:color w:val="000000"/>
          <w:sz w:val="22"/>
        </w:rPr>
        <w:t>Y = the greater of 11x - 160 or 1,600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Resistance welding, submerged arc welding, or arc welding that does not use a consumable electrode, provided that the base metals do not include stainless steel, alloys of lead, alloys of arsenic, or alloys of beryllium and provided that the base metals are uncoated, excluding manufacturing process lubricants.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hand soldering, wave soldering, and electric solder paste reflow ovens for which initiation of construction, installation, reconstruction, or alteration (as defined in </w:t>
      </w:r>
      <w:hyperlink r:id="rId9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Electric hand soldering, wave soldering, and electric solder paste reflow ovens for which initiation of construction, installation, reconstruction, or alteration (as defined in </w:t>
      </w:r>
      <w:hyperlink r:id="rId91">
        <w:r>
          <w:rPr>
            <w:rStyle w:val="Hyperlink"/>
            <w:rFonts w:ascii="Times New Roman" w:hAnsi="Times New Roman"/>
            <w:b w:val="false"/>
            <w:i w:val="false"/>
            <w:color w:val="000000"/>
            <w:sz w:val="22"/>
          </w:rPr>
          <w:t>567—2.1</w:t>
        </w:r>
      </w:hyperlink>
      <w:r>
        <w:rPr>
          <w:rFonts w:ascii="Times New Roman" w:hAnsi="Times New Roman"/>
          <w:b w:val="false"/>
          <w:i w:val="false"/>
          <w:color w:val="000000"/>
          <w:sz w:val="22"/>
        </w:rPr>
        <w:t>(455B)) occurred after October 23, 2013, shall be limited to 37,000 pounds or less per year of lead-containing solder. Records shall be maintained on site by the owner or operator for at least two calendar years to demonstrate that use of lead-containing solder is less than the exemption thresholds.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Pressurized piping and storage systems for natural gas, propane, liquefied petroleum gas (LPG), and refrigerants, where emissions could only result from an upset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Emissions from the storage and mixing of paints and solvents associated with the painting operations, provided that the emissions from the storage and mixing are accounted for in an enforceable permit condition or are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Product labeling using laser and ink-jet printers with target distances less than or equal to six inches and an annual material throughput of less than 1,000 gallons per year as calculated on a stationary sourcewide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val="false"/>
          <w:color w:val="000000"/>
          <w:sz w:val="22"/>
        </w:rPr>
        <w:t>Equipment related to research and development activities at a stationary source,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emissions from all research and development activities at the stationary source based on a 12-month rolling total are less than the following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 pounds per year of lead and lead compounds expressed as lead (40 pounds per year for research and development activities that commenced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research and development activities that commenced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pollutants (as defined in </w:t>
      </w:r>
      <w:hyperlink r:id="rId9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maintains records of actual operations demonstrating that the annual emissions from all research and development activities conducted under this exemption are below the levels listed in </w:t>
      </w:r>
      <w:hyperlink r:id="rId93">
        <w:r>
          <w:rPr>
            <w:rStyle w:val="Hyperlink"/>
            <w:rFonts w:ascii="Times New Roman" w:hAnsi="Times New Roman"/>
            <w:b w:val="false"/>
            <w:i w:val="false"/>
            <w:color w:val="000000"/>
            <w:sz w:val="22"/>
          </w:rPr>
          <w:t>22.1(2)</w:t>
        </w:r>
      </w:hyperlink>
      <w:r>
        <w:rPr>
          <w:rFonts w:ascii="Times New Roman" w:hAnsi="Times New Roman"/>
          <w:b w:val="false"/>
          <w:i/>
          <w:color w:val="000000"/>
          <w:sz w:val="22"/>
        </w:rPr>
        <w:t>“kk”</w:t>
      </w:r>
      <w:r>
        <w:rPr>
          <w:rFonts w:ascii="Times New Roman" w:hAnsi="Times New Roman"/>
          <w:b w:val="false"/>
          <w:i w:val="false"/>
          <w:color w:val="000000"/>
          <w:sz w:val="22"/>
        </w:rPr>
        <w:t>(1). These records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a list of equipment that is included under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records of actual operation and detailed calculations of actual annual emissions, reflecting the use of any control equipment and demonstrating that the emissions are below the levels specified in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if air pollution equipment is used in the calculation of emissions, a copy of any report of manufacturer’s testing, if available. The department may require a test if it believes that a test is necessary for the exemption claim;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maintained on site for a minimum of two years, be made available for review during normal business hours and for state and EPA on-site inspections, and be provided to the director or the director’s designee upon request. Facilities designated as major sources pursuant to </w:t>
      </w:r>
      <w:hyperlink r:id="rId94">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95">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this exemption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this exemption obtains a construction permit or ceases operation of equipment if operation of the equipment would cause the emission levels listed in this exemption to be exceeded.</w:t>
      </w:r>
    </w:p>
    <w:p>
      <w:pPr>
        <w:spacing w:before="0" w:after="0"/>
        <w:ind w:left="120"/>
        <w:jc w:val="both"/>
      </w:pPr>
      <w:r>
        <w:rPr>
          <w:rFonts w:ascii="Times New Roman" w:hAnsi="Times New Roman"/>
          <w:b w:val="false"/>
          <w:i w:val="false"/>
          <w:color w:val="000000"/>
          <w:sz w:val="22"/>
        </w:rPr>
        <w:t>For the purposes of this exemption, “research and development activities” shall be defined as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operated under the close supervision of technically trained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conducted for the primary purpose of theoretical research or research and development into new or improved processes and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do not manufacture more than de minimus amounts of commercial products;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do not contribute to the manufacture of commercial products by collocated sources in more than a de minimus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regional collection center (RCC), as defined in </w:t>
      </w:r>
      <w:hyperlink r:id="rId96">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involved in the processing of permitted hazardous materials from households and conditionally exempt small quantity generators (CESQG), not to exceed 1,200,000 pounds of VOC-containing material in a 12-month rolling period. Latex paint drying may not exceed 120,000 pounds per year on a 12-month rolling total. Other nonprocessing emission units (e.g., standby generators and waste oil heaters)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val="false"/>
          <w:color w:val="000000"/>
          <w:sz w:val="22"/>
        </w:rPr>
        <w:t>Cold solvent cleaning machines that are not in-line cleaning machines, where the maximum vapor pressure of the solvents used shall not exceed 0.7 kPa (5 mmHg or 0.1 psi) at 20°C (68°F). The machine must be equipped with a tightly fitted cover or lid that shall be closed at all times except during parts entry and removal. This exemption cannot be used for cold solvent cleaning machines that use solvent containing methylene chloride (CAS # 75-09-2), perchloroethylene (CAS # 127-18-4), trichloroethylene (CAS # 79-01-6), 1,1,1-trichloroethane (CAS # 71-55-6), carbon tetrachloride (CAS # 56-23-5) or chloroform (CAS # 67-66-3), or any combination of these halogenated HAP solvents in a total concentration greater than 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from mobile over-the-road trucks, and mobile agricultural and construction internal combustion engines that are operated only for repair or maintenance purposes at equipment repair shops or equipment dealerships, and only when the repair shops or equipment dealerships are not major sources as defined in </w:t>
      </w:r>
      <w:hyperlink r:id="rId9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val="false"/>
          <w:color w:val="000000"/>
          <w:sz w:val="22"/>
        </w:rPr>
        <w:t>A nonroad diesel fueled engine, as “nonroad engine” is defined in 40 CFR Section 1068.30 as amended through January 24, 2023, with a brake horsepower rating of less than 1,100 at full load measured at the shaft, used to conduct periodic testing and maintenance on natural gas pipelines. For the purposes of this exemption, the manufacturer’s nameplate rating shall be defined as the brake horsepower output at the shaft at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for the exemption, the engine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outside the compressor station, which shall not exceed 330 hours in any 12-month consecutive period at a single location;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within the compressor station, which shall not exceed 330 hours in any 12-month consecutive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maintain a monthly record of the number of hours the engine operated and a record of the rolling 12-month total of the number of hours the engine operated for each location outside the compressor station and within the compressor station. These records shall be maintained for two years.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exemption shall not apply to the replacement or substitution of engines for backup power generation at a pipeline compressor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 xml:space="preserve">The owner or operator of a new or modified stationary source shall apply for a construction permit. Construction permit applications, including the information referenced above and in </w:t>
      </w:r>
      <w:hyperlink r:id="rId9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through </w:t>
      </w:r>
      <w:hyperlink r:id="rId99">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owner or operator of any new or modified industrial anaerobic lagoon shall apply for a construction permit as specified in this subrule and as provided in </w:t>
      </w:r>
      <w:hyperlink r:id="rId10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The owner or operator of a new or modified anaerobic lagoon for an animal feeding operation shall apply for a construction permit as provided in </w:t>
      </w:r>
      <w:hyperlink r:id="rId10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Regulatory applicability determinations. </w:t>
      </w:r>
      <w:r>
        <w:rPr>
          <w:rFonts w:ascii="Times New Roman" w:hAnsi="Times New Roman"/>
          <w:b w:val="false"/>
          <w:i w:val="false"/>
          <w:color w:val="000000"/>
          <w:sz w:val="22"/>
        </w:rPr>
        <w:t xml:space="preserve">If requested in writing, the director will review the design concepts of equipment and associated control equipment prior to application for a construction permit. The purpose of the review would be to determine the acceptability of the location of the equipment. If the review is requested, the requester shall supply the following information and submit a fee as required in </w:t>
      </w:r>
      <w:hyperlink r:id="rId102">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Preliminary plans and specifications of equipment and related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site location and a plot plan of the immediate area, including the distance to and height of nearby buildings and the estimated location and elevation of the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emission rates of any air contaminants that are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exhaust gas temperature, velocity at the point of discharge, and stack diameter at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estimate of when construction would begin and when construction would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w:t>
      </w:r>
      <w:r>
        <w:rPr>
          <w:rFonts w:ascii="Times New Roman" w:hAnsi="Times New Roman"/>
          <w:b w:val="false"/>
          <w:i w:val="false"/>
          <w:color w:val="000000"/>
          <w:sz w:val="22"/>
        </w:rPr>
        <w:t xml:space="preserve">Each application for a construction permit shall be submitted to the department. Final plans and specifications for the proposed equipment or related control equipment shall be submitted with the application for a permit and shall be prepared by or under the direct supervision of a professional engineer licensed in the state of Iowa in conformance with Iowa Code section </w:t>
      </w:r>
      <w:hyperlink r:id="rId103">
        <w:r>
          <w:rPr>
            <w:rStyle w:val="Hyperlink"/>
            <w:rFonts w:ascii="Times New Roman" w:hAnsi="Times New Roman"/>
            <w:b w:val="false"/>
            <w:i w:val="false"/>
            <w:color w:val="000000"/>
            <w:sz w:val="22"/>
          </w:rPr>
          <w:t>542B.1</w:t>
        </w:r>
      </w:hyperlink>
      <w:r>
        <w:rPr>
          <w:rFonts w:ascii="Times New Roman" w:hAnsi="Times New Roman"/>
          <w:b w:val="false"/>
          <w:i w:val="false"/>
          <w:color w:val="000000"/>
          <w:sz w:val="22"/>
        </w:rPr>
        <w:t xml:space="preserve">, or consistent with the provisions of Iowa Code section </w:t>
      </w:r>
      <w:hyperlink r:id="rId104">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for any full-time employee of any corporation while the employee is doing work for that corporation. The application for a permit to construct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equipment or control equipment covered by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scaled plot plan, including the distance and height of nearby buildings, and the location and elevation of existing and proposed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composition of the effluent stream, both before and after any control equipment with estimates of emission rates, concentration, volume and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physical and chemical characteristics of the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dates and description of any tests to be made by the owner or operator of the completed installation to verify compliance with applicable emission limits or standards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sampling port locations, scaffolding, power sources for operation of appropriate sampling instruments, and pertinent allied facilities for making tests to ascertain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additional information deemed necessary by the department to determine compliance with or applicability of </w:t>
      </w:r>
      <w:hyperlink r:id="rId105">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06">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07">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and </w:t>
      </w:r>
      <w:hyperlink r:id="rId108">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ensures the applicant’s legal entitlement to install and operate equipment covered by the permit application on the property identified in the permit application. A signed statement shall not be required for rock crushers, portable concrete or asphalt equipment used in conjunction with specific identified construction projects that are intended to be located at a site only for the duration of the specific, identified construction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fee as required in </w:t>
      </w:r>
      <w:hyperlink r:id="rId10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xml:space="preserve"> to obtain a permit under </w:t>
      </w:r>
      <w:hyperlink r:id="rId1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12">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1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hyperlink r:id="rId114">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w:t>
      </w:r>
      <w:hyperlink r:id="rId115">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 submittals from a minor source as defined in </w:t>
      </w:r>
      <w:hyperlink r:id="rId117">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the department shall not initiate review and processing of a permit application submittal until all required application fees have been paid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Quantity of greenhouse gas emissions for all applications for projects that will or do have greenhouse gas emissions. For all applications for projects that will not or do not have greenhouse gas emissions, the applicant shall indicate in the application that no greenhouse gases will be emitted and the applicant will not be required to file an inventory of greenhouse gases with that application, unless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anaerobic lagoons. </w:t>
      </w:r>
      <w:r>
        <w:rPr>
          <w:rFonts w:ascii="Times New Roman" w:hAnsi="Times New Roman"/>
          <w:b w:val="false"/>
          <w:i w:val="false"/>
          <w:color w:val="000000"/>
          <w:sz w:val="22"/>
        </w:rPr>
        <w:t>The application for a permit to construct an anaerobic lagoon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of the water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plot plan, including distances to nearby residences or occupied buildings, local land use zoning maps of the vicinity, and a general description of the topography in the vicinity of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animal feeding operation, the information required in </w:t>
      </w:r>
      <w:hyperlink r:id="rId118">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an industrial source, a chemical description of the waste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sulfate analyses conducted on the water to be used for any purpose in a livestock operation proposing to use an anaerobic lagoon. The report shall be prepared by using standard methods as defined in </w:t>
      </w:r>
      <w:hyperlink r:id="rId119">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water supplies to prove that adequate water is available for dilution;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case of an animal feeding operation, a waste management plan describing the method of waste collection and disposal and the land to be used for disposal. Evidence that the waste disposal equipment is of sufficient size to dispose of the wastes within a 20-day period per year shall also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needed by the department to determine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567—22.2</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Processing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The department will notify the applicant whether the application is complete or incomplete. If the application is found by the department to be incomplete upon receipt, the applicant will be notified within 30 days of that fact and of the specific deficiencies. Sixty days following such notification, the application may be denied for lack of information. When this schedule would cause undue hardship to an applicant, or the applicant has a compelling need to proceed promptly with the proposed installation, modification or location, a request for priority consideration and the justification therefor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participation. </w:t>
      </w:r>
      <w:r>
        <w:rPr>
          <w:rFonts w:ascii="Times New Roman" w:hAnsi="Times New Roman"/>
          <w:b w:val="false"/>
          <w:i w:val="false"/>
          <w:color w:val="000000"/>
          <w:sz w:val="22"/>
        </w:rPr>
        <w:t>A notice of intent to issue a construction permit to a major stationary source shall be published by the department in a newspaper having general circulation in the area affected by the emissions of the proposed source. The notice and supporting documentation shall be made available for public inspection upon request from the department’s central office. Publication of the notice shall be made at least 30 days prior to issuing a permit and shall include the department’s evaluation of ambient air impacts. The public may submit written comments or request a public hearing. If the response indicates significant interest, a public hearing may be held after due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 xml:space="preserve">The department shall notify the applicant in writing of the issuance or denial of a construction permit as soon as practicable and at least within 120 days of receipt of the completed application. This shall not apply to applicants for electric generating facilities subject to Iowa Code chapter </w:t>
      </w:r>
      <w:hyperlink r:id="rId120">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567—22.3</w:t>
      </w:r>
      <w:r>
        <w:rPr>
          <w:rFonts w:ascii="Times New Roman" w:hAnsi="Times New Roman"/>
          <w:b/>
          <w:i w:val="false"/>
          <w:color w:val="000000"/>
          <w:sz w:val="22"/>
        </w:rPr>
        <w:t xml:space="preserve">(455B) </w:t>
      </w:r>
      <w:r>
        <w:rPr>
          <w:rFonts w:ascii="Times New Roman" w:hAnsi="Times New Roman"/>
          <w:b/>
          <w:i w:val="false"/>
          <w:color w:val="000000"/>
          <w:sz w:val="22"/>
        </w:rPr>
        <w:t xml:space="preserve">Issuing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sources other than anaerobic lagoons. </w:t>
      </w:r>
      <w:r>
        <w:rPr>
          <w:rFonts w:ascii="Times New Roman" w:hAnsi="Times New Roman"/>
          <w:b w:val="false"/>
          <w:i w:val="false"/>
          <w:color w:val="000000"/>
          <w:sz w:val="22"/>
        </w:rPr>
        <w:t>In no case shall a construction permit that results in an increase in emissions be issued to any facility that is in violation of any condition found in a permit involving PSD, NSPS, NESHAP or a provision of the Iowa state implementation plan (SIP). If the facility is in compliance with a schedule for correcting the violation and that schedule is contained in an order or permit condition, the department may consider issuance of a construction permit. A construction permit shall be issued when the director concludes that the preceding requirement has been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required plans and specifications represent equipment that reasonably can be expected to comply with all applicable emission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expected emissions from the proposed source or modification in conjunction with all other emissions will not prevent the attainment or maintenance of the ambient air quality standards specified in </w:t>
      </w:r>
      <w:hyperlink r:id="rId12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applicant has not relied on emission limits based on stack height that exceeds good engineering practice or any other dispersion techniques as defined in </w:t>
      </w:r>
      <w:hyperlink r:id="rId122">
        <w:r>
          <w:rPr>
            <w:rStyle w:val="Hyperlink"/>
            <w:rFonts w:ascii="Times New Roman" w:hAnsi="Times New Roman"/>
            <w:b w:val="false"/>
            <w:i w:val="false"/>
            <w:color w:val="000000"/>
            <w:sz w:val="22"/>
          </w:rPr>
          <w:t>567—subrule 23.1(6)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applicant has met all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Anaerobic lagoons. </w:t>
      </w:r>
      <w:r>
        <w:rPr>
          <w:rFonts w:ascii="Times New Roman" w:hAnsi="Times New Roman"/>
          <w:b w:val="false"/>
          <w:i w:val="false"/>
          <w:color w:val="000000"/>
          <w:sz w:val="22"/>
        </w:rPr>
        <w:t xml:space="preserve">A construction permit for an industrial anaerobic lagoon shall be issued when the director concludes that the application for permit represents an approach to odor control that can reasonably be expected to comply with the criteria in </w:t>
      </w:r>
      <w:hyperlink r:id="rId123">
        <w:r>
          <w:rPr>
            <w:rStyle w:val="Hyperlink"/>
            <w:rFonts w:ascii="Times New Roman" w:hAnsi="Times New Roman"/>
            <w:b w:val="false"/>
            <w:i w:val="false"/>
            <w:color w:val="000000"/>
            <w:sz w:val="22"/>
          </w:rPr>
          <w:t>567—subrule 23.5(2)</w:t>
        </w:r>
      </w:hyperlink>
      <w:r>
        <w:rPr>
          <w:rFonts w:ascii="Times New Roman" w:hAnsi="Times New Roman"/>
          <w:b w:val="false"/>
          <w:i w:val="false"/>
          <w:color w:val="000000"/>
          <w:sz w:val="22"/>
        </w:rPr>
        <w:t xml:space="preserve">. A construction permit for an animal feeding operation using an anaerobic lagoon shall be issued when the director concludes that the application has met the requirements of </w:t>
      </w:r>
      <w:hyperlink r:id="rId124">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Conditions of approval. </w:t>
      </w:r>
      <w:r>
        <w:rPr>
          <w:rFonts w:ascii="Times New Roman" w:hAnsi="Times New Roman"/>
          <w:b w:val="false"/>
          <w:i w:val="false"/>
          <w:color w:val="000000"/>
          <w:sz w:val="22"/>
        </w:rPr>
        <w:t>A permit may be issued subject to conditions that shall be specified in writing. Such conditions may include but are not limited to emission limits, operating conditions, fuel specifications, compliance testing, continuous monitoring, and excess emission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the date on which it becomes void if work on the installation for which it was issued has not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permit shall list the requirements for notifying the department of the dates of intended startup, start of construction and actual equipment startup. All notifications shall be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or dates required by </w:t>
      </w:r>
      <w:hyperlink r:id="rId125">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which the notice is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DNR-assigned facility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DNR air construction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or the number of the emission unit or units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emission point number or numbers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a company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date the notification was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that no review has been undertaken on the various engineering aspects of the equipment other than the potential of the equipment for reducing air contaminant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changes in the final plans and specifications are proposed by the permittee after a construction permit has been issued, a supplemental permit shall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 is not transferable from one location to another or from one piece of equipment to another unless the equipment is portable. When portable equipment for which a permit has been issued is to be transferred from one location to another, the department shall be notified in writing at least seven days prior to the transfer of the portable equipment to the new location. Written notification shall be submitted to the department through one of the following methods: electronic mail (email), mail delivery service (including U.S. Mail), hand delivery, facsimile (fax), or by electronic format specified by the department (at such time as an Internet-based submittal system or other, similar electronic submittal system becomes available). However, if the owner or operator is relocating the portable equipment to an area currently classified as nonattainment for ambient air quality standards or to an area under a maintenance plan for ambient air quality standards, the owner or operator shall notify the department at least 14 days prior to transferring the portable equipment to the new location. A list of nonattainment and maintenance areas may be obtained from the department, upon request, or on the department’s Internet website. The owner or operator will be notified by the department at least ten days prior to the scheduled relocation if said relocation will prevent the attainment or maintenance of ambient air quality standards and thus require a more stringent emission standard and the installation of additional control equipment. In such a case, the owner or operator shall obtain a supplemental permit prior to the initiation of construction, installation, or alteration of such additional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(approval to construct) shall not relieve any owner or operator of the responsibility to comply fully with applicable provisions of the SIP and any other requirement under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Denial of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construction permit is denied, the applicant shall be notified in writing of the reasons therefor. A denial shall be without prejudice to the right of the applicant to file a further application after revisions are made to meet the objections specified as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an application based upon the applicant’s failure to provide a signed statement of the applicant’s legal entitlement to install and operate equipment covered by the permit application on the property identified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 permit. </w:t>
      </w:r>
      <w:r>
        <w:rPr>
          <w:rFonts w:ascii="Times New Roman" w:hAnsi="Times New Roman"/>
          <w:b w:val="false"/>
          <w:i w:val="false"/>
          <w:color w:val="000000"/>
          <w:sz w:val="22"/>
        </w:rPr>
        <w:t>The director may, after public notice of such decision, modify a condition of approval of an existing permit for a major stationary source or an emission limit contained in an existing permit for a major stationary source if necessary to attain or maintain an ambient air quality standard, or to mitigate excessive deposition of mercury.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color w:val="000000"/>
          <w:sz w:val="22"/>
        </w:rPr>
        <w:t xml:space="preserve">Limits on hazardous air pollutants. </w:t>
      </w:r>
      <w:r>
        <w:rPr>
          <w:rFonts w:ascii="Times New Roman" w:hAnsi="Times New Roman"/>
          <w:b w:val="false"/>
          <w:i w:val="false"/>
          <w:color w:val="000000"/>
          <w:sz w:val="22"/>
        </w:rPr>
        <w:t xml:space="preserve">The department may limit a source’s hazardous air pollutant potential to emit, as defined in </w:t>
      </w:r>
      <w:hyperlink r:id="rId12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source’s construction permit for the purpose of establishing federally enforceable limits on the source’s hazardous air pollutant potential to emit.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22.3(7)</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permit. </w:t>
      </w:r>
      <w:r>
        <w:rPr>
          <w:rFonts w:ascii="Times New Roman" w:hAnsi="Times New Roman"/>
          <w:b w:val="false"/>
          <w:i w:val="false"/>
          <w:color w:val="000000"/>
          <w:sz w:val="22"/>
        </w:rPr>
        <w:t>The department may revoke a permit upon obtaining knowledge that a permit holder has lost legal entitlement to use the property identified in the permit to install and operate equipment covered by the permit, upon notice that the property owner does not wish to have continued the operation of the permitted equipment, or upon notice that the owner of the permitted equipment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22.3(8)</w:t>
      </w:r>
      <w:r>
        <w:rPr>
          <w:rFonts w:ascii="Times New Roman" w:hAnsi="Times New Roman"/>
          <w:b w:val="false"/>
          <w:i w:val="false"/>
          <w:color w:val="000000"/>
          <w:sz w:val="22"/>
        </w:rPr>
        <w:t> </w:t>
      </w:r>
      <w:r>
        <w:rPr>
          <w:rFonts w:ascii="Times New Roman" w:hAnsi="Times New Roman"/>
          <w:b w:val="false"/>
          <w:i/>
          <w:color w:val="000000"/>
          <w:sz w:val="22"/>
        </w:rPr>
        <w:t xml:space="preserve">Ownership change of permitted equipment. </w:t>
      </w:r>
      <w:r>
        <w:rPr>
          <w:rFonts w:ascii="Times New Roman" w:hAnsi="Times New Roman"/>
          <w:b w:val="false"/>
          <w:i w:val="false"/>
          <w:color w:val="000000"/>
          <w:sz w:val="22"/>
        </w:rPr>
        <w:t xml:space="preserve">The new owner shall notify the department in writing no later than 30 days after the change in ownership of equipment covered by a construction permit pursuant to </w:t>
      </w:r>
      <w:hyperlink r:id="rId12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The notification to the department shall be mailed to the Air Quality Bureau, Iowa Department of Natural Resources, 6200 Park Avenue, Suite 200, Des Moines, Iowa 50321,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permit number of the equipment changing ownership.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567—22.4</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attainment or unclassified (PSD). </w:t>
      </w:r>
      <w:r>
        <w:rPr>
          <w:rFonts w:ascii="Times New Roman" w:hAnsi="Times New Roman"/>
          <w:b w:val="false"/>
          <w:i w:val="false"/>
          <w:color w:val="000000"/>
          <w:sz w:val="22"/>
        </w:rPr>
        <w:t xml:space="preserve">As applicable, the owner or operator of a stationary source shall comply with the rules for new source review (NSR) for the PSD program as set forth in </w:t>
      </w:r>
      <w:hyperlink r:id="rId12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An owner or operator required to apply for a construction permit under this rule shall submit all required fees as required in </w:t>
      </w:r>
      <w:hyperlink r:id="rId12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567—22.5</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nonattainment. </w:t>
      </w:r>
      <w:r>
        <w:rPr>
          <w:rFonts w:ascii="Times New Roman" w:hAnsi="Times New Roman"/>
          <w:b w:val="false"/>
          <w:i w:val="false"/>
          <w:color w:val="000000"/>
          <w:sz w:val="22"/>
        </w:rPr>
        <w:t xml:space="preserve">As applicable, the owner or operator of a stationary source shall comply with the requirements for the nonattainment major NSR program as set forth in </w:t>
      </w:r>
      <w:hyperlink r:id="rId130">
        <w:r>
          <w:rPr>
            <w:rStyle w:val="Hyperlink"/>
            <w:rFonts w:ascii="Times New Roman" w:hAnsi="Times New Roman"/>
            <w:b w:val="false"/>
            <w:i w:val="false"/>
            <w:color w:val="000000"/>
            <w:sz w:val="22"/>
          </w:rPr>
          <w:t>567—31.20</w:t>
        </w:r>
      </w:hyperlink>
      <w:r>
        <w:rPr>
          <w:rFonts w:ascii="Times New Roman" w:hAnsi="Times New Roman"/>
          <w:b w:val="false"/>
          <w:i w:val="false"/>
          <w:color w:val="000000"/>
          <w:sz w:val="22"/>
        </w:rPr>
        <w:t xml:space="preserve">(455B). An owner or operator required to apply for a construction permit under this rule shall submit all required fees as required in </w:t>
      </w:r>
      <w:hyperlink r:id="rId13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567—22.6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567—22.7</w:t>
      </w:r>
      <w:r>
        <w:rPr>
          <w:rFonts w:ascii="Times New Roman" w:hAnsi="Times New Roman"/>
          <w:b/>
          <w:i w:val="false"/>
          <w:color w:val="000000"/>
          <w:sz w:val="22"/>
        </w:rPr>
        <w:t xml:space="preserve">(455B) </w:t>
      </w:r>
      <w:r>
        <w:rPr>
          <w:rFonts w:ascii="Times New Roman" w:hAnsi="Times New Roman"/>
          <w:b/>
          <w:i w:val="false"/>
          <w:color w:val="000000"/>
          <w:sz w:val="22"/>
        </w:rPr>
        <w:t xml:space="preserve">Alternative emission control program (bubble concept).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owner or operator of any source located in an area with attainment or unclassified status (as published at 40 CFR Section 81.316) or located in an area with an approved SIP demonstrating attainment by the statutory deadline may apply for an alternative set of emission limits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presently in compliance with EPA-approved SIP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subject to a consent order to meet an EPA-approved compliance schedule and the final compliance date will not be delayed by the use of alternative emission limits.</w:t>
      </w:r>
    </w:p>
    <w:p>
      <w:pPr>
        <w:spacing w:before="0" w:after="0"/>
        <w:ind w:left="120"/>
        <w:jc w:val="both"/>
      </w:pPr>
      <w:r>
        <w:rPr>
          <w:rFonts w:ascii="Times New Roman" w:hAnsi="Times New Roman"/>
          <w:b w:val="false"/>
          <w:i w:val="false"/>
          <w:color w:val="000000"/>
          <w:sz w:val="22"/>
        </w:rPr>
        <w:t xml:space="preserve">Emission limits for individual emission points included in </w:t>
      </w:r>
      <w:hyperlink r:id="rId132">
        <w:r>
          <w:rPr>
            <w:rStyle w:val="Hyperlink"/>
            <w:rFonts w:ascii="Times New Roman" w:hAnsi="Times New Roman"/>
            <w:b w:val="false"/>
            <w:i w:val="false"/>
            <w:color w:val="000000"/>
            <w:sz w:val="22"/>
          </w:rPr>
          <w:t>567—23.3</w:t>
        </w:r>
      </w:hyperlink>
      <w:r>
        <w:rPr>
          <w:rFonts w:ascii="Times New Roman" w:hAnsi="Times New Roman"/>
          <w:b w:val="false"/>
          <w:i w:val="false"/>
          <w:color w:val="000000"/>
          <w:sz w:val="22"/>
        </w:rPr>
        <w:t xml:space="preserve">(455B) (except </w:t>
      </w:r>
      <w:hyperlink r:id="rId133">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hyperlink r:id="rId134">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w:t>
      </w:r>
      <w:hyperlink r:id="rId135">
        <w:r>
          <w:rPr>
            <w:rStyle w:val="Hyperlink"/>
            <w:rFonts w:ascii="Times New Roman" w:hAnsi="Times New Roman"/>
            <w:b w:val="false"/>
            <w:i w:val="false"/>
            <w:color w:val="000000"/>
            <w:sz w:val="22"/>
          </w:rPr>
          <w:t>23.3(3)</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136">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 xml:space="preserve">(455B) (except </w:t>
      </w:r>
      <w:hyperlink r:id="rId137">
        <w:r>
          <w:rPr>
            <w:rStyle w:val="Hyperlink"/>
            <w:rFonts w:ascii="Times New Roman" w:hAnsi="Times New Roman"/>
            <w:b w:val="false"/>
            <w:i w:val="false"/>
            <w:color w:val="000000"/>
            <w:sz w:val="22"/>
          </w:rPr>
          <w:t>23.4(12)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may be replaced by alternative emission limits. Under this rule, less stringent control limits where costs of emission control are high may be allowed in exchange for more stringent control limits where costs of control are less expensive.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Demonstration requirements. </w:t>
      </w:r>
      <w:r>
        <w:rPr>
          <w:rFonts w:ascii="Times New Roman" w:hAnsi="Times New Roman"/>
          <w:b w:val="false"/>
          <w:i w:val="false"/>
          <w:color w:val="000000"/>
          <w:sz w:val="22"/>
        </w:rPr>
        <w:t>The applicant for the alternative emission control program shall have the burden of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control program will not interfere with the attainment and maintenance of ambient air quality standards, including the reasonable further progress or prevention of significant deterioration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limits are equivalent to existing emission limits in pollution reduction, enforceability, and environmental impact (in the case of a particulate nonattainment area, the difference between the allowable emission rate and the actual emission rate, as of January 1, 1978, cannot be credited in the emissions tradeoff);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pollutants being exchanged are comparable and within the same pollutant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Hazardous air pollutants designated in 40 CFR Part 61, as adopted by reference in </w:t>
      </w:r>
      <w:hyperlink r:id="rId13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will not be exchanged for nonhazardous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alternative program will not result in any delay in compliance by any source. Specific situations may require additional demonstration as specified in 44 FR 71780-71788, December 11, 1979, or as requested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any facility applying for an alternative emission control program that involves the trade-off of sulfur dioxide emissions shall install, calibrate, maintain and operate continuous sulfur dioxide monitoring equipment consistent with EPA reference methods (40 CFR Part 60, Appendix B). The equipment shall be operational within three months of EPA approval of an alternative emission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review all alternative emission control program proposals and shall make recommendations on all completed demonstrations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receiving recommendations from the director and public comments made available through the hearing process, the commission may approve or disapprove the alternative emission control program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approved by the commission, the program will be forwarded to the EPA regional administrator as a revision to the SIP. The alternative emission control program must receive the approval of the EPA regional administrator prior to becoming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by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by rule for spray booths. Spray booths that comply with the requirements contained in this rule will be deemed to be in compliance with the requirements to obtain an air construction permit and an air operating permit. Spray booths that comply with this rule will be considered to have federally enforceable limits so that their potential emissions are less than the major source limits for regulated air pollutants and hazardous air pollutants as defined in </w:t>
      </w:r>
      <w:hyperlink r:id="rId14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An owner or operator required to apply for a permit by rule under this subrule shall submit fees as required in </w:t>
      </w:r>
      <w:hyperlink r:id="rId14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 “Sprayed material” is material applied by spray equipment when used in a surface coating process in a spray booth, including but not limited to paint, solvents, and mixtures of paint and solvents. Powder coatings applied in an indoor-vented spray booth equipped with filters or overspray powder recovery systems are not considered sprayed material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one gallon per day or less of sprayed material are exempt from all other requirements in </w:t>
      </w:r>
      <w:hyperlink r:id="rId142">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3">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and keep records of daily sprayed material use. Any spray booth or associated equipment for which initiation of construction, installation, reconstruction, or alteration (as defined in </w:t>
      </w:r>
      <w:hyperlink r:id="rId14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4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safety data sheets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46">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one gallon per day but never more than three gallons per day are exempt from all other requirements in </w:t>
      </w:r>
      <w:hyperlink r:id="rId147">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8">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keep records of daily sprayed material use, and vent emissions from a spray booth(s) through a stack(s) that is at least 22 feet tall, measured from ground level. Any spray booth or associated equipment for which initiation of construction, installation, reconstruction, or alteration (as defined in </w:t>
      </w:r>
      <w:hyperlink r:id="rId14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5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51">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three gallons per day are not eligible to use the permit by rule for spray booths and must apply for a construction permit as required by </w:t>
      </w:r>
      <w:hyperlink r:id="rId15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unless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Facilities that claim to be permitted by provisions of this rule must submit to the department a written notification as directed by the department, certifying that the facility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the provisions of </w:t>
      </w:r>
      <w:hyperlink r:id="rId154">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all applicable requirements including, but not limited to, the allowable particulate emission rate for painting and surface coating operations of 0.01 gr/scf of exhaust gas as specified in </w:t>
      </w:r>
      <w:hyperlink r:id="rId155">
        <w:r>
          <w:rPr>
            <w:rStyle w:val="Hyperlink"/>
            <w:rFonts w:ascii="Times New Roman" w:hAnsi="Times New Roman"/>
            <w:b w:val="false"/>
            <w:i w:val="false"/>
            <w:color w:val="000000"/>
            <w:sz w:val="22"/>
          </w:rPr>
          <w:t>567—subrule 23.4(13)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spray booths and associated equipment currently are or will be in compliance with or otherwise exempt from the NESHAP for paint stripping and miscellaneous surface coating at area sources (40 CFR Part 63, Subpart HHHHHH) and the NESHAP for metal fabricating and finishing at area sources (40 CFR Part 63, Subpart XXXXXX) by the applicable NESHAP compliance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567—22.9</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requirements for visibility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r>
        <w:rPr>
          <w:rFonts w:ascii="Times New Roman" w:hAnsi="Times New Roman"/>
          <w:b/>
          <w:i w:val="false"/>
          <w:color w:val="000000"/>
          <w:sz w:val="22"/>
        </w:rPr>
        <w:t>22.9(3)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the purpose of the regional haze program under 40 CFR Section 51.308, as amended through January 10, 2017, the department shall notify in writing the owner, operator or designated representative of a source of the department’s determination that the source may cause or contribute to visibility impairment in any mandatory Class I area listed in 40 CFR Part 81, Subpart D, as amended through October 5,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Analysis. </w:t>
      </w:r>
      <w:r>
        <w:rPr>
          <w:rFonts w:ascii="Times New Roman" w:hAnsi="Times New Roman"/>
          <w:b w:val="false"/>
          <w:i w:val="false"/>
          <w:color w:val="000000"/>
          <w:sz w:val="22"/>
        </w:rPr>
        <w:t xml:space="preserve">The owner, operator, or designated representative of a source notified pursuant to </w:t>
      </w:r>
      <w:hyperlink r:id="rId156">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 prepare and submit an analysis to the department after receipt of written notification by the department that an analysis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color w:val="000000"/>
          <w:sz w:val="22"/>
        </w:rPr>
        <w:t xml:space="preserve">Control technology implementation. </w:t>
      </w:r>
      <w:r>
        <w:rPr>
          <w:rFonts w:ascii="Times New Roman" w:hAnsi="Times New Roman"/>
          <w:b w:val="false"/>
          <w:i w:val="false"/>
          <w:color w:val="000000"/>
          <w:sz w:val="22"/>
        </w:rPr>
        <w:t xml:space="preserve">Following the department’s review of the analysis submitted pursuant to </w:t>
      </w:r>
      <w:hyperlink r:id="rId157">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 xml:space="preserve">, an owner or operator of a source notified pursuant to </w:t>
      </w:r>
      <w:hyperlink r:id="rId158">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all necessary permit applications to achieve the emissions requirements established following the completion of analysis performed in accordance with </w:t>
      </w:r>
      <w:hyperlink r:id="rId159">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 operate, and maintain the control technology as required by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Permitting requirements for country grain elevators, country grain terminal elevators, grain terminal elevators and feed mill equipment. </w:t>
      </w:r>
      <w:r>
        <w:rPr>
          <w:rFonts w:ascii="Times New Roman" w:hAnsi="Times New Roman"/>
          <w:b w:val="false"/>
          <w:i w:val="false"/>
          <w:color w:val="000000"/>
          <w:sz w:val="22"/>
        </w:rPr>
        <w:t xml:space="preserve">The requirements of this rule apply only to country grain elevators, country grain terminal elevators, grain terminal elevators and feed mill equipment, as these terms are defined in </w:t>
      </w:r>
      <w:hyperlink r:id="rId16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This rule does not apply to equipment located at grain processing plants or grain storage elevators, as “grain processing” and “grain storage elevator” are defined in </w:t>
      </w:r>
      <w:hyperlink r:id="rId16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Compliance with the requirements of this rule does not alleviate any affected person’s duty to comply with any applicable state or federal regulations. In particular, the emission standards set forth in </w:t>
      </w:r>
      <w:hyperlink r:id="rId162">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including the regulations for grain elevators contained in 40 CFR Part 60, Subpart DD (as adopted by reference in </w:t>
      </w:r>
      <w:hyperlink r:id="rId163">
        <w:r>
          <w:rPr>
            <w:rStyle w:val="Hyperlink"/>
            <w:rFonts w:ascii="Times New Roman" w:hAnsi="Times New Roman"/>
            <w:b w:val="false"/>
            <w:i w:val="false"/>
            <w:color w:val="000000"/>
            <w:sz w:val="22"/>
          </w:rPr>
          <w:t>567—paragraph 23.1(2)</w:t>
        </w:r>
      </w:hyperlink>
      <w:r>
        <w:rPr>
          <w:rFonts w:ascii="Times New Roman" w:hAnsi="Times New Roman"/>
          <w:b w:val="false"/>
          <w:i/>
          <w:color w:val="000000"/>
          <w:sz w:val="22"/>
        </w:rPr>
        <w:t>“ooo”</w:t>
      </w:r>
      <w:r>
        <w:rPr>
          <w:rFonts w:ascii="Times New Roman" w:hAnsi="Times New Roman"/>
          <w:b w:val="false"/>
          <w:i w:val="false"/>
          <w:color w:val="000000"/>
          <w:sz w:val="22"/>
        </w:rPr>
        <w:t xml:space="preserve">), may apply. An owner or operator subject to this rule shall submit fees as required in </w:t>
      </w:r>
      <w:hyperlink r:id="rId164">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w:t>
      </w:r>
      <w:hyperlink r:id="rId165">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the following terms shall have the meanings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more than 50 percent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less than or equal to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for purposes of </w:t>
      </w:r>
      <w:hyperlink r:id="rId166">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grain processing equipment that is used to make animal feed including, but not limited to, grinders, crackers, hammermills, and pellet coolers, and that is located at a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w:t>
      </w:r>
      <w:r>
        <w:rPr>
          <w:rFonts w:ascii="Times New Roman" w:hAnsi="Times New Roman"/>
          <w:b w:val="false"/>
          <w:i w:val="false"/>
          <w:color w:val="000000"/>
          <w:sz w:val="22"/>
        </w:rPr>
        <w:t xml:space="preserve">as set forth in Iowa Code section </w:t>
      </w:r>
      <w:hyperlink r:id="rId167">
        <w:r>
          <w:rPr>
            <w:rStyle w:val="Hyperlink"/>
            <w:rFonts w:ascii="Times New Roman" w:hAnsi="Times New Roman"/>
            <w:b w:val="false"/>
            <w:i w:val="false"/>
            <w:color w:val="000000"/>
            <w:sz w:val="22"/>
          </w:rPr>
          <w:t>203.1(9)</w:t>
        </w:r>
      </w:hyperlink>
      <w:r>
        <w:rPr>
          <w:rFonts w:ascii="Times New Roman" w:hAnsi="Times New Roman"/>
          <w:b w:val="false"/>
          <w:i w:val="false"/>
          <w:color w:val="000000"/>
          <w:sz w:val="22"/>
        </w:rPr>
        <w:t>, means any grain for which the United States Department of Agriculture has established standards including, but not limited to, corn, wheat, oats, soybeans, rye, barley, grain sorghum, flaxseeds, sunflower seed, spelt (emmer), and field peas.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same as defined in </w:t>
      </w:r>
      <w:hyperlink r:id="rId16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 xml:space="preserve">means the same as defined in </w:t>
      </w:r>
      <w:hyperlink r:id="rId16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 </w:t>
      </w:r>
      <w:r>
        <w:rPr>
          <w:rFonts w:ascii="Times New Roman" w:hAnsi="Times New Roman"/>
          <w:b w:val="false"/>
          <w:i w:val="false"/>
          <w:color w:val="000000"/>
          <w:sz w:val="22"/>
        </w:rPr>
        <w:t xml:space="preserve">for purposes of </w:t>
      </w:r>
      <w:hyperlink r:id="rId170">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more than 88,100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 animal food manufacturer, pet food manufacturer, cereal manufacturer, brewery, or livestock feedlot;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capacity” </w:t>
      </w:r>
      <w:r>
        <w:rPr>
          <w:rFonts w:ascii="Times New Roman" w:hAnsi="Times New Roman"/>
          <w:b w:val="false"/>
          <w:i w:val="false"/>
          <w:color w:val="000000"/>
          <w:sz w:val="22"/>
        </w:rPr>
        <w:t>means grain storage capacity that is inside a building, bin, or silo.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Methods for determining potential to emit (PTE). </w:t>
      </w:r>
      <w:r>
        <w:rPr>
          <w:rFonts w:ascii="Times New Roman" w:hAnsi="Times New Roman"/>
          <w:b w:val="false"/>
          <w:i w:val="false"/>
          <w:color w:val="000000"/>
          <w:sz w:val="22"/>
        </w:rPr>
        <w:t>The owner or operator of a country grain elevator, country grain terminal elevator, grain terminal elevator or feed mill equipment shall use the following methods for calculating the PTE for particulate matter (PM) and for particulate matter with an aerodynamic diameter less than or equal to 10 microns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elevators. </w:t>
      </w:r>
      <w:r>
        <w:rPr>
          <w:rFonts w:ascii="Times New Roman" w:hAnsi="Times New Roman"/>
          <w:b w:val="false"/>
          <w:i w:val="false"/>
          <w:color w:val="000000"/>
          <w:sz w:val="22"/>
        </w:rPr>
        <w:t>The owner or operator of a country grain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except that “maximum capacity” means the greatest amount of grain received at the country grain elevator during one calendar, 12-month period of the previous five calendar, 12-month periods, multiplied by an adjustment factor of 1.2. The owner or operator may make additional adjustments to the calculations for air pollution control of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air pollution control measures no later than March 31, 2009, or upon startup of the equipment, whichever event first occurs. Credit for the application of some best management practices, as specified in </w:t>
      </w:r>
      <w:hyperlink r:id="rId172">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xml:space="preserve"> or in a permit issued by the department, may also be used to make additional adjustments in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best management practices no later than March 31, 2009, or upon startup of the equipment, whichever event first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elevators. </w:t>
      </w:r>
      <w:r>
        <w:rPr>
          <w:rFonts w:ascii="Times New Roman" w:hAnsi="Times New Roman"/>
          <w:b w:val="false"/>
          <w:i w:val="false"/>
          <w:color w:val="000000"/>
          <w:sz w:val="22"/>
        </w:rPr>
        <w:t>The owner or operator of a country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elevators. </w:t>
      </w:r>
      <w:r>
        <w:rPr>
          <w:rFonts w:ascii="Times New Roman" w:hAnsi="Times New Roman"/>
          <w:b w:val="false"/>
          <w:i w:val="false"/>
          <w:color w:val="000000"/>
          <w:sz w:val="22"/>
        </w:rPr>
        <w:t xml:space="preserve">For purposes of the permitting and other requirements specified in </w:t>
      </w:r>
      <w:hyperlink r:id="rId174">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the owner or operator of a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7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source is subject to the operating permit requirements set forth in </w:t>
      </w:r>
      <w:hyperlink r:id="rId17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7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of a grain terminal elevator shall include fugitive emissions, as “fugitive emissions” is defined in </w:t>
      </w:r>
      <w:hyperlink r:id="rId17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xml:space="preserve"> and in </w:t>
      </w:r>
      <w:hyperlink r:id="rId18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PTE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The owner or operator of feed mill equipment, as “feed mill equipment” is defined in </w:t>
      </w:r>
      <w:hyperlink r:id="rId181">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feed mill equipment as specified in the definition of “potential to emit” in </w:t>
      </w:r>
      <w:hyperlink r:id="rId18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83">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stationary source is subject to the operating permit requirements set forth in </w:t>
      </w:r>
      <w:hyperlink r:id="rId1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85">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feed mill equipment shall sum the PTE of the feed mill equipment with the PTE of the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and requirements for permits, emissions controls, recordkeeping and reporting for Group 1, Group 2, Group 3 and Group 4 grain elevators. </w:t>
      </w:r>
      <w:r>
        <w:rPr>
          <w:rFonts w:ascii="Times New Roman" w:hAnsi="Times New Roman"/>
          <w:b w:val="false"/>
          <w:i w:val="false"/>
          <w:color w:val="000000"/>
          <w:sz w:val="22"/>
        </w:rPr>
        <w:t>The requirements for construction permits, operating permits, emissions controls, recordkeeping and reporting for a stationary source that is a country grain elevator, country grain terminal elevator or grain terminal elevator are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Group 1 facilities. </w:t>
      </w:r>
      <w:r>
        <w:rPr>
          <w:rFonts w:ascii="Times New Roman" w:hAnsi="Times New Roman"/>
          <w:b w:val="false"/>
          <w:i w:val="false"/>
          <w:color w:val="000000"/>
          <w:sz w:val="22"/>
        </w:rPr>
        <w:t>A country grain elevator, country grain terminal elevator or grain terminal elevator may qualify as a Group 1 facility if the PTE at the stationary source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86">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1 facility is one that commenced construction or reconstruction before February 6, 2008. A “new” Group 1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Group 1 registration. The owner or operator of a Group 1 facility shall submit to the department a Group 1 registration, including PTE calculations, on forms provided by the department, certifying that the facility’s PTE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The owner or operator of an existing facility shall provide the Group 1 registration to the department on or before March 31, 2008. The owner or operator of a new facility shall provide the Group 1 registration to the department prior to initiating construction or reconstruction of a facility. The registration becomes effective upon the department’s receipt of the signed registration form and the PTE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registers with the department as specified in </w:t>
      </w:r>
      <w:hyperlink r:id="rId187">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 xml:space="preserve">(1), the owner or operator is exempt from the requirement to obtain a construction permit as specified under </w:t>
      </w:r>
      <w:hyperlink r:id="rId18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receipt of a Group 1 registration and PTE calculations, the owner or operator is allowed to add, remove and modify the emissions units or change throughput or operations at the facility without modifying the Group 1 registration,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on forms provided by the department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1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equipment at a Group 1 facility currently has an air construction permit issued by the department, that permit shall remain in full force and effect, and the permit shall not be invalidated by the subsequent submittal of a registration made pursuant to </w:t>
      </w:r>
      <w:hyperlink r:id="rId189">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Best management practices (BMP). The owner or operator of a Group 1 facility shall implement BMP for controlling air pollution at the facility and for limiting fugitive dust at the facility from crossing the property line. The owner or operator shall implement BMP according to the department manual, Best Management Practices (BMP) for Grain Elevators (December 2007; revised July 15, 2014), as adopted by the commission on January 15, 2008, and July 15, 2014, and adopted by reference herein (available from the department, upon request, and on the department’s Internet website). No later than March 31, 2009, the owner or operator of an existing Group 1 facility shall fully implement applicable BMP, except that BMPs for grain vacuuming operations shall be fully implemented no later than September 10, 2014. Upon startup of equipment at the facility, the owner or operator of a new Group 1 facility shall fully implement applicable BMP.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1 facility shall retain a record of the previous five calendar years of total annual grain handled and shall calculate the facility’s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annually by January 31 for the previous calendar year. These records shall be kept on site for a period of five years and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1 facility shall calculate any emissions increases prior to making any additions to, removals of or modifications to equipment. If the owner or operator determines that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1 facility will increase to 15 tons per year or more, the owner or operator shall comply with the requirements set forth for Group 2,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1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15 tons per year or more, the owner or operator shall comply with the requirements set forth for Group 2,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Group 2 facilities. </w:t>
      </w:r>
      <w:r>
        <w:rPr>
          <w:rFonts w:ascii="Times New Roman" w:hAnsi="Times New Roman"/>
          <w:b w:val="false"/>
          <w:i w:val="false"/>
          <w:color w:val="000000"/>
          <w:sz w:val="22"/>
        </w:rPr>
        <w:t xml:space="preserve">A country grain elevator, country grain terminal elevator or grain terminal elevator may qualify as a Group 2 facility if the PTE at the stationary source is greater than or equal to 15 tons of PM10 per year and is less than or equal to 50 tons of PM10 per year, as PTE is specified in </w:t>
      </w:r>
      <w:hyperlink r:id="rId19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2 facility is one that commenced construction, modification or reconstruction before February 6, 2008. A “new” Group 2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2 permit for grain elevators. The owner or operator of a Group 2 facility may, in lieu of obtaining air construction permits for each piece of emissions equipment at the facility, submit to the department a completed Group 2 permit application for grain elevators, including PTE calculations, on forms provided by the department. Alternatively, the owner or operator may obtain an air construction permit as specified under </w:t>
      </w:r>
      <w:hyperlink r:id="rId19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The owner or operator of an existing facility shall provide the appropriate completed Group 2 permit application for grain elevators or the appropriate construction permit applications to the department on or before March 31, 2008. The owner or operator of a new facility shall provide the appropriate, completed Group 2 permit application for grain elevators or the appropriate construction permit applications to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department issuance of a Group 2 permit to a facility, the owner or operator is allowed to add, remove and modify the emissions units at the facility, or change throughput or operations, without modifying the Group 2 permit,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Group 2 facility currently has an air construction permit issued by the department, that permit shall remain in full force and effect, and the permit shall not be invalidated by the subsequent submittal of a Group 2 permit application for grain elevators made pursuant to this rule. However, the owner or operator of a Group 2 facility may request that the department incorporate any equipment with a previously issued construction permit into the Group 2 permit for grain elevators. The department will grant such requests on a case-by-case basis. If the department grants the request to incorporate previously permitted equipment into the Group 2 permit for grain elevators, the owner or operator of the Group 2 facility is responsible for requesting that the department rescind any previously issued construction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BMP. The owner or operator shall implement BMP, as specified in the Group 2 permit, for controlling air pollution at the source and for limiting fugitive dust at the source from crossing the property line. If the department revises the BMP requirements for Group 2 facilities after a facility is issued a Group 2 permit, the owner or operator of the Group 2 facility may request that the department modify the facility’s Group 2 permit to incorporate the revised BMP requirements. The department will issue permit modifications to incorporate BMP revisions on a case-by-case basis. No later than March 31, 2009, the owner or operator of an existing Group 2 facility shall fully implement BMP, as specified in the Group 2 permit. Upon startup of equipment at the facility, the owner or operator of a new Group 2 facility shall fully implement BMP,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2 facility shall retain all records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of a Group 2 facility shall submit an emissions inventory for the facility for all regulated air pollutants as specified under </w:t>
      </w:r>
      <w:hyperlink r:id="rId192">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2 facility shall calculate any emissions increases prior to making any additions to, removals of or modifications to equipment. If the owner or operator determines that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2 facility will increase to more than 50 tons per year, the owner or operator shall comply with the requirements set forth for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2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more than 50 tons per year, the owner or operator shall comply with the requirements set forth for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Group 3 facilities. </w:t>
      </w:r>
      <w:r>
        <w:rPr>
          <w:rFonts w:ascii="Times New Roman" w:hAnsi="Times New Roman"/>
          <w:b w:val="false"/>
          <w:i w:val="false"/>
          <w:color w:val="000000"/>
          <w:sz w:val="22"/>
        </w:rPr>
        <w:t>A country grain elevator, country grain terminal elevator or grain terminal elevator may qualify as a Group 3 facility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stationary source is greater than 50 tons per year, but is less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93">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3 facility is one that commenced construction, modification or reconstruction before February 6, 2008. A “new” Group 3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3 facility shall obtain the required construction permits as specified under </w:t>
      </w:r>
      <w:hyperlink r:id="rId19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in </w:t>
      </w:r>
      <w:hyperlink r:id="rId195">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in </w:t>
      </w:r>
      <w:hyperlink r:id="rId19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3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source and for limiting fugitive dust at the source from crossing the property line. If the department revises the BMP requirements for Group 3 facilities after a facility is issued a permit, the owner or operator of the Group 3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shall submit an emissions inventory for the facility for all regulated air pollutants as specified under </w:t>
      </w:r>
      <w:hyperlink r:id="rId197">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3 facility plans to change its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greater than or equal to 100 tons per year, the owner or operator shall comply with the requirements set forth for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Group 3 facility is greater than or equal to 250 tons per year, the owner or operator shall comply with requirements specified in </w:t>
      </w:r>
      <w:hyperlink r:id="rId19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3 facility that is a grain terminal elevator shall include fugitive emissions, as “fugitive emissions” is defined in </w:t>
      </w:r>
      <w:hyperlink r:id="rId19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Group 4 facilities. </w:t>
      </w:r>
      <w:r>
        <w:rPr>
          <w:rFonts w:ascii="Times New Roman" w:hAnsi="Times New Roman"/>
          <w:b w:val="false"/>
          <w:i w:val="false"/>
          <w:color w:val="000000"/>
          <w:sz w:val="22"/>
        </w:rPr>
        <w:t>A facility qualifies as a Group 4 facility if the facility is a stationary source with a PTE equal to or greater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20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4 facility is one that commenced construction, modification or reconstruction before February 6, 2008. A “new” Group 4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4 facility shall obtain the required construction permits as specified under </w:t>
      </w:r>
      <w:hyperlink r:id="rId20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by </w:t>
      </w:r>
      <w:hyperlink r:id="rId202">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by </w:t>
      </w:r>
      <w:hyperlink r:id="rId20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4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facility and for limiting fugitive dust at the facility from crossing the property line. If the department revises the BMP requirements for Group 4 facilities after a facility is issued a permit, the owner or operator of the Group 4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facility is equal to or greater than 250 tons per year, the owner or operator shall comply with requirements specified in </w:t>
      </w:r>
      <w:hyperlink r:id="rId204">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4 facility that is a grain terminal elevator shall include fugitive emissions, as “fugitive emissions” is defined in </w:t>
      </w:r>
      <w:hyperlink r:id="rId205">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permits. The owner or operator of a Group 4 facility shall apply for an operating permit for the facility if the facility’s annual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equal to or greater than 100 tons per year as specified in </w:t>
      </w:r>
      <w:hyperlink r:id="rId20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0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a Group 4 facility that is a grain terminal elevator shall include fugitive emissions in the calculations to determine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greater than or equal to 100 tons per year. The owner or operator also shall submit annual emissions inventories and fees, as specified in </w:t>
      </w:r>
      <w:hyperlink r:id="rId208">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This subrule sets forth the requirements for construction permits, operating permits, and emissions inventories for an owner or operator of feed mill equipment as “feed mill equipment” is defined in </w:t>
      </w:r>
      <w:hyperlink r:id="rId209">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For purposes of this subrule, the owner or operator of “existing” feed mill equipment shall have commenced construction or reconstruction of the feed mill equipment before February 6, 2008. The owner or operator of “new” feed mill equipment shall have commenced construction or reconstruction of the feed mill equipment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construction permit. </w:t>
      </w:r>
      <w:r>
        <w:rPr>
          <w:rFonts w:ascii="Times New Roman" w:hAnsi="Times New Roman"/>
          <w:b w:val="false"/>
          <w:i w:val="false"/>
          <w:color w:val="000000"/>
          <w:sz w:val="22"/>
        </w:rPr>
        <w:t xml:space="preserve">The owner or operator of feed mill equipment shall obtain an air construction permit as specified under </w:t>
      </w:r>
      <w:hyperlink r:id="rId2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for each piece of feed mill equipment that emits a regulated air pollutant. The owner or operator of “existing” feed mill equipment shall provide the appropriate permit applications to the department on or before March 31, 2008. The owner or operator of “new” feed mill equipment shall provide the appropriate permit applications to the department prior to initiating construction or reconstruction of feed mill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w:t>
      </w:r>
      <w:r>
        <w:rPr>
          <w:rFonts w:ascii="Times New Roman" w:hAnsi="Times New Roman"/>
          <w:b w:val="false"/>
          <w:i w:val="false"/>
          <w:color w:val="000000"/>
          <w:sz w:val="22"/>
        </w:rPr>
        <w:t xml:space="preserve">The owner or operator shall submit an emissions inventory for the feed mill equipment for all regulated air pollutants as specified under </w:t>
      </w:r>
      <w:hyperlink r:id="rId211">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 xml:space="preserve">The owner or operator shall sum the PTE of the feed mill equipment with the PTE of the equipment at the country grain elevator, country grain terminal elevator or grain terminal elevator, as PTE is specified in </w:t>
      </w:r>
      <w:hyperlink r:id="rId212">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to determine if operating permit requirements specified in </w:t>
      </w:r>
      <w:hyperlink r:id="rId21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apply to the stationary source. If the operating permit requirements apply, then the owner or operator shall apply for an operating permit as specified in </w:t>
      </w:r>
      <w:hyperlink r:id="rId21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also shall begin submitting annual emissions inventories and fees, as specified under </w:t>
      </w:r>
      <w:hyperlink r:id="rId217">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PSD applicability. </w:t>
      </w:r>
      <w:r>
        <w:rPr>
          <w:rFonts w:ascii="Times New Roman" w:hAnsi="Times New Roman"/>
          <w:b w:val="false"/>
          <w:i w:val="false"/>
          <w:color w:val="000000"/>
          <w:sz w:val="22"/>
        </w:rPr>
        <w:t xml:space="preserve">For purposes of determining whether the stationary source is subject to the PSD requirements set forth in </w:t>
      </w:r>
      <w:hyperlink r:id="rId21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the owner or operator shall sum the PTE of the feed mill equipment with the PTE of the equipment at the country grain elevator, country grain terminal elevator or grain terminal elevator.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stationary source is equal to or greater than 250 tons per year, the owner or operator shall comply with requirements for PSD specified in </w:t>
      </w:r>
      <w:hyperlink r:id="rId219">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567—22.11</w:t>
      </w:r>
      <w:r>
        <w:rPr>
          <w:rFonts w:ascii="Times New Roman" w:hAnsi="Times New Roman"/>
          <w:b/>
          <w:i w:val="false"/>
          <w:color w:val="000000"/>
          <w:sz w:val="22"/>
        </w:rPr>
        <w:t xml:space="preserve">(455B) </w:t>
      </w:r>
      <w:r>
        <w:rPr>
          <w:rFonts w:ascii="Times New Roman" w:hAnsi="Times New Roman"/>
          <w:b/>
          <w:i w:val="false"/>
          <w:color w:val="000000"/>
          <w:sz w:val="22"/>
        </w:rPr>
        <w:t xml:space="preserve">Ambient air quality standards. </w:t>
      </w:r>
      <w:r>
        <w:rPr>
          <w:rFonts w:ascii="Times New Roman" w:hAnsi="Times New Roman"/>
          <w:b w:val="false"/>
          <w:i w:val="false"/>
          <w:color w:val="000000"/>
          <w:sz w:val="22"/>
        </w:rPr>
        <w:t xml:space="preserve">The state of Iowa ambient air quality standards shall be the National Primary and Secondary Ambient Air Quality Standards as published in 40 CFR Part 50 (1972) and as amended at 38 Federal Register (FR) 22384 (September 14, 1973), 43 FR 46258 (October 5, 1978), 44 FR 8202, 8220 (February 9, 1979), 52 FR 24634-24669 (July 1, 1987), 62 FR 38651-38760, 38855-38896 (July 18, 1997), 71 FR 61144-61233 (October 17, 2006), 73 FR 16436-16514 (March 27, 2008), 73 FR 66964-67062 (November 12, 2008), 75 FR 6474-6537 (February 9, 2010), 75 FR 35520-35603 (June 22, 2010), 78 FR 3086-3287 (January 15, 2013), and 80 FR 65291-65468 (October 26, 2015). The department shall implement these rules in a time frame and schedule consistent with implementation schedules in federal laws and regulations.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0">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5/27/77, Notice 3/9/77—published 6/15/77, effective 1/1/78]</w:t>
      </w:r>
    </w:p>
    <w:p>
      <w:pPr>
        <w:spacing w:before="0" w:after="0"/>
        <w:ind w:left="120"/>
        <w:jc w:val="center"/>
      </w:pPr>
      <w:r>
        <w:rPr>
          <w:rFonts w:ascii="Times New Roman" w:hAnsi="Times New Roman"/>
          <w:b w:val="false"/>
          <w:i w:val="false"/>
          <w:color w:val="000000"/>
          <w:sz w:val="21"/>
        </w:rPr>
        <w:t>[Filed without Notice 10/28/77—published 11/16/77, effective 12/21/77]</w:t>
      </w:r>
    </w:p>
    <w:p>
      <w:pPr>
        <w:spacing w:before="0" w:after="0"/>
        <w:ind w:left="120"/>
        <w:jc w:val="center"/>
      </w:pPr>
      <w:r>
        <w:rPr>
          <w:rFonts w:ascii="Times New Roman" w:hAnsi="Times New Roman"/>
          <w:b w:val="false"/>
          <w:i w:val="false"/>
          <w:color w:val="000000"/>
          <w:sz w:val="21"/>
        </w:rPr>
        <w:t>[Filed 4/27/78, Notice 11/16/77—published 5/17/78,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10/12/78—published 11/1/78, effective 10/12/78]</w:t>
      </w:r>
    </w:p>
    <w:p>
      <w:pPr>
        <w:spacing w:before="0" w:after="0"/>
        <w:ind w:left="120"/>
        <w:jc w:val="center"/>
      </w:pPr>
      <w:r>
        <w:rPr>
          <w:rFonts w:ascii="Times New Roman" w:hAnsi="Times New Roman"/>
          <w:b w:val="false"/>
          <w:i w:val="false"/>
          <w:color w:val="000000"/>
          <w:sz w:val="21"/>
        </w:rPr>
        <w:t>[Filed 6/29/79, Notice 2/7/79—published 7/25/79, effective 8/29/79]</w:t>
      </w:r>
    </w:p>
    <w:p>
      <w:pPr>
        <w:spacing w:before="0" w:after="0"/>
        <w:ind w:left="120"/>
        <w:jc w:val="center"/>
      </w:pPr>
      <w:r>
        <w:rPr>
          <w:rFonts w:ascii="Times New Roman" w:hAnsi="Times New Roman"/>
          <w:b w:val="false"/>
          <w:i w:val="false"/>
          <w:color w:val="000000"/>
          <w:sz w:val="21"/>
        </w:rPr>
        <w:t>[Filed 4/10/80, Notice 12/26/79—published 4/30/80, effective 6/4/80]</w:t>
      </w:r>
    </w:p>
    <w:p>
      <w:pPr>
        <w:spacing w:before="0" w:after="0"/>
        <w:ind w:left="120"/>
        <w:jc w:val="center"/>
      </w:pPr>
      <w:r>
        <w:rPr>
          <w:rFonts w:ascii="Times New Roman" w:hAnsi="Times New Roman"/>
          <w:b w:val="false"/>
          <w:i w:val="false"/>
          <w:color w:val="000000"/>
          <w:sz w:val="21"/>
        </w:rPr>
        <w:t>[Filed 9/26/80, Notice 5/28/80—published 10/15/80, effective 11/19/80]</w:t>
      </w:r>
    </w:p>
    <w:p>
      <w:pPr>
        <w:spacing w:before="0" w:after="0"/>
        <w:ind w:left="120"/>
        <w:jc w:val="center"/>
      </w:pPr>
      <w:r>
        <w:rPr>
          <w:rFonts w:ascii="Times New Roman" w:hAnsi="Times New Roman"/>
          <w:b w:val="false"/>
          <w:i w:val="false"/>
          <w:color w:val="000000"/>
          <w:sz w:val="21"/>
        </w:rPr>
        <w:t>[Filed 12/12/80, Notice 10/15/80—published 1/7/81, effective 2/11/81]</w:t>
      </w:r>
    </w:p>
    <w:p>
      <w:pPr>
        <w:spacing w:before="0" w:after="0"/>
        <w:ind w:left="120"/>
        <w:jc w:val="center"/>
      </w:pPr>
      <w:r>
        <w:rPr>
          <w:rFonts w:ascii="Times New Roman" w:hAnsi="Times New Roman"/>
          <w:b w:val="false"/>
          <w:i w:val="false"/>
          <w:color w:val="000000"/>
          <w:sz w:val="21"/>
        </w:rPr>
        <w:t>[Filed 4/23/81, Notice 2/18/81—published 5 /13 /81, effective 6/17/81]</w:t>
      </w:r>
    </w:p>
    <w:p>
      <w:pPr>
        <w:spacing w:before="0" w:after="0"/>
        <w:ind w:left="120"/>
        <w:jc w:val="center"/>
      </w:pPr>
      <w:r>
        <w:rPr>
          <w:rFonts w:ascii="Times New Roman" w:hAnsi="Times New Roman"/>
          <w:b w:val="false"/>
          <w:i w:val="false"/>
          <w:color w:val="000000"/>
          <w:sz w:val="21"/>
        </w:rPr>
        <w:t>[Filed 9/24/82, Notice 3/17/82—published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7/25/84, Notice 5/9/84—published 8/15/84, effective 9/19/84]</w:t>
      </w:r>
    </w:p>
    <w:p>
      <w:pPr>
        <w:spacing w:before="0" w:after="0"/>
        <w:ind w:left="120"/>
        <w:jc w:val="center"/>
      </w:pPr>
      <w:r>
        <w:rPr>
          <w:rFonts w:ascii="Times New Roman" w:hAnsi="Times New Roman"/>
          <w:b w:val="false"/>
          <w:i w:val="false"/>
          <w:color w:val="000000"/>
          <w:sz w:val="21"/>
        </w:rPr>
        <w:t>[Filed 12/20/85, Notice 7/17/85—published 1/15/86, effective 2/19/86]</w:t>
      </w:r>
    </w:p>
    <w:p>
      <w:pPr>
        <w:spacing w:before="0" w:after="0"/>
        <w:ind w:left="120"/>
        <w:jc w:val="center"/>
      </w:pPr>
      <w:r>
        <w:rPr>
          <w:rFonts w:ascii="Times New Roman" w:hAnsi="Times New Roman"/>
          <w:b w:val="false"/>
          <w:i w:val="false"/>
          <w:color w:val="000000"/>
          <w:sz w:val="21"/>
        </w:rPr>
        <w:t>[Filed 5/2/86, Notice 1/15/86—published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2/20/87, Notice 12/3/86—published 3/11/87, effective 4/15/87]</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10/28/88, Notice 7/27/88—published 11/16/88, effective 12/21/88]</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2/25/94, Notice 10/13/93—published 3/16/94, effective 4/20/94]</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10/21/94, Notice 4/13/94—published 11/9/94, effective 12/14/94]</w:t>
      </w:r>
    </w:p>
    <w:p>
      <w:pPr>
        <w:spacing w:before="0" w:after="0"/>
        <w:ind w:left="120"/>
        <w:jc w:val="center"/>
      </w:pPr>
      <w:r>
        <w:rPr>
          <w:rFonts w:ascii="Times New Roman" w:hAnsi="Times New Roman"/>
          <w:b w:val="false"/>
          <w:i w:val="false"/>
          <w:color w:val="000000"/>
          <w:sz w:val="21"/>
        </w:rPr>
        <w:t>[Filed without Notice 11/18/94—published 12/7/94, effective 1/11/95]</w:t>
      </w:r>
    </w:p>
    <w:p>
      <w:pPr>
        <w:spacing w:before="0" w:after="0"/>
        <w:ind w:left="120"/>
        <w:jc w:val="center"/>
      </w:pPr>
      <w:r>
        <w:rPr>
          <w:rFonts w:ascii="Times New Roman" w:hAnsi="Times New Roman"/>
          <w:b w:val="false"/>
          <w:i w:val="false"/>
          <w:color w:val="000000"/>
          <w:sz w:val="21"/>
        </w:rPr>
        <w:t>[Filed emergency 2/24/95—published 3/15/95, effective 2/24/95]</w:t>
      </w:r>
    </w:p>
    <w:p>
      <w:pPr>
        <w:spacing w:before="0" w:after="0"/>
        <w:ind w:left="120"/>
        <w:jc w:val="center"/>
      </w:pPr>
      <w:r>
        <w:rPr>
          <w:rFonts w:ascii="Times New Roman" w:hAnsi="Times New Roman"/>
          <w:b w:val="false"/>
          <w:i w:val="false"/>
          <w:color w:val="000000"/>
          <w:sz w:val="21"/>
        </w:rPr>
        <w:t>[Filed 5/19/95, Notices 12/21/94, 3/15/95—published 6/7/95, effective 7/12/95]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8/25/95, Notice 6/7/95—published 9/13/95, effective 10/18/95]</w:t>
      </w:r>
      <w:r>
        <w:rPr>
          <w:rFonts w:ascii="Times New Roman" w:hAnsi="Times New Roman"/>
          <w:b w:val="false"/>
          <w:i w:val="false"/>
          <w:color w:val="000000"/>
          <w:sz w:val="10"/>
        </w:rPr>
        <w:t>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10/20/95—published 11/8/95, effective 10/20/95]</w:t>
      </w:r>
    </w:p>
    <w:p>
      <w:pPr>
        <w:spacing w:before="0" w:after="0"/>
        <w:ind w:left="120"/>
        <w:jc w:val="center"/>
      </w:pPr>
      <w:r>
        <w:rPr>
          <w:rFonts w:ascii="Times New Roman" w:hAnsi="Times New Roman"/>
          <w:b w:val="false"/>
          <w:i w:val="false"/>
          <w:color w:val="000000"/>
          <w:sz w:val="21"/>
        </w:rPr>
        <w:t>[Filed emergency 11/16/95—published 12/6/95, effective 11/16/95]</w:t>
      </w:r>
    </w:p>
    <w:p>
      <w:pPr>
        <w:spacing w:before="0" w:after="0"/>
        <w:ind w:left="120"/>
        <w:jc w:val="center"/>
      </w:pPr>
      <w:r>
        <w:rPr>
          <w:rFonts w:ascii="Times New Roman" w:hAnsi="Times New Roman"/>
          <w:b w:val="false"/>
          <w:i w:val="false"/>
          <w:color w:val="000000"/>
          <w:sz w:val="21"/>
        </w:rPr>
        <w:t>[Filed 1/26/96, Notices 11/8/95, 12/6/95—published 2/14/96, effective 3/20/96]</w:t>
      </w:r>
    </w:p>
    <w:p>
      <w:pPr>
        <w:spacing w:before="0" w:after="0"/>
        <w:ind w:left="120"/>
        <w:jc w:val="center"/>
      </w:pPr>
      <w:r>
        <w:rPr>
          <w:rFonts w:ascii="Times New Roman" w:hAnsi="Times New Roman"/>
          <w:b w:val="false"/>
          <w:i w:val="false"/>
          <w:color w:val="000000"/>
          <w:sz w:val="21"/>
        </w:rPr>
        <w:t>[Filed 1/26/96, Notice 11/8/95—published 2/14/96, effective 3/20/96]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4/19/96, Notice 1/17/96—published 5/8/96, effective 6/12/96</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5/31/96, Notice 3/13/96—published 6/19/96, effective 7/24/96]</w:t>
      </w:r>
    </w:p>
    <w:p>
      <w:pPr>
        <w:spacing w:before="0" w:after="0"/>
        <w:ind w:left="120"/>
        <w:jc w:val="center"/>
      </w:pPr>
      <w:r>
        <w:rPr>
          <w:rFonts w:ascii="Times New Roman" w:hAnsi="Times New Roman"/>
          <w:b w:val="false"/>
          <w:i w:val="false"/>
          <w:color w:val="000000"/>
          <w:sz w:val="21"/>
        </w:rPr>
        <w:t>[Filed 8/23/96, Notice 5/8/96—published 9/11/96, effective 10/16/96]</w:t>
      </w:r>
    </w:p>
    <w:p>
      <w:pPr>
        <w:spacing w:before="0" w:after="0"/>
        <w:ind w:left="120"/>
        <w:jc w:val="center"/>
      </w:pPr>
      <w:r>
        <w:rPr>
          <w:rFonts w:ascii="Times New Roman" w:hAnsi="Times New Roman"/>
          <w:b w:val="false"/>
          <w:i w:val="false"/>
          <w:color w:val="000000"/>
          <w:sz w:val="21"/>
        </w:rPr>
        <w:t>[Filed 11/1/96, Notice 8/14/96—published 11/20/96, effective 12/25/96]</w:t>
      </w:r>
    </w:p>
    <w:p>
      <w:pPr>
        <w:spacing w:before="0" w:after="0"/>
        <w:ind w:left="120"/>
        <w:jc w:val="center"/>
      </w:pPr>
      <w:r>
        <w:rPr>
          <w:rFonts w:ascii="Times New Roman" w:hAnsi="Times New Roman"/>
          <w:b w:val="false"/>
          <w:i w:val="false"/>
          <w:color w:val="000000"/>
          <w:sz w:val="21"/>
        </w:rPr>
        <w:t>[Filed 3/20/97, Notice 10/9/96—published 4/9/97, effective 5/14/97]</w:t>
      </w:r>
    </w:p>
    <w:p>
      <w:pPr>
        <w:spacing w:before="0" w:after="0"/>
        <w:ind w:left="120"/>
        <w:jc w:val="center"/>
      </w:pPr>
      <w:r>
        <w:rPr>
          <w:rFonts w:ascii="Times New Roman" w:hAnsi="Times New Roman"/>
          <w:b w:val="false"/>
          <w:i w:val="false"/>
          <w:color w:val="000000"/>
          <w:sz w:val="21"/>
        </w:rPr>
        <w:t>[Filed 3/20/97, Notice 11/20/96—published 4/9/97, effective 5/14/97]</w:t>
      </w:r>
    </w:p>
    <w:p>
      <w:pPr>
        <w:spacing w:before="0" w:after="0"/>
        <w:ind w:left="120"/>
        <w:jc w:val="center"/>
      </w:pPr>
      <w:r>
        <w:rPr>
          <w:rFonts w:ascii="Times New Roman" w:hAnsi="Times New Roman"/>
          <w:b w:val="false"/>
          <w:i w:val="false"/>
          <w:color w:val="000000"/>
          <w:sz w:val="21"/>
        </w:rPr>
        <w:t>[Filed 6/27/97, Notice 3/12/97—published 7/16/97, effective 8/20/97]</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emergency 5/29/98—published 6/17/98, effective 6/29/98]</w:t>
      </w:r>
    </w:p>
    <w:p>
      <w:pPr>
        <w:spacing w:before="0" w:after="0"/>
        <w:ind w:left="120"/>
        <w:jc w:val="center"/>
      </w:pPr>
      <w:r>
        <w:rPr>
          <w:rFonts w:ascii="Times New Roman" w:hAnsi="Times New Roman"/>
          <w:b w:val="false"/>
          <w:i w:val="false"/>
          <w:color w:val="000000"/>
          <w:sz w:val="21"/>
        </w:rPr>
        <w:t>[Filed 6/26/98, Notice 3/11/98—published 7/15/98, effective 8/19/98]</w:t>
      </w:r>
    </w:p>
    <w:p>
      <w:pPr>
        <w:spacing w:before="0" w:after="0"/>
        <w:ind w:left="120"/>
        <w:jc w:val="center"/>
      </w:pPr>
      <w:r>
        <w:rPr>
          <w:rFonts w:ascii="Times New Roman" w:hAnsi="Times New Roman"/>
          <w:b w:val="false"/>
          <w:i w:val="false"/>
          <w:color w:val="000000"/>
          <w:sz w:val="21"/>
        </w:rPr>
        <w:t>[Filed 8/21/98, Notice 6/17/98—published 9/9/98, effective 10/14/98]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10/30/98, Notice 8/26/98—published 11/18/98, effective 12/23/98]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3/3/00, Notice 12/15/99—published 3/22/00, effective 4/26/00]</w:t>
      </w:r>
    </w:p>
    <w:p>
      <w:pPr>
        <w:spacing w:before="0" w:after="0"/>
        <w:ind w:left="120"/>
        <w:jc w:val="center"/>
      </w:pPr>
      <w:r>
        <w:rPr>
          <w:rFonts w:ascii="Times New Roman" w:hAnsi="Times New Roman"/>
          <w:b w:val="false"/>
          <w:i w:val="false"/>
          <w:color w:val="000000"/>
          <w:sz w:val="21"/>
        </w:rPr>
        <w:t>[Filed 1/19/01, Notice 6/14/00—published 2/7/01, effective 3/14/01</w:t>
      </w:r>
      <w:r>
        <w:rPr>
          <w:rFonts w:ascii="Times New Roman" w:hAnsi="Times New Roman"/>
          <w:b w:val="false"/>
          <w:i w:val="false"/>
          <w:color w:val="000000"/>
          <w:sz w:val="10"/>
        </w:rPr>
        <w:t>4</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6/21/01, Notice 3/21/01—published 7/11/01, effective 8/15/01]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2/28/02, Notice 12/12/01—published 3/20/02, effective 4/24/02]</w:t>
      </w:r>
    </w:p>
    <w:p>
      <w:pPr>
        <w:spacing w:before="0" w:after="0"/>
        <w:ind w:left="120"/>
        <w:jc w:val="center"/>
      </w:pPr>
      <w:r>
        <w:rPr>
          <w:rFonts w:ascii="Times New Roman" w:hAnsi="Times New Roman"/>
          <w:b w:val="false"/>
          <w:i w:val="false"/>
          <w:color w:val="000000"/>
          <w:sz w:val="21"/>
        </w:rPr>
        <w:t>[Filed 5/24/02, Notice 10/17/01—published 6/12/02, effective 7/17/02]</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11/21/02, Notice 6/12/02—published 12/11/02, effective 1/15/03]</w:t>
      </w:r>
    </w:p>
    <w:p>
      <w:pPr>
        <w:spacing w:before="0" w:after="0"/>
        <w:ind w:left="120"/>
        <w:jc w:val="center"/>
      </w:pPr>
      <w:r>
        <w:rPr>
          <w:rFonts w:ascii="Times New Roman" w:hAnsi="Times New Roman"/>
          <w:b w:val="false"/>
          <w:i w:val="false"/>
          <w:color w:val="000000"/>
          <w:sz w:val="21"/>
        </w:rPr>
        <w:t>[Filed without Notice 2/28/03—published 3/19/03, effective 4/23/03]</w:t>
      </w:r>
    </w:p>
    <w:p>
      <w:pPr>
        <w:spacing w:before="0" w:after="0"/>
        <w:ind w:left="120"/>
        <w:jc w:val="center"/>
      </w:pPr>
      <w:r>
        <w:rPr>
          <w:rFonts w:ascii="Times New Roman" w:hAnsi="Times New Roman"/>
          <w:b w:val="false"/>
          <w:i w:val="false"/>
          <w:color w:val="000000"/>
          <w:sz w:val="21"/>
        </w:rPr>
        <w:t>[Filed 5/22/03, Notice 3/19/03—published 6/11/03, effective 7/16/03]</w:t>
      </w:r>
    </w:p>
    <w:p>
      <w:pPr>
        <w:spacing w:before="0" w:after="0"/>
        <w:ind w:left="120"/>
        <w:jc w:val="center"/>
      </w:pPr>
      <w:r>
        <w:rPr>
          <w:rFonts w:ascii="Times New Roman" w:hAnsi="Times New Roman"/>
          <w:b w:val="false"/>
          <w:i w:val="false"/>
          <w:color w:val="000000"/>
          <w:sz w:val="21"/>
        </w:rPr>
        <w:t>[Filed 8/15/03, Notice 5/14/03—published 9/3/03, effective 10/8/03]</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10/22/04, Notice 7/21/04—published 11/10/04, effective 12/15/04]</w:t>
      </w:r>
    </w:p>
    <w:p>
      <w:pPr>
        <w:spacing w:before="0" w:after="0"/>
        <w:ind w:left="120"/>
        <w:jc w:val="center"/>
      </w:pPr>
      <w:r>
        <w:rPr>
          <w:rFonts w:ascii="Times New Roman" w:hAnsi="Times New Roman"/>
          <w:b w:val="false"/>
          <w:i w:val="false"/>
          <w:color w:val="000000"/>
          <w:sz w:val="21"/>
        </w:rPr>
        <w:t>[Filed 2/25/05, Notice 12/8/04—published 3/16/05, effective 4/20/05]</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8/23/05, Notice 5/11/05—published 9/14/05, effective 10/19/05]</w:t>
      </w:r>
    </w:p>
    <w:p>
      <w:pPr>
        <w:spacing w:before="0" w:after="0"/>
        <w:ind w:left="120"/>
        <w:jc w:val="center"/>
      </w:pPr>
      <w:r>
        <w:rPr>
          <w:rFonts w:ascii="Times New Roman" w:hAnsi="Times New Roman"/>
          <w:b w:val="false"/>
          <w:i w:val="false"/>
          <w:color w:val="000000"/>
          <w:sz w:val="21"/>
        </w:rPr>
        <w:t>[Filed 2/24/06, Notice 11/9/05—published 3/15/06, effective 4/19/06]</w:t>
      </w:r>
    </w:p>
    <w:p>
      <w:pPr>
        <w:spacing w:before="0" w:after="0"/>
        <w:ind w:left="120"/>
        <w:jc w:val="center"/>
      </w:pPr>
      <w:r>
        <w:rPr>
          <w:rFonts w:ascii="Times New Roman" w:hAnsi="Times New Roman"/>
          <w:b w:val="false"/>
          <w:i w:val="false"/>
          <w:color w:val="000000"/>
          <w:sz w:val="21"/>
        </w:rPr>
        <w:t>[Filed 5/17/06, Notice 1/18/06—published 6/7/06, effective 7/12/06]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6/28/06, Notice 4/12/06—published 7/19/06, effective 8/23/06]</w:t>
      </w:r>
    </w:p>
    <w:p>
      <w:pPr>
        <w:spacing w:before="0" w:after="0"/>
        <w:ind w:left="120"/>
        <w:jc w:val="center"/>
      </w:pPr>
      <w:r>
        <w:rPr>
          <w:rFonts w:ascii="Times New Roman" w:hAnsi="Times New Roman"/>
          <w:b w:val="false"/>
          <w:i w:val="false"/>
          <w:color w:val="000000"/>
          <w:sz w:val="21"/>
        </w:rPr>
        <w:t>[Filed 8/25/06, Notice 6/7/06—published 9/27/06,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5/3/07, Notice 1/31/07—published 5/23/07, effective 6/27/07]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10/4/07 after Notice 8/1/07—published 10/24/07, effective 10/4/07]</w:t>
      </w:r>
    </w:p>
    <w:p>
      <w:pPr>
        <w:spacing w:before="0" w:after="0"/>
        <w:ind w:left="120"/>
        <w:jc w:val="center"/>
      </w:pPr>
      <w:r>
        <w:rPr>
          <w:rFonts w:ascii="Times New Roman" w:hAnsi="Times New Roman"/>
          <w:b w:val="false"/>
          <w:i w:val="false"/>
          <w:color w:val="000000"/>
          <w:sz w:val="21"/>
        </w:rPr>
        <w:t>[Filed 1/23/08, Notice 8/29/07—published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7565B</w:t>
      </w:r>
      <w:r>
        <w:rPr>
          <w:rFonts w:ascii="Times New Roman" w:hAnsi="Times New Roman"/>
          <w:b w:val="false"/>
          <w:i w:val="false"/>
          <w:color w:val="000000"/>
          <w:sz w:val="21"/>
        </w:rPr>
        <w:t xml:space="preserve"> (Notice ARC 7306B,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9224B</w:t>
      </w:r>
      <w:r>
        <w:rPr>
          <w:rFonts w:ascii="Times New Roman" w:hAnsi="Times New Roman"/>
          <w:b w:val="false"/>
          <w:i w:val="false"/>
          <w:color w:val="000000"/>
          <w:sz w:val="21"/>
        </w:rPr>
        <w:t xml:space="preserve"> (Notice ARC 8999B,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Emergency After Notice ARC 9906B</w:t>
      </w:r>
      <w:r>
        <w:rPr>
          <w:rFonts w:ascii="Times New Roman" w:hAnsi="Times New Roman"/>
          <w:b w:val="false"/>
          <w:i w:val="false"/>
          <w:color w:val="000000"/>
          <w:sz w:val="21"/>
        </w:rPr>
        <w:t xml:space="preserve"> (Notice ARC 9736B, IAB 9/7/11)</w:t>
      </w:r>
      <w:r>
        <w:rPr>
          <w:rFonts w:ascii="Times New Roman" w:hAnsi="Times New Roman"/>
          <w:b w:val="false"/>
          <w:i w:val="false"/>
          <w:color w:val="000000"/>
          <w:sz w:val="21"/>
        </w:rPr>
        <w:t>, IAB 12/14/11, effective 11/16/11]</w:t>
      </w:r>
    </w:p>
    <w:p>
      <w:pPr>
        <w:spacing w:before="0" w:after="0"/>
        <w:ind w:left="120"/>
        <w:jc w:val="center"/>
      </w:pPr>
      <w:r>
        <w:rPr>
          <w:rFonts w:ascii="Times New Roman" w:hAnsi="Times New Roman"/>
          <w:b w:val="false"/>
          <w:i w:val="false"/>
          <w:color w:val="000000"/>
          <w:sz w:val="21"/>
        </w:rPr>
        <w:t>[Filed ARC 0330C</w:t>
      </w:r>
      <w:r>
        <w:rPr>
          <w:rFonts w:ascii="Times New Roman" w:hAnsi="Times New Roman"/>
          <w:b w:val="false"/>
          <w:i w:val="false"/>
          <w:color w:val="000000"/>
          <w:sz w:val="21"/>
        </w:rPr>
        <w:t xml:space="preserve"> (Notice ARC 0087C, IAB 4/18/12; </w:t>
      </w:r>
      <w:r>
        <w:rPr>
          <w:rFonts w:ascii="Times New Roman" w:hAnsi="Times New Roman"/>
          <w:b w:val="false"/>
          <w:i w:val="false"/>
          <w:color w:val="000000"/>
          <w:sz w:val="21"/>
        </w:rPr>
        <w:t>Amended Notice ARC 0162C, IAB 6/13/12)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1013C</w:t>
      </w:r>
      <w:r>
        <w:rPr>
          <w:rFonts w:ascii="Times New Roman" w:hAnsi="Times New Roman"/>
          <w:b w:val="false"/>
          <w:i w:val="false"/>
          <w:color w:val="000000"/>
          <w:sz w:val="21"/>
        </w:rPr>
        <w:t xml:space="preserve"> (Notice ARC 0785C, IAB 6/12/13)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1227C</w:t>
      </w:r>
      <w:r>
        <w:rPr>
          <w:rFonts w:ascii="Times New Roman" w:hAnsi="Times New Roman"/>
          <w:b w:val="false"/>
          <w:i w:val="false"/>
          <w:color w:val="000000"/>
          <w:sz w:val="21"/>
        </w:rPr>
        <w:t xml:space="preserve"> (Notice ARC 1016C,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1561C</w:t>
      </w:r>
      <w:r>
        <w:rPr>
          <w:rFonts w:ascii="Times New Roman" w:hAnsi="Times New Roman"/>
          <w:b w:val="false"/>
          <w:i w:val="false"/>
          <w:color w:val="000000"/>
          <w:sz w:val="21"/>
        </w:rPr>
        <w:t xml:space="preserve"> (Notice ARC 1458C, IAB 5/14/14)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3440C</w:t>
      </w:r>
      <w:r>
        <w:rPr>
          <w:rFonts w:ascii="Times New Roman" w:hAnsi="Times New Roman"/>
          <w:b w:val="false"/>
          <w:i w:val="false"/>
          <w:color w:val="000000"/>
          <w:sz w:val="21"/>
        </w:rPr>
        <w:t xml:space="preserve"> (Notice ARC 2895C, IAB 1/18/17; </w:t>
      </w:r>
      <w:r>
        <w:rPr>
          <w:rFonts w:ascii="Times New Roman" w:hAnsi="Times New Roman"/>
          <w:b w:val="false"/>
          <w:i w:val="false"/>
          <w:color w:val="000000"/>
          <w:sz w:val="21"/>
        </w:rPr>
        <w:t>Amended Notice ARC 3251C,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5/9/18]</w:t>
      </w:r>
    </w:p>
    <w:p>
      <w:pPr>
        <w:spacing w:before="0" w:after="0"/>
        <w:ind w:left="120"/>
        <w:jc w:val="center"/>
      </w:pPr>
      <w:r>
        <w:rPr>
          <w:rFonts w:ascii="Times New Roman" w:hAnsi="Times New Roman"/>
          <w:b w:val="false"/>
          <w:i w:val="false"/>
          <w:color w:val="000000"/>
          <w:sz w:val="21"/>
        </w:rPr>
        <w:t>[Filed ARC 4335C</w:t>
      </w:r>
      <w:r>
        <w:rPr>
          <w:rFonts w:ascii="Times New Roman" w:hAnsi="Times New Roman"/>
          <w:b w:val="false"/>
          <w:i w:val="false"/>
          <w:color w:val="000000"/>
          <w:sz w:val="21"/>
        </w:rPr>
        <w:t xml:space="preserve"> (Notice ARC 4178C, IAB 12/19/18)</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5898C</w:t>
      </w:r>
      <w:r>
        <w:rPr>
          <w:rFonts w:ascii="Times New Roman" w:hAnsi="Times New Roman"/>
          <w:b w:val="false"/>
          <w:i w:val="false"/>
          <w:color w:val="000000"/>
          <w:sz w:val="21"/>
        </w:rPr>
        <w:t xml:space="preserve"> (Notice ARC 5678C,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6271C</w:t>
      </w:r>
      <w:r>
        <w:rPr>
          <w:rFonts w:ascii="Times New Roman" w:hAnsi="Times New Roman"/>
          <w:b w:val="false"/>
          <w:i w:val="false"/>
          <w:color w:val="000000"/>
          <w:sz w:val="21"/>
        </w:rPr>
        <w:t xml:space="preserve"> (Notice ARC 6144C, IAB 1/12/22)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6873C</w:t>
      </w:r>
      <w:r>
        <w:rPr>
          <w:rFonts w:ascii="Times New Roman" w:hAnsi="Times New Roman"/>
          <w:b w:val="false"/>
          <w:i w:val="false"/>
          <w:color w:val="000000"/>
          <w:sz w:val="21"/>
        </w:rPr>
        <w:t xml:space="preserve"> (Notice ARC 6631C,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7951C</w:t>
      </w:r>
      <w:r>
        <w:rPr>
          <w:rFonts w:ascii="Times New Roman" w:hAnsi="Times New Roman"/>
          <w:b w:val="false"/>
          <w:i w:val="false"/>
          <w:color w:val="000000"/>
          <w:sz w:val="21"/>
        </w:rPr>
        <w:t xml:space="preserve"> (Notice ARC 7228C,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7/23/25]</w:t>
      </w:r>
    </w:p>
    <w:p>
      <w:pPr>
        <w:spacing w:before="0" w:after="0"/>
        <w:ind w:left="120"/>
        <w:jc w:val="center"/>
      </w:pPr>
      <w:r>
        <w:rPr>
          <w:rFonts w:ascii="Times New Roman" w:hAnsi="Times New Roman"/>
          <w:b w:val="false"/>
          <w:i w:val="false"/>
          <w:color w:val="000000"/>
          <w:sz w:val="21"/>
        </w:rPr>
        <w:t>[Editorial change: IAC Supplement 1/7/26]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22.1(455B) [DEQ, 3.1] delayed by the Administrative Rules Review Committee 70 days from June 21, 1978. The Administrative Rules Review Committee at the August 15, 1978 meeting delayed 22.1 [DEQ, 3.1] under provisions of 67GA, SF244, §19. (See HJR 6, 1/22/79).</w:t>
      </w:r>
    </w:p>
    <w:p>
      <w:pPr>
        <w:pBdr>
          <w:bottom w:space="2"/>
        </w:pBdr>
        <w:spacing w:before="0" w:after="0"/>
        <w:ind w:left="120"/>
        <w:jc w:val="both"/>
      </w:pPr>
      <w:r>
        <w:rPr>
          <w:rFonts w:ascii="Times New Roman" w:hAnsi="Times New Roman"/>
          <w:b w:val="false"/>
          <w:i w:val="false"/>
          <w:color w:val="000000"/>
          <w:sz w:val="22"/>
        </w:rPr>
        <w:t>Effective date of 22.100(455B), definition of “12-month rolling period”; 22.200(455B); 22.201(1)</w:t>
      </w:r>
      <w:r>
        <w:rPr>
          <w:rFonts w:ascii="Times New Roman" w:hAnsi="Times New Roman"/>
          <w:b w:val="false"/>
          <w:i/>
          <w:color w:val="000000"/>
          <w:sz w:val="22"/>
        </w:rPr>
        <w:t>“a,” “b,”</w:t>
      </w:r>
      <w:r>
        <w:rPr>
          <w:rFonts w:ascii="Times New Roman" w:hAnsi="Times New Roman"/>
          <w:b w:val="false"/>
          <w:i w:val="false"/>
          <w:color w:val="000000"/>
          <w:sz w:val="22"/>
        </w:rPr>
        <w:t>; 22.201(2)</w:t>
      </w:r>
      <w:r>
        <w:rPr>
          <w:rFonts w:ascii="Times New Roman" w:hAnsi="Times New Roman"/>
          <w:b w:val="false"/>
          <w:i/>
          <w:color w:val="000000"/>
          <w:sz w:val="22"/>
        </w:rPr>
        <w:t>“a”</w:t>
      </w:r>
      <w:r>
        <w:rPr>
          <w:rFonts w:ascii="Times New Roman" w:hAnsi="Times New Roman"/>
          <w:b w:val="false"/>
          <w:i w:val="false"/>
          <w:color w:val="000000"/>
          <w:sz w:val="22"/>
        </w:rPr>
        <w:t>; 22.206(2)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at its meeting held October 10, 1995; delay lifted by this Committee December 13, 1995, effective December 14, 1995.</w:t>
      </w:r>
    </w:p>
    <w:p>
      <w:pPr>
        <w:pBdr>
          <w:bottom w:space="2"/>
        </w:pBdr>
        <w:spacing w:before="0" w:after="0"/>
        <w:ind w:left="120"/>
        <w:jc w:val="both"/>
      </w:pPr>
      <w:r>
        <w:rPr>
          <w:rFonts w:ascii="Times New Roman" w:hAnsi="Times New Roman"/>
          <w:b w:val="false"/>
          <w:i w:val="false"/>
          <w:color w:val="000000"/>
          <w:sz w:val="22"/>
        </w:rPr>
        <w:t>Effective date of 22.300 delayed 70 days by the Administrative Rules Review Committee at its meeting held June 11, 1996; delay lifted by this Committee at its meeting held June 12, 1996, effective June 12, 1996.</w:t>
      </w:r>
    </w:p>
    <w:p>
      <w:pPr>
        <w:pBdr>
          <w:bottom w:space="2"/>
        </w:pBdr>
        <w:spacing w:before="0" w:after="0"/>
        <w:ind w:left="120"/>
        <w:jc w:val="both"/>
      </w:pPr>
      <w:r>
        <w:rPr>
          <w:rFonts w:ascii="Times New Roman" w:hAnsi="Times New Roman"/>
          <w:b w:val="false"/>
          <w:i w:val="false"/>
          <w:color w:val="000000"/>
          <w:sz w:val="22"/>
        </w:rPr>
        <w:t xml:space="preserve">Effective date of 22.1(2), unnumbered introductory paragraphs and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delayed 70 days by the Administrative Rules Review Committee at its meeting held March 9, 2001.</w:t>
      </w:r>
    </w:p>
    <w:sectPr>
      <w:footerReference r:id="rId22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20.pdf" Type="http://schemas.openxmlformats.org/officeDocument/2006/relationships/hyperlink" Id="rId5"/>
    <Relationship TargetMode="External" Target="https://www.legis.iowa.gov/docs/iac/chapter/567.35.pdf" Type="http://schemas.openxmlformats.org/officeDocument/2006/relationships/hyperlink" Id="rId6"/>
    <Relationship TargetMode="External" Target="https://www.legis.iowa.gov/docs/iac/chapter/567.2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455B.101.pdf" Type="http://schemas.openxmlformats.org/officeDocument/2006/relationships/hyperlink" Id="rId9"/>
    <Relationship TargetMode="External" Target="https://www.legis.iowa.gov/docs/ico/chapter/455B.131.pdf" Type="http://schemas.openxmlformats.org/officeDocument/2006/relationships/hyperlink" Id="rId10"/>
    <Relationship TargetMode="External" Target="https://www.legis.iowa.gov/docs/ico/chapter/455B.411.pdf" Type="http://schemas.openxmlformats.org/officeDocument/2006/relationships/hyperlink" Id="rId11"/>
    <Relationship TargetMode="External" Target="https://www.legis.iowa.gov/docs/iac/chapter/567.20.pdf" Type="http://schemas.openxmlformats.org/officeDocument/2006/relationships/hyperlink" Id="rId12"/>
    <Relationship TargetMode="External" Target="https://www.legis.iowa.gov/docs/iac/chapter/567.35.pdf" Type="http://schemas.openxmlformats.org/officeDocument/2006/relationships/hyperlink" Id="rId13"/>
    <Relationship TargetMode="External" Target="https://www.legis.iowa.gov/docs/iac/rule/567.22.10.pdf" Type="http://schemas.openxmlformats.org/officeDocument/2006/relationships/hyperlink" Id="rId14"/>
    <Relationship TargetMode="External" Target="https://www.legis.iowa.gov/docs/iac/chapter/567.22.pdf" Type="http://schemas.openxmlformats.org/officeDocument/2006/relationships/hyperlink" Id="rId15"/>
    <Relationship TargetMode="External" Target="https://www.legis.iowa.gov/docs/iac/chapter/567.20.pdf" Type="http://schemas.openxmlformats.org/officeDocument/2006/relationships/hyperlink" Id="rId16"/>
    <Relationship TargetMode="External" Target="https://www.legis.iowa.gov/docs/iac/chapter/567.35.pdf" Type="http://schemas.openxmlformats.org/officeDocument/2006/relationships/hyperlink" Id="rId17"/>
    <Relationship TargetMode="External" Target="https://www.legis.iowa.gov/docs/iac/chapter/567.20.pdf" Type="http://schemas.openxmlformats.org/officeDocument/2006/relationships/hyperlink" Id="rId18"/>
    <Relationship TargetMode="External" Target="https://www.legis.iowa.gov/docs/iac/chapter/567.35.pdf" Type="http://schemas.openxmlformats.org/officeDocument/2006/relationships/hyperlink" Id="rId19"/>
    <Relationship TargetMode="External" Target="https://www.legis.iowa.gov/docs/iac/rule/567.21.1.pdf" Type="http://schemas.openxmlformats.org/officeDocument/2006/relationships/hyperlink" Id="rId20"/>
    <Relationship TargetMode="External" Target="https://www.legis.iowa.gov/docs/iac/rule/567.21.1.pdf" Type="http://schemas.openxmlformats.org/officeDocument/2006/relationships/hyperlink" Id="rId21"/>
    <Relationship TargetMode="External" Target="https://www.legis.iowa.gov/docs/iac/rule/567.22.10.pdf" Type="http://schemas.openxmlformats.org/officeDocument/2006/relationships/hyperlink" Id="rId22"/>
    <Relationship TargetMode="External" Target="https://www.legis.iowa.gov/docs/iac/rule/567.21.1.pdf" Type="http://schemas.openxmlformats.org/officeDocument/2006/relationships/hyperlink" Id="rId23"/>
    <Relationship TargetMode="External" Target="https://www.legis.iowa.gov/docs/iac/rule/567.22.10.pdf" Type="http://schemas.openxmlformats.org/officeDocument/2006/relationships/hyperlink" Id="rId24"/>
    <Relationship TargetMode="External" Target="https://www.legis.iowa.gov/docs/iac/rule/567.31.3.pdf" Type="http://schemas.openxmlformats.org/officeDocument/2006/relationships/hyperlink" Id="rId25"/>
    <Relationship TargetMode="External" Target="https://www.legis.iowa.gov/docs/iac/rule/567.33.3.pdf" Type="http://schemas.openxmlformats.org/officeDocument/2006/relationships/hyperlink" Id="rId26"/>
    <Relationship TargetMode="External" Target="https://www.legis.iowa.gov/docs/iac/rule/567.22.1.pdf" Type="http://schemas.openxmlformats.org/officeDocument/2006/relationships/hyperlink" Id="rId27"/>
    <Relationship TargetMode="External" Target="https://www.legis.iowa.gov/docs/iac/rule/567.22.1.pdf" Type="http://schemas.openxmlformats.org/officeDocument/2006/relationships/hyperlink" Id="rId28"/>
    <Relationship TargetMode="External" Target="https://www.legis.iowa.gov/docs/iac/rule/567.23.1.pdf" Type="http://schemas.openxmlformats.org/officeDocument/2006/relationships/hyperlink" Id="rId29"/>
    <Relationship TargetMode="External" Target="https://www.legis.iowa.gov/docs/iac/rule/567.22.1.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chapter/567.33.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chapter/567.31.pdf" Type="http://schemas.openxmlformats.org/officeDocument/2006/relationships/hyperlink" Id="rId37"/>
    <Relationship TargetMode="External" Target="https://www.legis.iowa.gov/docs/iac/rule/567.23.1.pdf" Type="http://schemas.openxmlformats.org/officeDocument/2006/relationships/hyperlink" Id="rId38"/>
    <Relationship TargetMode="External" Target="https://www.legis.iowa.gov/docs/iac/rule/567.22.3.pdf" Type="http://schemas.openxmlformats.org/officeDocument/2006/relationships/hyperlink" Id="rId39"/>
    <Relationship TargetMode="External" Target="https://www.legis.iowa.gov/docs/iac/rule/567.22.10.pdf" Type="http://schemas.openxmlformats.org/officeDocument/2006/relationships/hyperlink" Id="rId40"/>
    <Relationship TargetMode="External" Target="https://www.legis.iowa.gov/docs/iac/rule/567.22.10.pdf" Type="http://schemas.openxmlformats.org/officeDocument/2006/relationships/hyperlink" Id="rId41"/>
    <Relationship TargetMode="External" Target="https://www.legis.iowa.gov/docs/iac/rule/567.22.1.pdf" Type="http://schemas.openxmlformats.org/officeDocument/2006/relationships/hyperlink" Id="rId42"/>
    <Relationship TargetMode="External" Target="https://www.legis.iowa.gov/docs/iac/rule/567.22.8.pdf" Type="http://schemas.openxmlformats.org/officeDocument/2006/relationships/hyperlink" Id="rId43"/>
    <Relationship TargetMode="External" Target="https://www.legis.iowa.gov/docs/iac/chapter/567.31.pdf" Type="http://schemas.openxmlformats.org/officeDocument/2006/relationships/hyperlink" Id="rId44"/>
    <Relationship TargetMode="External" Target="https://www.legis.iowa.gov/docs/iac/chapter/567.33.pdf" Type="http://schemas.openxmlformats.org/officeDocument/2006/relationships/hyperlink" Id="rId45"/>
    <Relationship TargetMode="External" Target="https://www.legis.iowa.gov/docs/iac/rule/567.22.1.pdf" Type="http://schemas.openxmlformats.org/officeDocument/2006/relationships/hyperlink" Id="rId46"/>
    <Relationship TargetMode="External" Target="https://www.legis.iowa.gov/docs/iac/rule/567.22.1.pdf" Type="http://schemas.openxmlformats.org/officeDocument/2006/relationships/hyperlink" Id="rId47"/>
    <Relationship TargetMode="External" Target="https://www.legis.iowa.gov/docs/iac/rule/567.22.1.pdf" Type="http://schemas.openxmlformats.org/officeDocument/2006/relationships/hyperlink" Id="rId48"/>
    <Relationship TargetMode="External" Target="https://www.legis.iowa.gov/docs/iac/rule/567.22.1.pdf" Type="http://schemas.openxmlformats.org/officeDocument/2006/relationships/hyperlink" Id="rId49"/>
    <Relationship TargetMode="External" Target="https://www.legis.iowa.gov/docs/iac/rule/567.22.1.pdf" Type="http://schemas.openxmlformats.org/officeDocument/2006/relationships/hyperlink" Id="rId50"/>
    <Relationship TargetMode="External" Target="https://www.legis.iowa.gov/docs/iac/rule/567.22.1.pdf" Type="http://schemas.openxmlformats.org/officeDocument/2006/relationships/hyperlink" Id="rId51"/>
    <Relationship TargetMode="External" Target="https://www.legis.iowa.gov/docs/ico/chapter/198.3.pdf" Type="http://schemas.openxmlformats.org/officeDocument/2006/relationships/hyperlink" Id="rId52"/>
    <Relationship TargetMode="External" Target="https://www.legis.iowa.gov/docs/ico/chapter/172D.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1.1.pdf" Type="http://schemas.openxmlformats.org/officeDocument/2006/relationships/hyperlink" Id="rId55"/>
    <Relationship TargetMode="External" Target="https://www.legis.iowa.gov/docs/iac/rule/567.24.100.pdf" Type="http://schemas.openxmlformats.org/officeDocument/2006/relationships/hyperlink" Id="rId56"/>
    <Relationship TargetMode="External" Target="https://www.legis.iowa.gov/docs/iac/chapter/567.31.pdf" Type="http://schemas.openxmlformats.org/officeDocument/2006/relationships/hyperlink" Id="rId57"/>
    <Relationship TargetMode="External" Target="https://www.legis.iowa.gov/docs/iac/chapter/567.33.pdf" Type="http://schemas.openxmlformats.org/officeDocument/2006/relationships/hyperlink" Id="rId58"/>
    <Relationship TargetMode="External" Target="https://www.legis.iowa.gov/docs/iac/rule/567.24.100.pdf" Type="http://schemas.openxmlformats.org/officeDocument/2006/relationships/hyperlink" Id="rId59"/>
    <Relationship TargetMode="External" Target="https://www.legis.iowa.gov/docs/iac/rule/567.33.3.pdf" Type="http://schemas.openxmlformats.org/officeDocument/2006/relationships/hyperlink" Id="rId60"/>
    <Relationship TargetMode="External" Target="https://www.legis.iowa.gov/docs/iac/rule/567.22.11.pdf" Type="http://schemas.openxmlformats.org/officeDocument/2006/relationships/hyperlink" Id="rId61"/>
    <Relationship TargetMode="External" Target="https://www.legis.iowa.gov/docs/iac/rule/567.24.100.pdf" Type="http://schemas.openxmlformats.org/officeDocument/2006/relationships/hyperlink" Id="rId62"/>
    <Relationship TargetMode="External" Target="https://www.legis.iowa.gov/docs/iac/rule/567.23.1.pdf" Type="http://schemas.openxmlformats.org/officeDocument/2006/relationships/hyperlink" Id="rId63"/>
    <Relationship TargetMode="External" Target="https://www.legis.iowa.gov/docs/ico/chapter/455B.161.pdf" Type="http://schemas.openxmlformats.org/officeDocument/2006/relationships/hyperlink" Id="rId64"/>
    <Relationship TargetMode="External" Target="https://www.legis.iowa.gov/docs/iac/rule/567.24.100.pdf" Type="http://schemas.openxmlformats.org/officeDocument/2006/relationships/hyperlink" Id="rId65"/>
    <Relationship TargetMode="External" Target="https://www.legis.iowa.gov/docs/iac/rule/567.22.1.pdf" Type="http://schemas.openxmlformats.org/officeDocument/2006/relationships/hyperlink" Id="rId66"/>
    <Relationship TargetMode="External" Target="https://www.legis.iowa.gov/docs/iac/rule/567.22.1.pdf" Type="http://schemas.openxmlformats.org/officeDocument/2006/relationships/hyperlink" Id="rId67"/>
    <Relationship TargetMode="External" Target="https://www.legis.iowa.gov/docs/iac/rule/567.24.100.pdf" Type="http://schemas.openxmlformats.org/officeDocument/2006/relationships/hyperlink" Id="rId68"/>
    <Relationship TargetMode="External" Target="https://www.legis.iowa.gov/docs/iac/rule/567.24.100.pdf" Type="http://schemas.openxmlformats.org/officeDocument/2006/relationships/hyperlink" Id="rId69"/>
    <Relationship TargetMode="External" Target="https://www.legis.iowa.gov/docs/iac/rule/567.23.1.pdf" Type="http://schemas.openxmlformats.org/officeDocument/2006/relationships/hyperlink" Id="rId70"/>
    <Relationship TargetMode="External" Target="https://www.legis.iowa.gov/docs/iac/rule/567.23.1.pdf" Type="http://schemas.openxmlformats.org/officeDocument/2006/relationships/hyperlink" Id="rId71"/>
    <Relationship TargetMode="External" Target="https://www.legis.iowa.gov/docs/iac/rule/567.24.100.pdf" Type="http://schemas.openxmlformats.org/officeDocument/2006/relationships/hyperlink" Id="rId72"/>
    <Relationship TargetMode="External" Target="https://www.legis.iowa.gov/docs/iac/rule/567.22.4.pdf" Type="http://schemas.openxmlformats.org/officeDocument/2006/relationships/hyperlink" Id="rId73"/>
    <Relationship TargetMode="External" Target="https://www.legis.iowa.gov/docs/iac/rule/567.24.101.pdf" Type="http://schemas.openxmlformats.org/officeDocument/2006/relationships/hyperlink" Id="rId74"/>
    <Relationship TargetMode="External" Target="https://www.legis.iowa.gov/docs/iac/rule/567.22.1.pdf" Type="http://schemas.openxmlformats.org/officeDocument/2006/relationships/hyperlink" Id="rId75"/>
    <Relationship TargetMode="External" Target="https://www.legis.iowa.gov/docs/iac/rule/567.22.1.pdf" Type="http://schemas.openxmlformats.org/officeDocument/2006/relationships/hyperlink" Id="rId76"/>
    <Relationship TargetMode="External" Target="https://www.legis.iowa.gov/docs/iac/rule/567.22.1.pdf" Type="http://schemas.openxmlformats.org/officeDocument/2006/relationships/hyperlink" Id="rId77"/>
    <Relationship TargetMode="External" Target="https://www.legis.iowa.gov/docs/iac/rule/567.22.1.pdf" Type="http://schemas.openxmlformats.org/officeDocument/2006/relationships/hyperlink" Id="rId78"/>
    <Relationship TargetMode="External" Target="https://www.legis.iowa.gov/docs/iac/rule/567.22.1.pdf" Type="http://schemas.openxmlformats.org/officeDocument/2006/relationships/hyperlink" Id="rId79"/>
    <Relationship TargetMode="External" Target="https://www.legis.iowa.gov/docs/iac/rule/567.22.1.pdf" Type="http://schemas.openxmlformats.org/officeDocument/2006/relationships/hyperlink" Id="rId80"/>
    <Relationship TargetMode="External" Target="https://www.legis.iowa.gov/docs/iac/rule/567.22.1.pdf" Type="http://schemas.openxmlformats.org/officeDocument/2006/relationships/hyperlink" Id="rId81"/>
    <Relationship TargetMode="External" Target="https://www.legis.iowa.gov/docs/iac/rule/567.24.100.pdf" Type="http://schemas.openxmlformats.org/officeDocument/2006/relationships/hyperlink" Id="rId82"/>
    <Relationship TargetMode="External" Target="https://www.legis.iowa.gov/docs/iac/rule/567.24.100.pdf" Type="http://schemas.openxmlformats.org/officeDocument/2006/relationships/hyperlink" Id="rId83"/>
    <Relationship TargetMode="External" Target="https://www.legis.iowa.gov/docs/iac/rule/567.24.100.pdf" Type="http://schemas.openxmlformats.org/officeDocument/2006/relationships/hyperlink" Id="rId84"/>
    <Relationship TargetMode="External" Target="https://www.legis.iowa.gov/docs/iac/rule/567.23.1.pdf" Type="http://schemas.openxmlformats.org/officeDocument/2006/relationships/hyperlink" Id="rId85"/>
    <Relationship TargetMode="External" Target="https://www.legis.iowa.gov/docs/iac/rule/567.23.1.pdf" Type="http://schemas.openxmlformats.org/officeDocument/2006/relationships/hyperlink" Id="rId86"/>
    <Relationship TargetMode="External" Target="https://www.legis.iowa.gov/docs/iac/rule/567.23.1.pdf" Type="http://schemas.openxmlformats.org/officeDocument/2006/relationships/hyperlink" Id="rId87"/>
    <Relationship TargetMode="External" Target="https://www.legis.iowa.gov/docs/iac/rule/567.22.1.pdf" Type="http://schemas.openxmlformats.org/officeDocument/2006/relationships/hyperlink" Id="rId88"/>
    <Relationship TargetMode="External" Target="https://www.legis.iowa.gov/docs/iac/rule/567.22.1.pdf" Type="http://schemas.openxmlformats.org/officeDocument/2006/relationships/hyperlink" Id="rId89"/>
    <Relationship TargetMode="External" Target="https://www.legis.iowa.gov/docs/iac/rule/567.22.1.pdf" Type="http://schemas.openxmlformats.org/officeDocument/2006/relationships/hyperlink" Id="rId90"/>
    <Relationship TargetMode="External" Target="https://www.legis.iowa.gov/docs/iac/rule/567.2.1.pdf" Type="http://schemas.openxmlformats.org/officeDocument/2006/relationships/hyperlink" Id="rId91"/>
    <Relationship TargetMode="External" Target="https://www.legis.iowa.gov/docs/iac/rule/567.24.100.pdf" Type="http://schemas.openxmlformats.org/officeDocument/2006/relationships/hyperlink" Id="rId92"/>
    <Relationship TargetMode="External" Target="https://www.legis.iowa.gov/docs/iac/rule/567.22.1.pdf" Type="http://schemas.openxmlformats.org/officeDocument/2006/relationships/hyperlink" Id="rId93"/>
    <Relationship TargetMode="External" Target="https://www.legis.iowa.gov/docs/iac/rule/567.22.4.pdf" Type="http://schemas.openxmlformats.org/officeDocument/2006/relationships/hyperlink" Id="rId94"/>
    <Relationship TargetMode="External" Target="https://www.legis.iowa.gov/docs/iac/rule/567.24.101.pdf" Type="http://schemas.openxmlformats.org/officeDocument/2006/relationships/hyperlink" Id="rId95"/>
    <Relationship TargetMode="External" Target="https://www.legis.iowa.gov/docs/iac/chapter/567.211.pdf" Type="http://schemas.openxmlformats.org/officeDocument/2006/relationships/hyperlink" Id="rId96"/>
    <Relationship TargetMode="External" Target="https://www.legis.iowa.gov/docs/iac/rule/567.24.100.pdf" Type="http://schemas.openxmlformats.org/officeDocument/2006/relationships/hyperlink" Id="rId97"/>
    <Relationship TargetMode="External" Target="https://www.legis.iowa.gov/docs/iac/rule/567.22.1.pdf" Type="http://schemas.openxmlformats.org/officeDocument/2006/relationships/hyperlink" Id="rId98"/>
    <Relationship TargetMode="External" Target="https://www.legis.iowa.gov/docs/iac/rule/567.22.10.pdf" Type="http://schemas.openxmlformats.org/officeDocument/2006/relationships/hyperlink" Id="rId99"/>
    <Relationship TargetMode="External" Target="https://www.legis.iowa.gov/docs/iac/chapter/567.22.pdf" Type="http://schemas.openxmlformats.org/officeDocument/2006/relationships/hyperlink" Id="rId100"/>
    <Relationship TargetMode="External" Target="https://www.legis.iowa.gov/docs/iac/chapter/567.65.pdf" Type="http://schemas.openxmlformats.org/officeDocument/2006/relationships/hyperlink" Id="rId101"/>
    <Relationship TargetMode="External" Target="https://www.legis.iowa.gov/docs/iac/chapter/567.30.pdf" Type="http://schemas.openxmlformats.org/officeDocument/2006/relationships/hyperlink" Id="rId102"/>
    <Relationship TargetMode="External" Target="https://www.legis.iowa.gov/docs/ico/chapter/542B.1.pdf" Type="http://schemas.openxmlformats.org/officeDocument/2006/relationships/hyperlink" Id="rId103"/>
    <Relationship TargetMode="External" Target="https://www.legis.iowa.gov/docs/ico/chapter/542B.26.pdf" Type="http://schemas.openxmlformats.org/officeDocument/2006/relationships/hyperlink" Id="rId104"/>
    <Relationship TargetMode="External" Target="https://www.legis.iowa.gov/docs/iac/rule/567.22.4.pdf" Type="http://schemas.openxmlformats.org/officeDocument/2006/relationships/hyperlink" Id="rId105"/>
    <Relationship TargetMode="External" Target="https://www.legis.iowa.gov/docs/iac/rule/567.22.5.pdf" Type="http://schemas.openxmlformats.org/officeDocument/2006/relationships/hyperlink" Id="rId106"/>
    <Relationship TargetMode="External" Target="https://www.legis.iowa.gov/docs/iac/rule/567.31.3.pdf" Type="http://schemas.openxmlformats.org/officeDocument/2006/relationships/hyperlink" Id="rId107"/>
    <Relationship TargetMode="External" Target="https://www.legis.iowa.gov/docs/iac/rule/567.33.3.pdf" Type="http://schemas.openxmlformats.org/officeDocument/2006/relationships/hyperlink" Id="rId108"/>
    <Relationship TargetMode="External" Target="https://www.legis.iowa.gov/docs/iac/chapter/567.30.pdf" Type="http://schemas.openxmlformats.org/officeDocument/2006/relationships/hyperlink" Id="rId109"/>
    <Relationship TargetMode="External" Target="https://www.legis.iowa.gov/docs/iac/rule/567.22.1.pdf" Type="http://schemas.openxmlformats.org/officeDocument/2006/relationships/hyperlink" Id="rId110"/>
    <Relationship TargetMode="External" Target="https://www.legis.iowa.gov/docs/iac/rule/567.22.4.pdf" Type="http://schemas.openxmlformats.org/officeDocument/2006/relationships/hyperlink" Id="rId111"/>
    <Relationship TargetMode="External" Target="https://www.legis.iowa.gov/docs/iac/rule/567.22.5.pdf" Type="http://schemas.openxmlformats.org/officeDocument/2006/relationships/hyperlink" Id="rId112"/>
    <Relationship TargetMode="External" Target="https://www.legis.iowa.gov/docs/iac/rule/567.22.8.pdf" Type="http://schemas.openxmlformats.org/officeDocument/2006/relationships/hyperlink" Id="rId113"/>
    <Relationship TargetMode="External" Target="https://www.legis.iowa.gov/docs/iac/rule/567.22.10.pdf" Type="http://schemas.openxmlformats.org/officeDocument/2006/relationships/hyperlink" Id="rId114"/>
    <Relationship TargetMode="External" Target="https://www.legis.iowa.gov/docs/iac/chapter/567.31.pdf" Type="http://schemas.openxmlformats.org/officeDocument/2006/relationships/hyperlink" Id="rId115"/>
    <Relationship TargetMode="External" Target="https://www.legis.iowa.gov/docs/iac/chapter/567.33.pdf" Type="http://schemas.openxmlformats.org/officeDocument/2006/relationships/hyperlink" Id="rId116"/>
    <Relationship TargetMode="External" Target="https://www.legis.iowa.gov/docs/iac/chapter/567.30.pdf" Type="http://schemas.openxmlformats.org/officeDocument/2006/relationships/hyperlink" Id="rId117"/>
    <Relationship TargetMode="External" Target="https://www.legis.iowa.gov/docs/iac/chapter/567.65.pdf" Type="http://schemas.openxmlformats.org/officeDocument/2006/relationships/hyperlink" Id="rId118"/>
    <Relationship TargetMode="External" Target="https://www.legis.iowa.gov/docs/iac/rule/567.60.2.pdf" Type="http://schemas.openxmlformats.org/officeDocument/2006/relationships/hyperlink" Id="rId119"/>
    <Relationship TargetMode="External" Target="https://www.legis.iowa.gov/docs/ico/chapter/476A.pdf" Type="http://schemas.openxmlformats.org/officeDocument/2006/relationships/hyperlink" Id="rId120"/>
    <Relationship TargetMode="External" Target="https://www.legis.iowa.gov/docs/iac/rule/567.22.11.pdf" Type="http://schemas.openxmlformats.org/officeDocument/2006/relationships/hyperlink" Id="rId121"/>
    <Relationship TargetMode="External" Target="https://www.legis.iowa.gov/docs/iac/rule/567.23.1.pdf" Type="http://schemas.openxmlformats.org/officeDocument/2006/relationships/hyperlink" Id="rId122"/>
    <Relationship TargetMode="External" Target="https://www.legis.iowa.gov/docs/iac/rule/567.23.5.pdf" Type="http://schemas.openxmlformats.org/officeDocument/2006/relationships/hyperlink" Id="rId123"/>
    <Relationship TargetMode="External" Target="https://www.legis.iowa.gov/docs/iac/chapter/567.65.pdf" Type="http://schemas.openxmlformats.org/officeDocument/2006/relationships/hyperlink" Id="rId124"/>
    <Relationship TargetMode="External" Target="https://www.legis.iowa.gov/docs/iac/rule/567.22.3.pdf" Type="http://schemas.openxmlformats.org/officeDocument/2006/relationships/hyperlink" Id="rId125"/>
    <Relationship TargetMode="External" Target="https://www.legis.iowa.gov/docs/iac/rule/567.24.100.pdf" Type="http://schemas.openxmlformats.org/officeDocument/2006/relationships/hyperlink" Id="rId126"/>
    <Relationship TargetMode="External" Target="https://www.legis.iowa.gov/docs/iac/rule/567.22.1.pdf" Type="http://schemas.openxmlformats.org/officeDocument/2006/relationships/hyperlink" Id="rId127"/>
    <Relationship TargetMode="External" Target="https://www.legis.iowa.gov/docs/iac/chapter/567.33.pdf" Type="http://schemas.openxmlformats.org/officeDocument/2006/relationships/hyperlink" Id="rId128"/>
    <Relationship TargetMode="External" Target="https://www.legis.iowa.gov/docs/iac/chapter/567.30.pdf" Type="http://schemas.openxmlformats.org/officeDocument/2006/relationships/hyperlink" Id="rId129"/>
    <Relationship TargetMode="External" Target="https://www.legis.iowa.gov/docs/iac/rule/567.31.20.pdf" Type="http://schemas.openxmlformats.org/officeDocument/2006/relationships/hyperlink" Id="rId130"/>
    <Relationship TargetMode="External" Target="https://www.legis.iowa.gov/docs/iac/chapter/567.30.pdf" Type="http://schemas.openxmlformats.org/officeDocument/2006/relationships/hyperlink" Id="rId131"/>
    <Relationship TargetMode="External" Target="https://www.legis.iowa.gov/docs/iac/rule/567.23.3.pdf" Type="http://schemas.openxmlformats.org/officeDocument/2006/relationships/hyperlink" Id="rId132"/>
    <Relationship TargetMode="External" Target="https://www.legis.iowa.gov/docs/iac/rule/567.23.3.pdf" Type="http://schemas.openxmlformats.org/officeDocument/2006/relationships/hyperlink" Id="rId133"/>
    <Relationship TargetMode="External" Target="https://www.legis.iowa.gov/docs/iac/rule/567.23.3.pdf" Type="http://schemas.openxmlformats.org/officeDocument/2006/relationships/hyperlink" Id="rId134"/>
    <Relationship TargetMode="External" Target="https://www.legis.iowa.gov/docs/iac/rule/567.23.3.pdf" Type="http://schemas.openxmlformats.org/officeDocument/2006/relationships/hyperlink" Id="rId135"/>
    <Relationship TargetMode="External" Target="https://www.legis.iowa.gov/docs/iac/rule/567.23.4.pdf" Type="http://schemas.openxmlformats.org/officeDocument/2006/relationships/hyperlink" Id="rId136"/>
    <Relationship TargetMode="External" Target="https://www.legis.iowa.gov/docs/iac/rule/567.23.4.pdf" Type="http://schemas.openxmlformats.org/officeDocument/2006/relationships/hyperlink" Id="rId137"/>
    <Relationship TargetMode="External" Target="https://www.legis.iowa.gov/docs/iac/rule/567.23.4.pdf" Type="http://schemas.openxmlformats.org/officeDocument/2006/relationships/hyperlink" Id="rId138"/>
    <Relationship TargetMode="External" Target="https://www.legis.iowa.gov/docs/iac/rule/567.23.1.pdf" Type="http://schemas.openxmlformats.org/officeDocument/2006/relationships/hyperlink" Id="rId139"/>
    <Relationship TargetMode="External" Target="https://www.legis.iowa.gov/docs/iac/rule/567.24.100.pdf" Type="http://schemas.openxmlformats.org/officeDocument/2006/relationships/hyperlink" Id="rId140"/>
    <Relationship TargetMode="External" Target="https://www.legis.iowa.gov/docs/iac/chapter/567.30.pdf" Type="http://schemas.openxmlformats.org/officeDocument/2006/relationships/hyperlink" Id="rId141"/>
    <Relationship TargetMode="External" Target="https://www.legis.iowa.gov/docs/iac/chapter/567.22.pdf" Type="http://schemas.openxmlformats.org/officeDocument/2006/relationships/hyperlink" Id="rId142"/>
    <Relationship TargetMode="External" Target="https://www.legis.iowa.gov/docs/iac/rule/567.22.8.pdf" Type="http://schemas.openxmlformats.org/officeDocument/2006/relationships/hyperlink" Id="rId143"/>
    <Relationship TargetMode="External" Target="https://www.legis.iowa.gov/docs/iac/rule/567.22.1.pdf" Type="http://schemas.openxmlformats.org/officeDocument/2006/relationships/hyperlink" Id="rId144"/>
    <Relationship TargetMode="External" Target="https://www.legis.iowa.gov/docs/iac/rule/567.22.1.pdf" Type="http://schemas.openxmlformats.org/officeDocument/2006/relationships/hyperlink" Id="rId145"/>
    <Relationship TargetMode="External" Target="https://www.legis.iowa.gov/docs/iac/rule/567.22.8.pdf" Type="http://schemas.openxmlformats.org/officeDocument/2006/relationships/hyperlink" Id="rId146"/>
    <Relationship TargetMode="External" Target="https://www.legis.iowa.gov/docs/iac/chapter/567.22.pdf" Type="http://schemas.openxmlformats.org/officeDocument/2006/relationships/hyperlink" Id="rId147"/>
    <Relationship TargetMode="External" Target="https://www.legis.iowa.gov/docs/iac/rule/567.22.8.pdf" Type="http://schemas.openxmlformats.org/officeDocument/2006/relationships/hyperlink" Id="rId148"/>
    <Relationship TargetMode="External" Target="https://www.legis.iowa.gov/docs/iac/rule/567.22.1.pdf" Type="http://schemas.openxmlformats.org/officeDocument/2006/relationships/hyperlink" Id="rId149"/>
    <Relationship TargetMode="External" Target="https://www.legis.iowa.gov/docs/iac/rule/567.22.1.pdf" Type="http://schemas.openxmlformats.org/officeDocument/2006/relationships/hyperlink" Id="rId150"/>
    <Relationship TargetMode="External" Target="https://www.legis.iowa.gov/docs/iac/rule/567.22.8.pdf" Type="http://schemas.openxmlformats.org/officeDocument/2006/relationships/hyperlink" Id="rId151"/>
    <Relationship TargetMode="External" Target="https://www.legis.iowa.gov/docs/iac/rule/567.22.1.pdf" Type="http://schemas.openxmlformats.org/officeDocument/2006/relationships/hyperlink" Id="rId152"/>
    <Relationship TargetMode="External" Target="https://www.legis.iowa.gov/docs/iac/rule/567.22.1.pdf" Type="http://schemas.openxmlformats.org/officeDocument/2006/relationships/hyperlink" Id="rId153"/>
    <Relationship TargetMode="External" Target="https://www.legis.iowa.gov/docs/iac/rule/567.22.8.pdf" Type="http://schemas.openxmlformats.org/officeDocument/2006/relationships/hyperlink" Id="rId154"/>
    <Relationship TargetMode="External" Target="https://www.legis.iowa.gov/docs/iac/rule/567.23.4.pdf" Type="http://schemas.openxmlformats.org/officeDocument/2006/relationships/hyperlink" Id="rId155"/>
    <Relationship TargetMode="External" Target="https://www.legis.iowa.gov/docs/iac/rule/567.22.9.pdf" Type="http://schemas.openxmlformats.org/officeDocument/2006/relationships/hyperlink" Id="rId156"/>
    <Relationship TargetMode="External" Target="https://www.legis.iowa.gov/docs/iac/rule/567.22.9.pdf" Type="http://schemas.openxmlformats.org/officeDocument/2006/relationships/hyperlink" Id="rId157"/>
    <Relationship TargetMode="External" Target="https://www.legis.iowa.gov/docs/iac/rule/567.22.9.pdf" Type="http://schemas.openxmlformats.org/officeDocument/2006/relationships/hyperlink" Id="rId158"/>
    <Relationship TargetMode="External" Target="https://www.legis.iowa.gov/docs/iac/rule/567.22.9.pdf" Type="http://schemas.openxmlformats.org/officeDocument/2006/relationships/hyperlink" Id="rId159"/>
    <Relationship TargetMode="External" Target="https://www.legis.iowa.gov/docs/iac/rule/567.22.10.pdf" Type="http://schemas.openxmlformats.org/officeDocument/2006/relationships/hyperlink" Id="rId160"/>
    <Relationship TargetMode="External" Target="https://www.legis.iowa.gov/docs/iac/rule/567.22.1.pdf" Type="http://schemas.openxmlformats.org/officeDocument/2006/relationships/hyperlink" Id="rId161"/>
    <Relationship TargetMode="External" Target="https://www.legis.iowa.gov/docs/iac/chapter/567.23.pdf" Type="http://schemas.openxmlformats.org/officeDocument/2006/relationships/hyperlink" Id="rId162"/>
    <Relationship TargetMode="External" Target="https://www.legis.iowa.gov/docs/iac/rule/567.23.1.pdf" Type="http://schemas.openxmlformats.org/officeDocument/2006/relationships/hyperlink" Id="rId163"/>
    <Relationship TargetMode="External" Target="https://www.legis.iowa.gov/docs/iac/chapter/567.30.pdf" Type="http://schemas.openxmlformats.org/officeDocument/2006/relationships/hyperlink" Id="rId164"/>
    <Relationship TargetMode="External" Target="https://www.legis.iowa.gov/docs/iac/rule/567.22.10.pdf" Type="http://schemas.openxmlformats.org/officeDocument/2006/relationships/hyperlink" Id="rId165"/>
    <Relationship TargetMode="External" Target="https://www.legis.iowa.gov/docs/iac/rule/567.22.10.pdf" Type="http://schemas.openxmlformats.org/officeDocument/2006/relationships/hyperlink" Id="rId166"/>
    <Relationship TargetMode="External" Target="https://www.legis.iowa.gov/docs/ico/chapter/203.1.pdf" Type="http://schemas.openxmlformats.org/officeDocument/2006/relationships/hyperlink" Id="rId167"/>
    <Relationship TargetMode="External" Target="https://www.legis.iowa.gov/docs/iac/rule/567.22.1.pdf" Type="http://schemas.openxmlformats.org/officeDocument/2006/relationships/hyperlink" Id="rId168"/>
    <Relationship TargetMode="External" Target="https://www.legis.iowa.gov/docs/iac/rule/567.22.1.pdf" Type="http://schemas.openxmlformats.org/officeDocument/2006/relationships/hyperlink" Id="rId169"/>
    <Relationship TargetMode="External" Target="https://www.legis.iowa.gov/docs/iac/rule/567.22.10.pdf" Type="http://schemas.openxmlformats.org/officeDocument/2006/relationships/hyperlink" Id="rId170"/>
    <Relationship TargetMode="External" Target="https://www.legis.iowa.gov/docs/iac/rule/567.22.1.pdf" Type="http://schemas.openxmlformats.org/officeDocument/2006/relationships/hyperlink" Id="rId171"/>
    <Relationship TargetMode="External" Target="https://www.legis.iowa.gov/docs/iac/rule/567.22.10.pdf" Type="http://schemas.openxmlformats.org/officeDocument/2006/relationships/hyperlink" Id="rId172"/>
    <Relationship TargetMode="External" Target="https://www.legis.iowa.gov/docs/iac/rule/567.22.1.pdf" Type="http://schemas.openxmlformats.org/officeDocument/2006/relationships/hyperlink" Id="rId173"/>
    <Relationship TargetMode="External" Target="https://www.legis.iowa.gov/docs/iac/rule/567.22.10.pdf" Type="http://schemas.openxmlformats.org/officeDocument/2006/relationships/hyperlink" Id="rId174"/>
    <Relationship TargetMode="External" Target="https://www.legis.iowa.gov/docs/iac/rule/567.22.1.pdf" Type="http://schemas.openxmlformats.org/officeDocument/2006/relationships/hyperlink" Id="rId175"/>
    <Relationship TargetMode="External" Target="https://www.legis.iowa.gov/docs/iac/chapter/567.33.pdf" Type="http://schemas.openxmlformats.org/officeDocument/2006/relationships/hyperlink" Id="rId176"/>
    <Relationship TargetMode="External" Target="https://www.legis.iowa.gov/docs/iac/rule/567.24.100.pdf" Type="http://schemas.openxmlformats.org/officeDocument/2006/relationships/hyperlink" Id="rId177"/>
    <Relationship TargetMode="External" Target="https://www.legis.iowa.gov/docs/iac/rule/567.24.300.pdf" Type="http://schemas.openxmlformats.org/officeDocument/2006/relationships/hyperlink" Id="rId178"/>
    <Relationship TargetMode="External" Target="https://www.legis.iowa.gov/docs/iac/rule/567.33.3.pdf" Type="http://schemas.openxmlformats.org/officeDocument/2006/relationships/hyperlink" Id="rId179"/>
    <Relationship TargetMode="External" Target="https://www.legis.iowa.gov/docs/iac/rule/567.24.100.pdf" Type="http://schemas.openxmlformats.org/officeDocument/2006/relationships/hyperlink" Id="rId180"/>
    <Relationship TargetMode="External" Target="https://www.legis.iowa.gov/docs/iac/rule/567.22.10.pdf" Type="http://schemas.openxmlformats.org/officeDocument/2006/relationships/hyperlink" Id="rId181"/>
    <Relationship TargetMode="External" Target="https://www.legis.iowa.gov/docs/iac/rule/567.22.1.pdf" Type="http://schemas.openxmlformats.org/officeDocument/2006/relationships/hyperlink" Id="rId182"/>
    <Relationship TargetMode="External" Target="https://www.legis.iowa.gov/docs/iac/chapter/567.33.pdf" Type="http://schemas.openxmlformats.org/officeDocument/2006/relationships/hyperlink" Id="rId183"/>
    <Relationship TargetMode="External" Target="https://www.legis.iowa.gov/docs/iac/rule/567.24.100.pdf" Type="http://schemas.openxmlformats.org/officeDocument/2006/relationships/hyperlink" Id="rId184"/>
    <Relationship TargetMode="External" Target="https://www.legis.iowa.gov/docs/iac/rule/567.24.300.pdf" Type="http://schemas.openxmlformats.org/officeDocument/2006/relationships/hyperlink" Id="rId185"/>
    <Relationship TargetMode="External" Target="https://www.legis.iowa.gov/docs/iac/rule/567.22.10.pdf" Type="http://schemas.openxmlformats.org/officeDocument/2006/relationships/hyperlink" Id="rId186"/>
    <Relationship TargetMode="External" Target="https://www.legis.iowa.gov/docs/iac/rule/567.22.10.pdf" Type="http://schemas.openxmlformats.org/officeDocument/2006/relationships/hyperlink" Id="rId187"/>
    <Relationship TargetMode="External" Target="https://www.legis.iowa.gov/docs/iac/rule/567.22.1.pdf" Type="http://schemas.openxmlformats.org/officeDocument/2006/relationships/hyperlink" Id="rId188"/>
    <Relationship TargetMode="External" Target="https://www.legis.iowa.gov/docs/iac/rule/567.22.10.pdf" Type="http://schemas.openxmlformats.org/officeDocument/2006/relationships/hyperlink" Id="rId189"/>
    <Relationship TargetMode="External" Target="https://www.legis.iowa.gov/docs/iac/rule/567.22.10.pdf" Type="http://schemas.openxmlformats.org/officeDocument/2006/relationships/hyperlink" Id="rId190"/>
    <Relationship TargetMode="External" Target="https://www.legis.iowa.gov/docs/iac/rule/567.22.1.pdf" Type="http://schemas.openxmlformats.org/officeDocument/2006/relationships/hyperlink" Id="rId191"/>
    <Relationship TargetMode="External" Target="https://www.legis.iowa.gov/docs/iac/rule/567.21.1.pdf" Type="http://schemas.openxmlformats.org/officeDocument/2006/relationships/hyperlink" Id="rId192"/>
    <Relationship TargetMode="External" Target="https://www.legis.iowa.gov/docs/iac/rule/567.22.10.pdf" Type="http://schemas.openxmlformats.org/officeDocument/2006/relationships/hyperlink" Id="rId193"/>
    <Relationship TargetMode="External" Target="https://www.legis.iowa.gov/docs/iac/rule/567.22.1.pdf" Type="http://schemas.openxmlformats.org/officeDocument/2006/relationships/hyperlink" Id="rId194"/>
    <Relationship TargetMode="External" Target="https://www.legis.iowa.gov/docs/iac/rule/567.22.1.pdf" Type="http://schemas.openxmlformats.org/officeDocument/2006/relationships/hyperlink" Id="rId195"/>
    <Relationship TargetMode="External" Target="https://www.legis.iowa.gov/docs/iac/rule/567.22.1.pdf" Type="http://schemas.openxmlformats.org/officeDocument/2006/relationships/hyperlink" Id="rId196"/>
    <Relationship TargetMode="External" Target="https://www.legis.iowa.gov/docs/iac/rule/567.21.1.pdf" Type="http://schemas.openxmlformats.org/officeDocument/2006/relationships/hyperlink" Id="rId197"/>
    <Relationship TargetMode="External" Target="https://www.legis.iowa.gov/docs/iac/chapter/567.33.pdf" Type="http://schemas.openxmlformats.org/officeDocument/2006/relationships/hyperlink" Id="rId198"/>
    <Relationship TargetMode="External" Target="https://www.legis.iowa.gov/docs/iac/rule/567.33.3.pdf" Type="http://schemas.openxmlformats.org/officeDocument/2006/relationships/hyperlink" Id="rId199"/>
    <Relationship TargetMode="External" Target="https://www.legis.iowa.gov/docs/iac/rule/567.22.10.pdf" Type="http://schemas.openxmlformats.org/officeDocument/2006/relationships/hyperlink" Id="rId200"/>
    <Relationship TargetMode="External" Target="https://www.legis.iowa.gov/docs/iac/rule/567.22.1.pdf" Type="http://schemas.openxmlformats.org/officeDocument/2006/relationships/hyperlink" Id="rId201"/>
    <Relationship TargetMode="External" Target="https://www.legis.iowa.gov/docs/iac/rule/567.22.1.pdf" Type="http://schemas.openxmlformats.org/officeDocument/2006/relationships/hyperlink" Id="rId202"/>
    <Relationship TargetMode="External" Target="https://www.legis.iowa.gov/docs/iac/rule/567.22.1.pdf" Type="http://schemas.openxmlformats.org/officeDocument/2006/relationships/hyperlink" Id="rId203"/>
    <Relationship TargetMode="External" Target="https://www.legis.iowa.gov/docs/iac/chapter/567.33.pdf" Type="http://schemas.openxmlformats.org/officeDocument/2006/relationships/hyperlink" Id="rId204"/>
    <Relationship TargetMode="External" Target="https://www.legis.iowa.gov/docs/iac/rule/567.33.3.pdf" Type="http://schemas.openxmlformats.org/officeDocument/2006/relationships/hyperlink" Id="rId205"/>
    <Relationship TargetMode="External" Target="https://www.legis.iowa.gov/docs/iac/rule/567.24.1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2.106.pdf" Type="http://schemas.openxmlformats.org/officeDocument/2006/relationships/hyperlink" Id="rId208"/>
    <Relationship TargetMode="External" Target="https://www.legis.iowa.gov/docs/iac/rule/567.22.10.pdf" Type="http://schemas.openxmlformats.org/officeDocument/2006/relationships/hyperlink" Id="rId209"/>
    <Relationship TargetMode="External" Target="https://www.legis.iowa.gov/docs/iac/rule/567.22.1.pdf" Type="http://schemas.openxmlformats.org/officeDocument/2006/relationships/hyperlink" Id="rId210"/>
    <Relationship TargetMode="External" Target="https://www.legis.iowa.gov/docs/iac/rule/567.21.1.pdf" Type="http://schemas.openxmlformats.org/officeDocument/2006/relationships/hyperlink" Id="rId211"/>
    <Relationship TargetMode="External" Target="https://www.legis.iowa.gov/docs/iac/rule/567.22.10.pdf" Type="http://schemas.openxmlformats.org/officeDocument/2006/relationships/hyperlink" Id="rId212"/>
    <Relationship TargetMode="External" Target="https://www.legis.iowa.gov/docs/iac/rule/567.24.100.pdf" Type="http://schemas.openxmlformats.org/officeDocument/2006/relationships/hyperlink" Id="rId213"/>
    <Relationship TargetMode="External" Target="https://www.legis.iowa.gov/docs/iac/rule/567.24.300.pdf" Type="http://schemas.openxmlformats.org/officeDocument/2006/relationships/hyperlink" Id="rId214"/>
    <Relationship TargetMode="External" Target="https://www.legis.iowa.gov/docs/iac/rule/567.24.100.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2.106.pdf" Type="http://schemas.openxmlformats.org/officeDocument/2006/relationships/hyperlink" Id="rId217"/>
    <Relationship TargetMode="External" Target="https://www.legis.iowa.gov/docs/iac/chapter/567.33.pdf" Type="http://schemas.openxmlformats.org/officeDocument/2006/relationships/hyperlink" Id="rId218"/>
    <Relationship TargetMode="External" Target="https://www.legis.iowa.gov/docs/iac/chapter/567.33.pdf" Type="http://schemas.openxmlformats.org/officeDocument/2006/relationships/hyperlink" Id="rId219"/>
    <Relationship TargetMode="External" Target="https://www.legis.iowa.gov/docs/ico/chapter/455B.133.pdf" Type="http://schemas.openxmlformats.org/officeDocument/2006/relationships/hyperlink" Id="rId220"/>
    <Relationship TargetMode="External" Target="https://www.legis.iowa.gov/docs/ico/chapter/455B.134.pdf" Type="http://schemas.openxmlformats.org/officeDocument/2006/relationships/hyperlink" Id="rId221"/>
    <Relationship Target="footer.xml" Type="http://schemas.openxmlformats.org/officeDocument/2006/relationships/footer" Id="rId2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