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136</w:t>
      </w:r>
    </w:p>
    <w:p>
      <w:pPr>
        <w:spacing w:before="0" w:after="0"/>
        <w:ind w:left="120"/>
        <w:jc w:val="center"/>
      </w:pPr>
      <w:r>
        <w:rPr>
          <w:rFonts w:ascii="Times New Roman" w:hAnsi="Times New Roman"/>
          <w:b w:val="false"/>
          <w:i w:val="false"/>
          <w:color w:val="000000"/>
          <w:sz w:val="21"/>
        </w:rPr>
        <w:t>FINANCIAL RESPONSIBILITY FOR UNDERGROUND STORAGE TANKS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spacing w:before="0" w:after="0"/>
        <w:ind w:left="120"/>
        <w:jc w:val="both"/>
      </w:pPr>
      <w:r>
        <w:rPr>
          <w:rFonts w:ascii="Times New Roman" w:hAnsi="Times New Roman"/>
          <w:b/>
          <w:i w:val="false"/>
          <w:color w:val="000000"/>
          <w:sz w:val="22"/>
        </w:rPr>
        <w:t>567—136.1</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owners and operators of all petroleum underground storage tank (UST) systems, except as otherwise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136.1(2)</w:t>
      </w:r>
      <w:r>
        <w:rPr>
          <w:rFonts w:ascii="Times New Roman" w:hAnsi="Times New Roman"/>
          <w:b w:val="false"/>
          <w:i w:val="false"/>
          <w:color w:val="000000"/>
          <w:sz w:val="22"/>
        </w:rPr>
        <w:t> </w:t>
      </w:r>
      <w:r>
        <w:rPr>
          <w:rFonts w:ascii="Times New Roman" w:hAnsi="Times New Roman"/>
          <w:b w:val="false"/>
          <w:i w:val="false"/>
          <w:color w:val="000000"/>
          <w:sz w:val="22"/>
        </w:rPr>
        <w:t>State and federal government entities whose debts and liabilities are the debts and liabilities of a state or the United States are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chapter do not apply to owners and operators of farm or residential tanks of 1,100 gallons or less capacity installed prior to July 1, 1987, or any UST system described in </w:t>
      </w:r>
      <w:hyperlink r:id="rId5">
        <w:r>
          <w:rPr>
            <w:rStyle w:val="Hyperlink"/>
            <w:rFonts w:ascii="Times New Roman" w:hAnsi="Times New Roman"/>
            <w:b w:val="false"/>
            <w:i w:val="false"/>
            <w:color w:val="000000"/>
            <w:sz w:val="22"/>
          </w:rPr>
          <w:t>567—paragraph 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567—subparagraph 135.1(3)</w:t>
        </w:r>
      </w:hyperlink>
      <w:r>
        <w:rPr>
          <w:rFonts w:ascii="Times New Roman" w:hAnsi="Times New Roman"/>
          <w:b w:val="false"/>
          <w:i/>
          <w:color w:val="000000"/>
          <w:sz w:val="22"/>
        </w:rPr>
        <w:t>“c”</w:t>
      </w:r>
      <w:r>
        <w:rPr>
          <w:rFonts w:ascii="Times New Roman" w:hAnsi="Times New Roman"/>
          <w:b w:val="false"/>
          <w:i w:val="false"/>
          <w:color w:val="000000"/>
          <w:sz w:val="22"/>
        </w:rPr>
        <w:t xml:space="preserve">(1), </w:t>
      </w:r>
      <w:r>
        <w:rPr>
          <w:rFonts w:ascii="Times New Roman" w:hAnsi="Times New Roman"/>
          <w:b w:val="false"/>
          <w:i/>
          <w:color w:val="000000"/>
          <w:sz w:val="22"/>
        </w:rPr>
        <w:t>“c”</w:t>
      </w:r>
      <w:r>
        <w:rPr>
          <w:rFonts w:ascii="Times New Roman" w:hAnsi="Times New Roman"/>
          <w:b w:val="false"/>
          <w:i w:val="false"/>
          <w:color w:val="000000"/>
          <w:sz w:val="22"/>
        </w:rPr>
        <w:t xml:space="preserve">(3) or </w:t>
      </w:r>
      <w:r>
        <w:rPr>
          <w:rFonts w:ascii="Times New Roman" w:hAnsi="Times New Roman"/>
          <w:b w:val="false"/>
          <w:i/>
          <w:color w:val="000000"/>
          <w:sz w:val="22"/>
        </w:rPr>
        <w:t>“c”</w:t>
      </w:r>
      <w:r>
        <w:rPr>
          <w:rFonts w:ascii="Times New Roman" w:hAnsi="Times New Roman"/>
          <w:b w:val="false"/>
          <w:i w:val="false"/>
          <w:color w:val="000000"/>
          <w:sz w:val="22"/>
        </w:rPr>
        <w:t>(4).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567—136.2</w:t>
      </w:r>
      <w:r>
        <w:rPr>
          <w:rFonts w:ascii="Times New Roman" w:hAnsi="Times New Roman"/>
          <w:b/>
          <w:i w:val="false"/>
          <w:color w:val="000000"/>
          <w:sz w:val="22"/>
        </w:rPr>
        <w:t xml:space="preserve">(455B) </w:t>
      </w:r>
      <w:r>
        <w:rPr>
          <w:rFonts w:ascii="Times New Roman" w:hAnsi="Times New Roman"/>
          <w:b/>
          <w:i w:val="false"/>
          <w:color w:val="000000"/>
          <w:sz w:val="22"/>
        </w:rPr>
        <w:t xml:space="preserve">Policy; adoption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commission to ensure consistency, equity, and efficiency in providing financial responsibility for Iowans and the businesses providing services to Iowans that owners and operators of UST systems in this state must comply with the provisions of the federal rules requiring and regulating the financial assurance of UST systems. This rule shall be interpreted in a manner consistent with this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136.2(2)</w:t>
      </w:r>
      <w:r>
        <w:rPr>
          <w:rFonts w:ascii="Times New Roman" w:hAnsi="Times New Roman"/>
          <w:b w:val="false"/>
          <w:i w:val="false"/>
          <w:color w:val="000000"/>
          <w:sz w:val="22"/>
        </w:rPr>
        <w:t> </w:t>
      </w:r>
      <w:r>
        <w:rPr>
          <w:rFonts w:ascii="Times New Roman" w:hAnsi="Times New Roman"/>
          <w:b w:val="false"/>
          <w:i w:val="false"/>
          <w:color w:val="000000"/>
          <w:sz w:val="22"/>
        </w:rPr>
        <w:t>The commission hereby adopts by reference 40 CFR Chapter I, Subchapter I, Part 280, Subpart H (2015),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uses of “Agency,” “Environmental Protection Agency,” “EPA,” and “implementing agency,” and any reference to the regional offices of the Environmental Protection Agency, shall be replaced with “Department of Natural Resources,” except where the context of the rule requires notice or submission to both federal and state entities, in which case the replacement language shall be in addition to the original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uses of “Administrator” and “regional administrator,” and any reference to the designee of either, are replaced with “the director of the Department of Natural Resources or their designee,” except where the context of the rule requires notice or submission to both federal and state entities, in which case the replacement language shall be in addition to the original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40 CFR 280.100</w:t>
      </w:r>
      <w:r>
        <w:rPr>
          <w:rFonts w:ascii="Times New Roman" w:hAnsi="Times New Roman"/>
          <w:b w:val="false"/>
          <w:i w:val="false"/>
          <w:color w:val="000000"/>
          <w:sz w:val="22"/>
        </w:rPr>
        <w:t xml:space="preserve"> is not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40 CFR 280.101</w:t>
      </w:r>
      <w:r>
        <w:rPr>
          <w:rFonts w:ascii="Times New Roman" w:hAnsi="Times New Roman"/>
          <w:b w:val="false"/>
          <w:i w:val="false"/>
          <w:color w:val="000000"/>
          <w:sz w:val="22"/>
        </w:rPr>
        <w:t xml:space="preserve"> is not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567—136.3</w:t>
      </w:r>
      <w:r>
        <w:rPr>
          <w:rFonts w:ascii="Times New Roman" w:hAnsi="Times New Roman"/>
          <w:b/>
          <w:i w:val="false"/>
          <w:color w:val="000000"/>
          <w:sz w:val="22"/>
        </w:rPr>
        <w:t xml:space="preserve">(455B) </w:t>
      </w:r>
      <w:r>
        <w:rPr>
          <w:rFonts w:ascii="Times New Roman" w:hAnsi="Times New Roman"/>
          <w:b/>
          <w:i w:val="false"/>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136.3(1)</w:t>
      </w:r>
      <w:r>
        <w:rPr>
          <w:rFonts w:ascii="Times New Roman" w:hAnsi="Times New Roman"/>
          <w:b w:val="false"/>
          <w:i w:val="false"/>
          <w:color w:val="000000"/>
          <w:sz w:val="22"/>
        </w:rPr>
        <w:t> </w:t>
      </w:r>
      <w:r>
        <w:rPr>
          <w:rFonts w:ascii="Times New Roman" w:hAnsi="Times New Roman"/>
          <w:b w:val="false"/>
          <w:i/>
          <w:color w:val="000000"/>
          <w:sz w:val="22"/>
        </w:rPr>
        <w:t xml:space="preserve">Notice of extended reporting. </w:t>
      </w:r>
      <w:r>
        <w:rPr>
          <w:rFonts w:ascii="Times New Roman" w:hAnsi="Times New Roman"/>
          <w:b w:val="false"/>
          <w:i w:val="false"/>
          <w:color w:val="000000"/>
          <w:sz w:val="22"/>
        </w:rPr>
        <w:t xml:space="preserve">In any written final cancellation or nonrenewal notice, an entity that provides insurance pursuant to this chapter shall notify the primary insured party and any additional named insured parties of the six-month extended reporting expiration date provided in </w:t>
      </w:r>
      <w:r>
        <w:rPr>
          <w:rFonts w:ascii="Times New Roman" w:hAnsi="Times New Roman"/>
          <w:b w:val="false"/>
          <w:i w:val="false"/>
          <w:color w:val="000000"/>
          <w:sz w:val="22"/>
        </w:rPr>
        <w:t>40 CFR 280.97</w:t>
      </w:r>
      <w:r>
        <w:rPr>
          <w:rFonts w:ascii="Times New Roman" w:hAnsi="Times New Roman"/>
          <w:b w:val="false"/>
          <w:i w:val="false"/>
          <w:color w:val="000000"/>
          <w:sz w:val="22"/>
        </w:rPr>
        <w:t xml:space="preserve">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136.3(2)</w:t>
      </w:r>
      <w:r>
        <w:rPr>
          <w:rFonts w:ascii="Times New Roman" w:hAnsi="Times New Roman"/>
          <w:b w:val="false"/>
          <w:i w:val="false"/>
          <w:color w:val="000000"/>
          <w:sz w:val="22"/>
        </w:rPr>
        <w:t> </w:t>
      </w:r>
      <w:r>
        <w:rPr>
          <w:rFonts w:ascii="Times New Roman" w:hAnsi="Times New Roman"/>
          <w:b w:val="false"/>
          <w:i/>
          <w:color w:val="000000"/>
          <w:sz w:val="22"/>
        </w:rPr>
        <w:t xml:space="preserve">Notice and claim by the department. </w:t>
      </w:r>
      <w:r>
        <w:rPr>
          <w:rFonts w:ascii="Times New Roman" w:hAnsi="Times New Roman"/>
          <w:b w:val="false"/>
          <w:i w:val="false"/>
          <w:color w:val="000000"/>
          <w:sz w:val="22"/>
        </w:rPr>
        <w:t>Notwithstanding any other requirement or limit in 40 CFR Chapter I, Subchapter I, Part 280, Subpart H (2015), timely notice of a release and claim for coverage to the insurer by the department of natural resources shall be deemed sufficient notice on behalf of the insured under the terms, conditions, and exclusions of a policy issued to demonstrate compliance with this chapter. Notice by the department shall not modify or enlarge the terms, conditions, and exclusions of coverage, but is only intended to preserve coverage to which the insured may otherwise be entitled under the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455B.424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7/21/89, Notice 2/22/89—published 8/9/89, effective 9/13/89]</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2/28/92, Notice 12/11/91—published 3/18/92, effective 4/22/92]</w:t>
      </w:r>
    </w:p>
    <w:p>
      <w:pPr>
        <w:spacing w:before="0" w:after="0"/>
        <w:ind w:left="120"/>
        <w:jc w:val="center"/>
      </w:pPr>
      <w:r>
        <w:rPr>
          <w:rFonts w:ascii="Times New Roman" w:hAnsi="Times New Roman"/>
          <w:b w:val="false"/>
          <w:i w:val="false"/>
          <w:color w:val="000000"/>
          <w:sz w:val="21"/>
        </w:rPr>
        <w:t>[Filed 6/19/92</w:t>
      </w:r>
      <w:r>
        <w:rPr>
          <w:rFonts w:ascii="Times New Roman" w:hAnsi="Times New Roman"/>
          <w:b/>
          <w:i w:val="false"/>
          <w:color w:val="000000"/>
          <w:sz w:val="21"/>
        </w:rPr>
        <w:t xml:space="preserve">, </w:t>
      </w:r>
      <w:r>
        <w:rPr>
          <w:rFonts w:ascii="Times New Roman" w:hAnsi="Times New Roman"/>
          <w:b w:val="false"/>
          <w:i w:val="false"/>
          <w:color w:val="000000"/>
          <w:sz w:val="21"/>
        </w:rPr>
        <w:t>Notice 4/15/92—published 7/8/92, effective 8/12/92]</w:t>
      </w:r>
    </w:p>
    <w:p>
      <w:pPr>
        <w:spacing w:before="0" w:after="0"/>
        <w:ind w:left="120"/>
        <w:jc w:val="center"/>
      </w:pPr>
      <w:r>
        <w:rPr>
          <w:rFonts w:ascii="Times New Roman" w:hAnsi="Times New Roman"/>
          <w:b w:val="false"/>
          <w:i w:val="false"/>
          <w:color w:val="000000"/>
          <w:sz w:val="21"/>
        </w:rPr>
        <w:t>[Filed 8/27/93, Notice 6/9/93—published 9/15/93, effective 10/20/93]</w:t>
      </w:r>
    </w:p>
    <w:p>
      <w:pPr>
        <w:spacing w:before="0" w:after="0"/>
        <w:ind w:left="120"/>
        <w:jc w:val="center"/>
      </w:pPr>
      <w:r>
        <w:rPr>
          <w:rFonts w:ascii="Times New Roman" w:hAnsi="Times New Roman"/>
          <w:b w:val="false"/>
          <w:i w:val="false"/>
          <w:color w:val="000000"/>
          <w:sz w:val="21"/>
        </w:rPr>
        <w:t>[Filed 3/27/02, Notice 1/9/02—published 4/17/02, effective 5/22/02]</w:t>
      </w:r>
    </w:p>
    <w:p>
      <w:pPr>
        <w:spacing w:before="0" w:after="0"/>
        <w:ind w:left="120"/>
        <w:jc w:val="center"/>
      </w:pPr>
      <w:r>
        <w:rPr>
          <w:rFonts w:ascii="Times New Roman" w:hAnsi="Times New Roman"/>
          <w:b w:val="false"/>
          <w:i w:val="false"/>
          <w:color w:val="000000"/>
          <w:sz w:val="21"/>
        </w:rPr>
        <w:t>[Filed 10/21/05, Notice 7/20/05—published 11/9/05, effective 12/14/05]</w:t>
      </w:r>
    </w:p>
    <w:p>
      <w:pPr>
        <w:spacing w:before="0" w:after="0"/>
        <w:ind w:left="120"/>
        <w:jc w:val="center"/>
      </w:pPr>
      <w:r>
        <w:rPr>
          <w:rFonts w:ascii="Times New Roman" w:hAnsi="Times New Roman"/>
          <w:b w:val="false"/>
          <w:i w:val="false"/>
          <w:color w:val="000000"/>
          <w:sz w:val="21"/>
        </w:rPr>
        <w:t>[Filed ARC 5625C</w:t>
      </w:r>
      <w:r>
        <w:rPr>
          <w:rFonts w:ascii="Times New Roman" w:hAnsi="Times New Roman"/>
          <w:b w:val="false"/>
          <w:i w:val="false"/>
          <w:color w:val="000000"/>
          <w:sz w:val="21"/>
        </w:rPr>
        <w:t xml:space="preserve"> (Notice ARC 5316C, IAB 12/16/20)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0492D</w:t>
      </w:r>
      <w:r>
        <w:rPr>
          <w:rFonts w:ascii="Times New Roman" w:hAnsi="Times New Roman"/>
          <w:b w:val="false"/>
          <w:i w:val="false"/>
          <w:color w:val="000000"/>
          <w:sz w:val="21"/>
        </w:rPr>
        <w:t xml:space="preserve"> (Notice ARC 9937C, IAB 1/7/26)</w:t>
      </w:r>
      <w:r>
        <w:rPr>
          <w:rFonts w:ascii="Times New Roman" w:hAnsi="Times New Roman"/>
          <w:b w:val="false"/>
          <w:i w:val="false"/>
          <w:color w:val="000000"/>
          <w:sz w:val="21"/>
        </w:rPr>
        <w:t>, IAB 8/19/26, effective 9/23/26]</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35.1.pdf" Type="http://schemas.openxmlformats.org/officeDocument/2006/relationships/hyperlink" Id="rId5"/>
    <Relationship TargetMode="External" Target="https://www.legis.iowa.gov/docs/iac/rule/567.135.1.pdf" Type="http://schemas.openxmlformats.org/officeDocument/2006/relationships/hyperlink" Id="rId6"/>
    <Relationship TargetMode="External" Target="https://www.legis.iowa.gov/docs/ico/chapter/455B.424.pdf" Type="http://schemas.openxmlformats.org/officeDocument/2006/relationships/hyperlink" Id="rId7"/>
    <Relationship TargetMode="External" Target="https://www.legis.iowa.gov/docs/ico/chapter/455B.47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