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134</w:t>
      </w:r>
    </w:p>
    <w:p>
      <w:pPr>
        <w:spacing w:before="0" w:after="0"/>
        <w:ind w:left="120"/>
        <w:jc w:val="center"/>
      </w:pPr>
      <w:r>
        <w:rPr>
          <w:rFonts w:ascii="Times New Roman" w:hAnsi="Times New Roman"/>
          <w:b w:val="false"/>
          <w:i w:val="false"/>
          <w:color w:val="000000"/>
          <w:sz w:val="21"/>
        </w:rPr>
        <w:t>UNDERGROUND STORAGE TANK CERTIFICATION PROGRAMS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9/23/31</w:t>
      </w:r>
    </w:p>
    <w:p>
      <w:pPr>
        <w:spacing w:before="0" w:after="0"/>
        <w:ind w:left="120"/>
        <w:jc w:val="both"/>
      </w:pPr>
      <w:r>
        <w:rPr>
          <w:rFonts w:ascii="Times New Roman" w:hAnsi="Times New Roman"/>
          <w:b/>
          <w:i w:val="false"/>
          <w:color w:val="000000"/>
          <w:sz w:val="22"/>
        </w:rPr>
        <w:t>567—134.1</w:t>
      </w:r>
      <w:r>
        <w:rPr>
          <w:rFonts w:ascii="Times New Roman" w:hAnsi="Times New Roman"/>
          <w:b/>
          <w:i w:val="false"/>
          <w:color w:val="000000"/>
          <w:sz w:val="22"/>
        </w:rPr>
        <w:t xml:space="preserve">(455B) </w:t>
      </w:r>
      <w:r>
        <w:rPr>
          <w:rFonts w:ascii="Times New Roman" w:hAnsi="Times New Roman"/>
          <w:b/>
          <w:i w:val="false"/>
          <w:color w:val="000000"/>
          <w:sz w:val="22"/>
        </w:rPr>
        <w:t xml:space="preserve">Scope. </w:t>
      </w:r>
      <w:r>
        <w:rPr>
          <w:rFonts w:ascii="Times New Roman" w:hAnsi="Times New Roman"/>
          <w:b w:val="false"/>
          <w:i w:val="false"/>
          <w:color w:val="000000"/>
          <w:sz w:val="22"/>
        </w:rPr>
        <w:t>The purpose of this chapter is to provide rules for the certification of groundwater professionals, compliance inspectors, and other UST professionals, including certification qualification, fees and administration. All rules, standards, technical guidance, and other similar legal or technical documents referenced in this chapter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incorporated by reference. </w:t>
      </w:r>
      <w:r>
        <w:rPr>
          <w:rFonts w:ascii="Times New Roman" w:hAnsi="Times New Roman"/>
          <w:b w:val="false"/>
          <w:i w:val="false"/>
          <w:color w:val="000000"/>
          <w:sz w:val="22"/>
        </w:rPr>
        <w:t xml:space="preserve">The definitions in </w:t>
      </w:r>
      <w:hyperlink r:id="rId5">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Iowa Code section </w:t>
      </w:r>
      <w:hyperlink r:id="rId6">
        <w:r>
          <w:rPr>
            <w:rStyle w:val="Hyperlink"/>
            <w:rFonts w:ascii="Times New Roman" w:hAnsi="Times New Roman"/>
            <w:b w:val="false"/>
            <w:i w:val="false"/>
            <w:color w:val="000000"/>
            <w:sz w:val="22"/>
          </w:rPr>
          <w:t>455B.471</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40 CFR §280.12</w:t>
      </w:r>
      <w:r>
        <w:rPr>
          <w:rFonts w:ascii="Times New Roman" w:hAnsi="Times New Roman"/>
          <w:b w:val="false"/>
          <w:i w:val="false"/>
          <w:color w:val="000000"/>
          <w:sz w:val="22"/>
        </w:rPr>
        <w:t xml:space="preserve"> (2015) shall apply to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567—134.3</w:t>
      </w:r>
      <w:r>
        <w:rPr>
          <w:rFonts w:ascii="Times New Roman" w:hAnsi="Times New Roman"/>
          <w:b/>
          <w:i w:val="false"/>
          <w:color w:val="000000"/>
          <w:sz w:val="22"/>
        </w:rPr>
        <w:t xml:space="preserve">(455B) </w:t>
      </w:r>
      <w:r>
        <w:rPr>
          <w:rFonts w:ascii="Times New Roman" w:hAnsi="Times New Roman"/>
          <w:b/>
          <w:i w:val="false"/>
          <w:color w:val="000000"/>
          <w:sz w:val="22"/>
        </w:rPr>
        <w:t xml:space="preserve">Certification classifications for individuals and companies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134.3(1)</w:t>
      </w:r>
      <w:r>
        <w:rPr>
          <w:rFonts w:ascii="Times New Roman" w:hAnsi="Times New Roman"/>
          <w:b w:val="false"/>
          <w:i w:val="false"/>
          <w:color w:val="000000"/>
          <w:sz w:val="22"/>
        </w:rPr>
        <w:t> </w:t>
      </w:r>
      <w:r>
        <w:rPr>
          <w:rFonts w:ascii="Times New Roman" w:hAnsi="Times New Roman"/>
          <w:b w:val="false"/>
          <w:i w:val="false"/>
          <w:color w:val="000000"/>
          <w:sz w:val="22"/>
        </w:rPr>
        <w:t>A separate certification will be issued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UST installers;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UST removers;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UST testers;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UST cathodic protection testers;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UST liners;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UST installation inspectors;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UST compliance inspectors;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Groundwater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134.3(2)</w:t>
      </w:r>
      <w:r>
        <w:rPr>
          <w:rFonts w:ascii="Times New Roman" w:hAnsi="Times New Roman"/>
          <w:b w:val="false"/>
          <w:i w:val="false"/>
          <w:color w:val="000000"/>
          <w:sz w:val="22"/>
        </w:rPr>
        <w:t> </w:t>
      </w:r>
      <w:r>
        <w:rPr>
          <w:rFonts w:ascii="Times New Roman" w:hAnsi="Times New Roman"/>
          <w:b w:val="false"/>
          <w:i w:val="false"/>
          <w:color w:val="000000"/>
          <w:sz w:val="22"/>
        </w:rPr>
        <w:t>A company employing certified individuals for compliance inspections, installation, upgrading, removal, lining or testing of UST systems shall be certified as a company. A company may have its certification revoked if it employs uncertified individuals to do work requiring a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134.3(3)</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technicians as defined in </w:t>
      </w:r>
      <w:hyperlink r:id="rId7">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are exempt from certification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567—134.4</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certification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134.4(1)</w:t>
      </w:r>
      <w:r>
        <w:rPr>
          <w:rFonts w:ascii="Times New Roman" w:hAnsi="Times New Roman"/>
          <w:b w:val="false"/>
          <w:i w:val="false"/>
          <w:color w:val="000000"/>
          <w:sz w:val="22"/>
        </w:rPr>
        <w:t> </w:t>
      </w:r>
      <w:r>
        <w:rPr>
          <w:rFonts w:ascii="Times New Roman" w:hAnsi="Times New Roman"/>
          <w:b w:val="false"/>
          <w:i/>
          <w:color w:val="000000"/>
          <w:sz w:val="22"/>
        </w:rPr>
        <w:t xml:space="preserve">Applications and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certifications shall be submitted on a form provided by the department along with all required supporting documentation. Certificates shall be issued and renewed on a two-year calendar basis. Groundwater professional certificates expire on December 31 of each odd-numbered year and all other certificates expire on December 31 of each even-numbered year. All applicants must 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Evidence that the applicant meets the experience, education, and other qualification prerequisites contained in this chapter for each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information necessary for a determination of the applicant’s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134.4(2)</w:t>
      </w:r>
      <w:r>
        <w:rPr>
          <w:rFonts w:ascii="Times New Roman" w:hAnsi="Times New Roman"/>
          <w:b w:val="false"/>
          <w:i w:val="false"/>
          <w:color w:val="000000"/>
          <w:sz w:val="22"/>
        </w:rPr>
        <w:t> </w:t>
      </w:r>
      <w:r>
        <w:rPr>
          <w:rFonts w:ascii="Times New Roman" w:hAnsi="Times New Roman"/>
          <w:b w:val="false"/>
          <w:i/>
          <w:color w:val="000000"/>
          <w:sz w:val="22"/>
        </w:rPr>
        <w:t xml:space="preserve">Certification fees. </w:t>
      </w:r>
      <w:r>
        <w:rPr>
          <w:rFonts w:ascii="Times New Roman" w:hAnsi="Times New Roman"/>
          <w:b w:val="false"/>
          <w:i w:val="false"/>
          <w:color w:val="000000"/>
          <w:sz w:val="22"/>
        </w:rPr>
        <w:t>A $200 fee shall be submitted for each groundwater professional certification. For all other certifications, a $200 fee shall be submitted with each application for an initial company and individual certification application, including when an individual applies for multiple non-groundwater professional certifications using a single department-approved form. Fees are nonrefundable, are payable to the Department of Natural Resources, and will not be prorated.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134.4(3)</w:t>
      </w:r>
      <w:r>
        <w:rPr>
          <w:rFonts w:ascii="Times New Roman" w:hAnsi="Times New Roman"/>
          <w:b w:val="false"/>
          <w:i w:val="false"/>
          <w:color w:val="000000"/>
          <w:sz w:val="22"/>
        </w:rPr>
        <w:t> </w:t>
      </w:r>
      <w:r>
        <w:rPr>
          <w:rFonts w:ascii="Times New Roman" w:hAnsi="Times New Roman"/>
          <w:b w:val="false"/>
          <w:i/>
          <w:color w:val="000000"/>
          <w:sz w:val="22"/>
        </w:rPr>
        <w:t xml:space="preserve">Reciprocity. </w:t>
      </w:r>
      <w:r>
        <w:rPr>
          <w:rFonts w:ascii="Times New Roman" w:hAnsi="Times New Roman"/>
          <w:b w:val="false"/>
          <w:i w:val="false"/>
          <w:color w:val="000000"/>
          <w:sz w:val="22"/>
        </w:rPr>
        <w:t>Persons who are certified as a UST installer, installation inspector, tester, liner, or remover under another state or federal regulatory program that has been approved by the department may be eligible for certification in Iowa without having to take a course of instruction or pass the examination. Applicants for reciprocity shall still pay the application fee and follow certification renewal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567—134.5</w:t>
      </w:r>
      <w:r>
        <w:rPr>
          <w:rFonts w:ascii="Times New Roman" w:hAnsi="Times New Roman"/>
          <w:b/>
          <w:i w:val="false"/>
          <w:color w:val="000000"/>
          <w:sz w:val="22"/>
        </w:rPr>
        <w:t xml:space="preserve">(455B) </w:t>
      </w:r>
      <w:r>
        <w:rPr>
          <w:rFonts w:ascii="Times New Roman" w:hAnsi="Times New Roman"/>
          <w:b/>
          <w:i w:val="false"/>
          <w:color w:val="000000"/>
          <w:sz w:val="22"/>
        </w:rPr>
        <w:t xml:space="preserve">Liability insurance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134.5(1)</w:t>
      </w:r>
      <w:r>
        <w:rPr>
          <w:rFonts w:ascii="Times New Roman" w:hAnsi="Times New Roman"/>
          <w:b w:val="false"/>
          <w:i w:val="false"/>
          <w:color w:val="000000"/>
          <w:sz w:val="22"/>
        </w:rPr>
        <w:t> </w:t>
      </w:r>
      <w:r>
        <w:rPr>
          <w:rFonts w:ascii="Times New Roman" w:hAnsi="Times New Roman"/>
          <w:b w:val="false"/>
          <w:i/>
          <w:color w:val="000000"/>
          <w:sz w:val="22"/>
        </w:rPr>
        <w:t xml:space="preserve">Environmental liability insurance. </w:t>
      </w:r>
      <w:r>
        <w:rPr>
          <w:rFonts w:ascii="Times New Roman" w:hAnsi="Times New Roman"/>
          <w:b w:val="false"/>
          <w:i w:val="false"/>
          <w:color w:val="000000"/>
          <w:sz w:val="22"/>
        </w:rPr>
        <w:t xml:space="preserve">All certificate holders, except for compliance inspectors and groundwater professionals, must hold environmental liability insurance as required by Iowa Code section </w:t>
      </w:r>
      <w:hyperlink r:id="rId8">
        <w:r>
          <w:rPr>
            <w:rStyle w:val="Hyperlink"/>
            <w:rFonts w:ascii="Times New Roman" w:hAnsi="Times New Roman"/>
            <w:b w:val="false"/>
            <w:i w:val="false"/>
            <w:color w:val="000000"/>
            <w:sz w:val="22"/>
          </w:rPr>
          <w:t>455B.474(10)</w:t>
        </w:r>
      </w:hyperlink>
      <w:r>
        <w:rPr>
          <w:rFonts w:ascii="Times New Roman" w:hAnsi="Times New Roman"/>
          <w:b w:val="false"/>
          <w:i w:val="false"/>
          <w:color w:val="000000"/>
          <w:sz w:val="22"/>
        </w:rPr>
        <w:t>. A company may provide insurance for all of its employees who are UST certificate holders.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134.5(2)</w:t>
      </w:r>
      <w:r>
        <w:rPr>
          <w:rFonts w:ascii="Times New Roman" w:hAnsi="Times New Roman"/>
          <w:b w:val="false"/>
          <w:i w:val="false"/>
          <w:color w:val="000000"/>
          <w:sz w:val="22"/>
        </w:rPr>
        <w:t> </w:t>
      </w:r>
      <w:r>
        <w:rPr>
          <w:rFonts w:ascii="Times New Roman" w:hAnsi="Times New Roman"/>
          <w:b w:val="false"/>
          <w:i/>
          <w:color w:val="000000"/>
          <w:sz w:val="22"/>
        </w:rPr>
        <w:t xml:space="preserve">Employer exception. </w:t>
      </w:r>
      <w:r>
        <w:rPr>
          <w:rFonts w:ascii="Times New Roman" w:hAnsi="Times New Roman"/>
          <w:b w:val="false"/>
          <w:i w:val="false"/>
          <w:color w:val="000000"/>
          <w:sz w:val="22"/>
        </w:rPr>
        <w:t>Individuals certified by this chapter, except for groundwater professionals, employed by owners or operators of UST systems to work only on the owner’s or operator’s private system(s) are exempt from insurance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134.5(3)</w:t>
      </w:r>
      <w:r>
        <w:rPr>
          <w:rFonts w:ascii="Times New Roman" w:hAnsi="Times New Roman"/>
          <w:b w:val="false"/>
          <w:i w:val="false"/>
          <w:color w:val="000000"/>
          <w:sz w:val="22"/>
        </w:rPr>
        <w:t> </w:t>
      </w:r>
      <w:r>
        <w:rPr>
          <w:rFonts w:ascii="Times New Roman" w:hAnsi="Times New Roman"/>
          <w:b w:val="false"/>
          <w:i/>
          <w:color w:val="000000"/>
          <w:sz w:val="22"/>
        </w:rPr>
        <w:t xml:space="preserve">Forms of acceptable insurance. </w:t>
      </w:r>
      <w:r>
        <w:rPr>
          <w:rFonts w:ascii="Times New Roman" w:hAnsi="Times New Roman"/>
          <w:b w:val="false"/>
          <w:i w:val="false"/>
          <w:color w:val="000000"/>
          <w:sz w:val="22"/>
        </w:rPr>
        <w:t>All parties certified by this chapter, except groundwater professionals and compliance inspectors, will provide evidence of environmental liability insurance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Environmental liability insurance may be provided by a private insurer authorized to do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environmental liability insurance may be provided using methods of self-insurance as outlined in </w:t>
      </w:r>
      <w:hyperlink r:id="rId9">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134.5(4)</w:t>
      </w:r>
      <w:r>
        <w:rPr>
          <w:rFonts w:ascii="Times New Roman" w:hAnsi="Times New Roman"/>
          <w:b w:val="false"/>
          <w:i w:val="false"/>
          <w:color w:val="000000"/>
          <w:sz w:val="22"/>
        </w:rPr>
        <w:t> </w:t>
      </w:r>
      <w:r>
        <w:rPr>
          <w:rFonts w:ascii="Times New Roman" w:hAnsi="Times New Roman"/>
          <w:b w:val="false"/>
          <w:i/>
          <w:color w:val="000000"/>
          <w:sz w:val="22"/>
        </w:rPr>
        <w:t xml:space="preserve">Professional liability insurance requirements. </w:t>
      </w:r>
      <w:r>
        <w:rPr>
          <w:rFonts w:ascii="Times New Roman" w:hAnsi="Times New Roman"/>
          <w:b w:val="false"/>
          <w:i w:val="false"/>
          <w:color w:val="000000"/>
          <w:sz w:val="22"/>
        </w:rPr>
        <w:t>All certified compliance inspectors are required to have professional liability insurance with minimum liability limits of $1 million per occurrence and in the aggregate.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567—134.6</w:t>
      </w:r>
      <w:r>
        <w:rPr>
          <w:rFonts w:ascii="Times New Roman" w:hAnsi="Times New Roman"/>
          <w:b/>
          <w:i w:val="false"/>
          <w:color w:val="000000"/>
          <w:sz w:val="22"/>
        </w:rPr>
        <w:t xml:space="preserve">(455B) </w:t>
      </w:r>
      <w:r>
        <w:rPr>
          <w:rFonts w:ascii="Times New Roman" w:hAnsi="Times New Roman"/>
          <w:b/>
          <w:i w:val="false"/>
          <w:color w:val="000000"/>
          <w:sz w:val="22"/>
        </w:rPr>
        <w:t xml:space="preserve">Training courses and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134.6(1)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issuance of a certification as a groundwater professional, compliance inspector, installer, installation inspector, or remover, the applicant will successfully complete a department-led or department-approved training course and pass a qualification examination offered or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Examination requirements for all individual certificate 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passing grade of not less than 75 percent is required on the respective examinations for installers, installation inspectors, removers and compliance inspectors. A passing grade of not less than 70 percent is required on the groundwater professional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Applicants who have failed the examination will not perform work unless supervised by an appropriately certified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fee reflecting the actual costs of developing and administering each course of instruction and examination may be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Nothing in this chapter shall limit the right of the department to require additional educational requirements of certification 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who receives less than a passing score on an examination may retake the test within 180 days without reapplying. The application of an applicant who fails the second examination will be denied. An applicant who fails the second examination may reapply for certification but will not retake the examination until the applicant has successfully completed a course of instruction that is administered or approved by the department and that is administered after the applicant’s second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134.6(2)</w:t>
      </w:r>
      <w:r>
        <w:rPr>
          <w:rFonts w:ascii="Times New Roman" w:hAnsi="Times New Roman"/>
          <w:b w:val="false"/>
          <w:i w:val="false"/>
          <w:color w:val="000000"/>
          <w:sz w:val="22"/>
        </w:rPr>
        <w:t> </w:t>
      </w:r>
      <w:r>
        <w:rPr>
          <w:rFonts w:ascii="Times New Roman" w:hAnsi="Times New Roman"/>
          <w:b w:val="false"/>
          <w:i/>
          <w:color w:val="000000"/>
          <w:sz w:val="22"/>
        </w:rPr>
        <w:t xml:space="preserve">Educational offering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Courses approved by the department. </w:t>
      </w:r>
      <w:r>
        <w:rPr>
          <w:rFonts w:ascii="Times New Roman" w:hAnsi="Times New Roman"/>
          <w:b w:val="false"/>
          <w:i w:val="false"/>
          <w:color w:val="000000"/>
          <w:sz w:val="22"/>
        </w:rPr>
        <w:t>The requirement for educational offerings may be met only by those courses that have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Form of course approval. </w:t>
      </w:r>
      <w:r>
        <w:rPr>
          <w:rFonts w:ascii="Times New Roman" w:hAnsi="Times New Roman"/>
          <w:b w:val="false"/>
          <w:i w:val="false"/>
          <w:color w:val="000000"/>
          <w:sz w:val="22"/>
        </w:rPr>
        <w:t>Approval of a course may take the form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Program approval granted by the department to the sponsor or instructor of an educational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requests for credit granted by the department to an installer or inspector for an educational offering whose sponsor or instructor did not seek program approval;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Blanket approval granted by the department to educational offerings sponsored by the department or other professional organizations whose standards have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Procedures for course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 for program approval shall be made by the sponsor or instructor to the department and include an agenda or an outline of the content of the proposed educational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reviewed by the department, and notice of approval or denial of program approval shall be sent to the sponsor or instructor. Credit hours may be limited by the department based on program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Proof of participation. </w:t>
      </w:r>
      <w:r>
        <w:rPr>
          <w:rFonts w:ascii="Times New Roman" w:hAnsi="Times New Roman"/>
          <w:b w:val="false"/>
          <w:i w:val="false"/>
          <w:color w:val="000000"/>
          <w:sz w:val="22"/>
        </w:rPr>
        <w:t>Any approved course must provide participants a certificate of satisfactory completion of the course or provide the department a list of participants who have satisfactorily completed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134.6(3)</w:t>
      </w:r>
      <w:r>
        <w:rPr>
          <w:rFonts w:ascii="Times New Roman" w:hAnsi="Times New Roman"/>
          <w:b w:val="false"/>
          <w:i w:val="false"/>
          <w:color w:val="000000"/>
          <w:sz w:val="22"/>
        </w:rPr>
        <w:t> </w:t>
      </w:r>
      <w:r>
        <w:rPr>
          <w:rFonts w:ascii="Times New Roman" w:hAnsi="Times New Roman"/>
          <w:b w:val="false"/>
          <w:i/>
          <w:color w:val="000000"/>
          <w:sz w:val="22"/>
        </w:rPr>
        <w:t xml:space="preserve">Exceptions to required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may be issued a compliance inspector certification without the required training if all other requirements are satisfied and the required training is not offered within 60 days of the date of application. The applicant must attend required training when required training is next offered. If an applicant receives a certification under this temporary exception, the individual must attend required training, if offered, before renewal of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applicant receives a compliance inspector certification under the temporary training exception above, all compliance inspection activities must be conducted under the supervision of a trained Iowa-certified compliance inspector. Supervision does not require the trained Iowa-certified compliance inspector to be on site for compliance inspections conducted by an inspector who has not completed the required training. The trained Iowa-certified compliance inspector must co-sign compliance inspections conducted by the inspector who has not completed the required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Cathodic protection testers are not required to complete a course of instruction but are required to maintain AMPP (NACE) certification, STI cathodic protection certification, or equivalent certification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UST liners and UST testers are not required to complete a course of instruction or pass a state qualifying examination for initial certification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134.6(4)</w:t>
      </w:r>
      <w:r>
        <w:rPr>
          <w:rFonts w:ascii="Times New Roman" w:hAnsi="Times New Roman"/>
          <w:b w:val="false"/>
          <w:i w:val="false"/>
          <w:color w:val="000000"/>
          <w:sz w:val="22"/>
        </w:rPr>
        <w:t> </w:t>
      </w:r>
      <w:r>
        <w:rPr>
          <w:rFonts w:ascii="Times New Roman" w:hAnsi="Times New Roman"/>
          <w:b w:val="false"/>
          <w:i/>
          <w:color w:val="000000"/>
          <w:sz w:val="22"/>
        </w:rPr>
        <w:t xml:space="preserve">Exemption from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professional engineer exempted from groundwater professional certification examination pursuant to Iowa Code section </w:t>
      </w:r>
      <w:hyperlink r:id="rId10">
        <w:r>
          <w:rPr>
            <w:rStyle w:val="Hyperlink"/>
            <w:rFonts w:ascii="Times New Roman" w:hAnsi="Times New Roman"/>
            <w:b w:val="false"/>
            <w:i w:val="false"/>
            <w:color w:val="000000"/>
            <w:sz w:val="22"/>
          </w:rPr>
          <w:t>455B.474(9)</w:t>
        </w:r>
      </w:hyperlink>
      <w:r>
        <w:rPr>
          <w:rFonts w:ascii="Times New Roman" w:hAnsi="Times New Roman"/>
          <w:b w:val="false"/>
          <w:i/>
          <w:color w:val="000000"/>
          <w:sz w:val="22"/>
        </w:rPr>
        <w:t>“g”</w:t>
      </w:r>
      <w:r>
        <w:rPr>
          <w:rFonts w:ascii="Times New Roman" w:hAnsi="Times New Roman"/>
          <w:b w:val="false"/>
          <w:i w:val="false"/>
          <w:color w:val="000000"/>
          <w:sz w:val="22"/>
        </w:rPr>
        <w:t xml:space="preserve"> must meet the continuing education requirements of </w:t>
      </w:r>
      <w:hyperlink r:id="rId11">
        <w:r>
          <w:rPr>
            <w:rStyle w:val="Hyperlink"/>
            <w:rFonts w:ascii="Times New Roman" w:hAnsi="Times New Roman"/>
            <w:b w:val="false"/>
            <w:i w:val="false"/>
            <w:color w:val="000000"/>
            <w:sz w:val="22"/>
          </w:rPr>
          <w:t>567—134.8</w:t>
        </w:r>
      </w:hyperlink>
      <w:r>
        <w:rPr>
          <w:rFonts w:ascii="Times New Roman" w:hAnsi="Times New Roman"/>
          <w:b w:val="false"/>
          <w:i w:val="false"/>
          <w:color w:val="000000"/>
          <w:sz w:val="22"/>
        </w:rPr>
        <w:t>(455B) for the exemption to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engineer who is conducting business as an installation inspector or remover and who has met the requirements in Iowa to be a registered professional engineer (P.E.) is exempt from the educational requirements so long as UST-related work is in the scope of the engineer’s P.E. license and regular practice. Professional engineers must meet the continue education requirement of </w:t>
      </w:r>
      <w:hyperlink r:id="rId12">
        <w:r>
          <w:rPr>
            <w:rStyle w:val="Hyperlink"/>
            <w:rFonts w:ascii="Times New Roman" w:hAnsi="Times New Roman"/>
            <w:b w:val="false"/>
            <w:i w:val="false"/>
            <w:color w:val="000000"/>
            <w:sz w:val="22"/>
          </w:rPr>
          <w:t>567—134.8</w:t>
        </w:r>
      </w:hyperlink>
      <w:r>
        <w:rPr>
          <w:rFonts w:ascii="Times New Roman" w:hAnsi="Times New Roman"/>
          <w:b w:val="false"/>
          <w:i w:val="false"/>
          <w:color w:val="000000"/>
          <w:sz w:val="22"/>
        </w:rPr>
        <w:t>(455B) for this exemption to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567—134.7</w:t>
      </w:r>
      <w:r>
        <w:rPr>
          <w:rFonts w:ascii="Times New Roman" w:hAnsi="Times New Roman"/>
          <w:b/>
          <w:i w:val="false"/>
          <w:color w:val="000000"/>
          <w:sz w:val="22"/>
        </w:rPr>
        <w:t xml:space="preserve">(455B) </w:t>
      </w:r>
      <w:r>
        <w:rPr>
          <w:rFonts w:ascii="Times New Roman" w:hAnsi="Times New Roman"/>
          <w:b/>
          <w:i w:val="false"/>
          <w:color w:val="000000"/>
          <w:sz w:val="22"/>
        </w:rPr>
        <w:t xml:space="preserve">Certification issuance. </w:t>
      </w:r>
      <w:r>
        <w:rPr>
          <w:rFonts w:ascii="Times New Roman" w:hAnsi="Times New Roman"/>
          <w:b w:val="false"/>
          <w:i w:val="false"/>
          <w:color w:val="000000"/>
          <w:sz w:val="22"/>
        </w:rPr>
        <w:t>Upon receipt, review, and acceptance of an application and corresponding fee, the department will furnish the applicant with a certificate showing the name of the individual or company and the expiration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567—134.8</w:t>
      </w:r>
      <w:r>
        <w:rPr>
          <w:rFonts w:ascii="Times New Roman" w:hAnsi="Times New Roman"/>
          <w:b/>
          <w:i w:val="false"/>
          <w:color w:val="000000"/>
          <w:sz w:val="22"/>
        </w:rPr>
        <w:t xml:space="preserve">(455B) </w:t>
      </w:r>
      <w:r>
        <w:rPr>
          <w:rFonts w:ascii="Times New Roman" w:hAnsi="Times New Roman"/>
          <w:b/>
          <w:i w:val="false"/>
          <w:color w:val="000000"/>
          <w:sz w:val="22"/>
        </w:rPr>
        <w:t xml:space="preserve">Certification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134.8(1)</w:t>
      </w:r>
      <w:r>
        <w:rPr>
          <w:rFonts w:ascii="Times New Roman" w:hAnsi="Times New Roman"/>
          <w:b w:val="false"/>
          <w:i w:val="false"/>
          <w:color w:val="000000"/>
          <w:sz w:val="22"/>
        </w:rPr>
        <w:t> </w:t>
      </w:r>
      <w:r>
        <w:rPr>
          <w:rFonts w:ascii="Times New Roman" w:hAnsi="Times New Roman"/>
          <w:b w:val="false"/>
          <w:i/>
          <w:color w:val="000000"/>
          <w:sz w:val="22"/>
        </w:rPr>
        <w:t xml:space="preserve">Renewal period. </w:t>
      </w:r>
      <w:r>
        <w:rPr>
          <w:rFonts w:ascii="Times New Roman" w:hAnsi="Times New Roman"/>
          <w:b w:val="false"/>
          <w:i w:val="false"/>
          <w:color w:val="000000"/>
          <w:sz w:val="22"/>
        </w:rPr>
        <w:t>Applications for renewal must be submitted on a form provided by the department and no later than 30 days prior to the expiration date. If a certificate holder fails to renew the certification by the expiration date, the department may grant a grace period during which the applicant may submit the application and payment of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134.8(2)</w:t>
      </w:r>
      <w:r>
        <w:rPr>
          <w:rFonts w:ascii="Times New Roman" w:hAnsi="Times New Roman"/>
          <w:b w:val="false"/>
          <w:i w:val="false"/>
          <w:color w:val="000000"/>
          <w:sz w:val="22"/>
        </w:rPr>
        <w:t> </w:t>
      </w:r>
      <w:r>
        <w:rPr>
          <w:rFonts w:ascii="Times New Roman" w:hAnsi="Times New Roman"/>
          <w:b w:val="false"/>
          <w:i/>
          <w:color w:val="000000"/>
          <w:sz w:val="22"/>
        </w:rPr>
        <w:t xml:space="preserve">Renewal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renewal application shall be accompanied by a $200 renewal fee. Company renewal applications will include proof of liability insurance as required under </w:t>
      </w:r>
      <w:hyperlink r:id="rId13">
        <w:r>
          <w:rPr>
            <w:rStyle w:val="Hyperlink"/>
            <w:rFonts w:ascii="Times New Roman" w:hAnsi="Times New Roman"/>
            <w:b w:val="false"/>
            <w:i w:val="false"/>
            <w:color w:val="000000"/>
            <w:sz w:val="22"/>
          </w:rPr>
          <w:t>567—134.5</w:t>
        </w:r>
      </w:hyperlink>
      <w:r>
        <w:rPr>
          <w:rFonts w:ascii="Times New Roman" w:hAnsi="Times New Roman"/>
          <w:b w:val="false"/>
          <w:i w:val="false"/>
          <w:color w:val="000000"/>
          <w:sz w:val="22"/>
        </w:rPr>
        <w:t>(455B). Applications received after the December 1 deadline will be accepted with an additional $50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be eligible for renewal, an individual certificate holder shall fulfill all continuing education requirements, along with any other requirements set forth in each certification classification rule in this chapter. The department will consider all past disciplinary actions against the certificate holder when evaluating renewal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134.8(3)</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Individual certificate holders must complete continuing education requirements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Groundwater professionals must complete 12 hours of continuing education every two years in the areas relating to underground storage tank contamination assessment and corrective action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Cathodic protection testers must complete continuing education sufficient to maintain AMPP (NACE) or STI cathodic protection certification or department-approved equivalent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other certificate holders must complete eight hours of department-approved continuing education every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of completion of continuing education must be submitted to the department no later than the date of each renewal application. The department may limit the number of hours granted for similar courses during a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individual’s first certification period’s continuing education requirements can be waived. Continuing education hours cannot be carried forward to the next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Courses other than those currently approved by the department may be submitted to the department for consideration of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567—134.9</w:t>
      </w:r>
      <w:r>
        <w:rPr>
          <w:rFonts w:ascii="Times New Roman" w:hAnsi="Times New Roman"/>
          <w:b/>
          <w:i w:val="false"/>
          <w:color w:val="000000"/>
          <w:sz w:val="22"/>
        </w:rPr>
        <w:t xml:space="preserve">(455B) </w:t>
      </w:r>
      <w:r>
        <w:rPr>
          <w:rFonts w:ascii="Times New Roman" w:hAnsi="Times New Roman"/>
          <w:b/>
          <w:i w:val="false"/>
          <w:color w:val="000000"/>
          <w:sz w:val="22"/>
        </w:rPr>
        <w:t xml:space="preserve">Groundwater professional certification requirements. </w:t>
      </w:r>
      <w:r>
        <w:rPr>
          <w:rFonts w:ascii="Times New Roman" w:hAnsi="Times New Roman"/>
          <w:b w:val="false"/>
          <w:i w:val="false"/>
          <w:color w:val="000000"/>
          <w:sz w:val="22"/>
        </w:rPr>
        <w:t xml:space="preserve">In order to be certified as a groundwater professional, a person must meet one or more of the criteria described in Iowa Code section </w:t>
      </w:r>
      <w:hyperlink r:id="rId14">
        <w:r>
          <w:rPr>
            <w:rStyle w:val="Hyperlink"/>
            <w:rFonts w:ascii="Times New Roman" w:hAnsi="Times New Roman"/>
            <w:b w:val="false"/>
            <w:i w:val="false"/>
            <w:color w:val="000000"/>
            <w:sz w:val="22"/>
          </w:rPr>
          <w:t>455B.474(9)</w:t>
        </w:r>
      </w:hyperlink>
      <w:r>
        <w:rPr>
          <w:rFonts w:ascii="Times New Roman" w:hAnsi="Times New Roman"/>
          <w:b w:val="false"/>
          <w:i w:val="false"/>
          <w:color w:val="000000"/>
          <w:sz w:val="22"/>
        </w:rPr>
        <w:t xml:space="preserve">. For a person to qualify under Iowa Code section </w:t>
      </w:r>
      <w:hyperlink r:id="rId15">
        <w:r>
          <w:rPr>
            <w:rStyle w:val="Hyperlink"/>
            <w:rFonts w:ascii="Times New Roman" w:hAnsi="Times New Roman"/>
            <w:b w:val="false"/>
            <w:i w:val="false"/>
            <w:color w:val="000000"/>
            <w:sz w:val="22"/>
          </w:rPr>
          <w:t>455B.474(9)</w:t>
        </w:r>
      </w:hyperlink>
      <w:r>
        <w:rPr>
          <w:rFonts w:ascii="Times New Roman" w:hAnsi="Times New Roman"/>
          <w:b w:val="false"/>
          <w:i/>
          <w:color w:val="000000"/>
          <w:sz w:val="22"/>
        </w:rPr>
        <w:t>“b”</w:t>
      </w:r>
      <w:r>
        <w:rPr>
          <w:rFonts w:ascii="Times New Roman" w:hAnsi="Times New Roman"/>
          <w:b w:val="false"/>
          <w:i w:val="false"/>
          <w:color w:val="000000"/>
          <w:sz w:val="22"/>
        </w:rPr>
        <w:t xml:space="preserve">(4), at least two years of related formal education is required. Pursuant to Iowa Code section </w:t>
      </w:r>
      <w:hyperlink r:id="rId16">
        <w:r>
          <w:rPr>
            <w:rStyle w:val="Hyperlink"/>
            <w:rFonts w:ascii="Times New Roman" w:hAnsi="Times New Roman"/>
            <w:b w:val="false"/>
            <w:i w:val="false"/>
            <w:color w:val="000000"/>
            <w:sz w:val="22"/>
          </w:rPr>
          <w:t>455B.474(9)</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persons qualified to be certified under this rule, the failure to obtain a certificate prior to conducting applicable work will result in a $50 civil penalty.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567—134.10</w:t>
      </w:r>
      <w:r>
        <w:rPr>
          <w:rFonts w:ascii="Times New Roman" w:hAnsi="Times New Roman"/>
          <w:b/>
          <w:i w:val="false"/>
          <w:color w:val="000000"/>
          <w:sz w:val="22"/>
        </w:rPr>
        <w:t xml:space="preserve">(455B) </w:t>
      </w:r>
      <w:r>
        <w:rPr>
          <w:rFonts w:ascii="Times New Roman" w:hAnsi="Times New Roman"/>
          <w:b/>
          <w:i w:val="false"/>
          <w:color w:val="000000"/>
          <w:sz w:val="22"/>
        </w:rPr>
        <w:t xml:space="preserve">UST compliance inspector certification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134.10(1)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retained by an owner or operator of a UST facility for the purpose of determining compliance of a UST system for a compliance inspection required by the department under </w:t>
      </w:r>
      <w:hyperlink r:id="rId17">
        <w:r>
          <w:rPr>
            <w:rStyle w:val="Hyperlink"/>
            <w:rFonts w:ascii="Times New Roman" w:hAnsi="Times New Roman"/>
            <w:b w:val="false"/>
            <w:i w:val="false"/>
            <w:color w:val="000000"/>
            <w:sz w:val="22"/>
          </w:rPr>
          <w:t>567—135.19</w:t>
        </w:r>
      </w:hyperlink>
      <w:r>
        <w:rPr>
          <w:rFonts w:ascii="Times New Roman" w:hAnsi="Times New Roman"/>
          <w:b w:val="false"/>
          <w:i w:val="false"/>
          <w:color w:val="000000"/>
          <w:sz w:val="22"/>
        </w:rPr>
        <w:t>(455B) must hold a current UST compliance inspector certification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Inspector certification will be issued by the department to a person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certification requirements listed under </w:t>
      </w:r>
      <w:hyperlink r:id="rId18">
        <w:r>
          <w:rPr>
            <w:rStyle w:val="Hyperlink"/>
            <w:rFonts w:ascii="Times New Roman" w:hAnsi="Times New Roman"/>
            <w:b w:val="false"/>
            <w:i w:val="false"/>
            <w:color w:val="000000"/>
            <w:sz w:val="22"/>
          </w:rPr>
          <w:t>567—134.6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Satisfies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certified installer;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certified installation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participated on a minimum of 50 onsite compliance inspections with a certified compliance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two years of experience working with petroleum equipment, including installations, maintenance, or testing;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Has other relevant experience approved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not found to be in violation of this chapter and has not had a certification issued by the department under this chapter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134.10(2)</w:t>
      </w:r>
      <w:r>
        <w:rPr>
          <w:rFonts w:ascii="Times New Roman" w:hAnsi="Times New Roman"/>
          <w:b w:val="false"/>
          <w:i w:val="false"/>
          <w:color w:val="000000"/>
          <w:sz w:val="22"/>
        </w:rPr>
        <w:t> </w:t>
      </w:r>
      <w:r>
        <w:rPr>
          <w:rFonts w:ascii="Times New Roman" w:hAnsi="Times New Roman"/>
          <w:b w:val="false"/>
          <w:i/>
          <w:color w:val="000000"/>
          <w:sz w:val="22"/>
        </w:rPr>
        <w:t xml:space="preserve">Renewal qualifications. </w:t>
      </w:r>
      <w:r>
        <w:rPr>
          <w:rFonts w:ascii="Times New Roman" w:hAnsi="Times New Roman"/>
          <w:b w:val="false"/>
          <w:i w:val="false"/>
          <w:color w:val="000000"/>
          <w:sz w:val="22"/>
        </w:rPr>
        <w:t>To be eligible for certification renewal, a compliance inspector shall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Fulfilled the department’s continuing education requirements in </w:t>
      </w:r>
      <w:hyperlink r:id="rId19">
        <w:r>
          <w:rPr>
            <w:rStyle w:val="Hyperlink"/>
            <w:rFonts w:ascii="Times New Roman" w:hAnsi="Times New Roman"/>
            <w:b w:val="false"/>
            <w:i w:val="false"/>
            <w:color w:val="000000"/>
            <w:sz w:val="22"/>
          </w:rPr>
          <w:t>567—134.8</w:t>
        </w:r>
      </w:hyperlink>
      <w:r>
        <w:rPr>
          <w:rFonts w:ascii="Times New Roman" w:hAnsi="Times New Roman"/>
          <w:b w:val="false"/>
          <w:i w:val="false"/>
          <w:color w:val="000000"/>
          <w:sz w:val="22"/>
        </w:rPr>
        <w:t>(455B);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Conducted at least 12 compliance inspections 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134.10(3)</w:t>
      </w:r>
      <w:r>
        <w:rPr>
          <w:rFonts w:ascii="Times New Roman" w:hAnsi="Times New Roman"/>
          <w:b w:val="false"/>
          <w:i w:val="false"/>
          <w:color w:val="000000"/>
          <w:sz w:val="22"/>
        </w:rPr>
        <w:t> </w:t>
      </w:r>
      <w:r>
        <w:rPr>
          <w:rFonts w:ascii="Times New Roman" w:hAnsi="Times New Roman"/>
          <w:b w:val="false"/>
          <w:i/>
          <w:color w:val="000000"/>
          <w:sz w:val="22"/>
        </w:rPr>
        <w:t xml:space="preserve">UST compliance inspector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Compliance inspection. </w:t>
      </w:r>
      <w:r>
        <w:rPr>
          <w:rFonts w:ascii="Times New Roman" w:hAnsi="Times New Roman"/>
          <w:b w:val="false"/>
          <w:i w:val="false"/>
          <w:color w:val="000000"/>
          <w:sz w:val="22"/>
        </w:rPr>
        <w:t xml:space="preserve">The UST compliance inspector shall conduct a compliance inspection in accordance with this rule and </w:t>
      </w:r>
      <w:hyperlink r:id="rId20">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The inspector shall notify the department of the date of a site inspection at least ten days prior to the inspection or another time frame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Inspection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site inspection, the inspector shall send an inspection report to the owner and operator within ten business days. At a minimum, the report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Any violations or deficiencies related to </w:t>
      </w:r>
      <w:hyperlink r:id="rId21">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or other applicable state or federal law and those specific actions necessary to correct the violations or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Applicable time frames to correct violations or deficiencies if established in </w:t>
      </w:r>
      <w:hyperlink r:id="rId22">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or within 60 days of receipt of the inspection report or another reasonable time period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final electronic report shall be submitted to the department and a copy provided to the owner and operator as provided in </w:t>
      </w:r>
      <w:hyperlink r:id="rId23">
        <w:r>
          <w:rPr>
            <w:rStyle w:val="Hyperlink"/>
            <w:rFonts w:ascii="Times New Roman" w:hAnsi="Times New Roman"/>
            <w:b w:val="false"/>
            <w:i w:val="false"/>
            <w:color w:val="000000"/>
            <w:sz w:val="22"/>
          </w:rPr>
          <w:t>134.10(3)</w:t>
        </w:r>
      </w:hyperlink>
      <w:r>
        <w:rPr>
          <w:rFonts w:ascii="Times New Roman" w:hAnsi="Times New Roman"/>
          <w:b w:val="false"/>
          <w:i/>
          <w:color w:val="000000"/>
          <w:sz w:val="22"/>
        </w:rPr>
        <w:t>“c”</w:t>
      </w:r>
      <w:r>
        <w:rPr>
          <w:rFonts w:ascii="Times New Roman" w:hAnsi="Times New Roman"/>
          <w:b w:val="false"/>
          <w:i w:val="false"/>
          <w:color w:val="000000"/>
          <w:sz w:val="22"/>
        </w:rPr>
        <w:t xml:space="preserve"> within the following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ten business days of the inspection if the results of the inspection find no violations or deficiencies requiring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ten business days of the inspector’s receipt of all necessary documentation of all action required to correct violations and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any case, no later than 90 days of the site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deficiencies identified on the day of a compliance inspection must be reported to the department as a deficiency, regardless of when it is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Electronic inspection reporting. </w:t>
      </w:r>
      <w:r>
        <w:rPr>
          <w:rFonts w:ascii="Times New Roman" w:hAnsi="Times New Roman"/>
          <w:b w:val="false"/>
          <w:i w:val="false"/>
          <w:color w:val="000000"/>
          <w:sz w:val="22"/>
        </w:rPr>
        <w:t>The inspector shall prepare an electronic report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inspector shall enter the results of the site inspection discovered at the time of the inspection and any actions taken to correct violations and deficiencies on an internet-based electronic format developed by the department and in accordance with guidance. The department’s software will be capable of generating an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develop a generally compatible electronic platform using XML or another approved format. The department will provide the XML schema file format to describe the data needed to allow an inspector to transfer multiple site inspection results in an electronic batch process over the internet using the department’s inspection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inspector shall provide a print copy of the electronically generated inspection report to the owner and operator or an alternative report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inspection report submitted to the department electronically will include at least one overall site photo.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Evidence of violations or deficiencies. </w:t>
      </w:r>
      <w:r>
        <w:rPr>
          <w:rFonts w:ascii="Times New Roman" w:hAnsi="Times New Roman"/>
          <w:b w:val="false"/>
          <w:i w:val="false"/>
          <w:color w:val="000000"/>
          <w:sz w:val="22"/>
        </w:rPr>
        <w:t>Any evidence of violations or deficiencies observed during the inspection must be photographed using a digital photograph. Digital photographs must be submitted as part of the electronic inspection report and maintained by the inspector for five years as part of the inspector’s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The inspector must provide any inspection records provided by the owner and operator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Inspection technical requirements. </w:t>
      </w:r>
      <w:r>
        <w:rPr>
          <w:rFonts w:ascii="Times New Roman" w:hAnsi="Times New Roman"/>
          <w:b w:val="false"/>
          <w:i w:val="false"/>
          <w:color w:val="000000"/>
          <w:sz w:val="22"/>
        </w:rPr>
        <w:t xml:space="preserve">An inspector of a UST system must check for compliance with the technical standards of </w:t>
      </w:r>
      <w:hyperlink r:id="rId24">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The inspection of a UST system currently in operation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material currently stored in the 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type of tank and lines currently at the site as compared to the registered information on the department’s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Checking site records demonstrating operational compliance (</w:t>
      </w:r>
      <w:hyperlink r:id="rId25">
        <w:r>
          <w:rPr>
            <w:rStyle w:val="Hyperlink"/>
            <w:rFonts w:ascii="Times New Roman" w:hAnsi="Times New Roman"/>
            <w:b w:val="false"/>
            <w:i w:val="false"/>
            <w:color w:val="000000"/>
            <w:sz w:val="22"/>
          </w:rPr>
          <w:t>567—subrule 135.4(5)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Checking release detection records (</w:t>
      </w:r>
      <w:hyperlink r:id="rId26">
        <w:r>
          <w:rPr>
            <w:rStyle w:val="Hyperlink"/>
            <w:rFonts w:ascii="Times New Roman" w:hAnsi="Times New Roman"/>
            <w:b w:val="false"/>
            <w:i w:val="false"/>
            <w:color w:val="000000"/>
            <w:sz w:val="22"/>
          </w:rPr>
          <w:t>567—subrule 135.5(6)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Visually checking for releases or other violations by opening covers of dispensers, manways, and containment sumps for submersible pumps and other piping connections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Damaged or deteriorated product lines and underground fuel delivery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Visible indications the shear valve is leaking or has been damaged, altered, or modified in a manner that would prevent the valve from functioning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Current operating status of impressed current cathodic protection system, if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Presence and operational condition of spill and overfill equipment (</w:t>
      </w:r>
      <w:hyperlink r:id="rId27">
        <w:r>
          <w:rPr>
            <w:rStyle w:val="Hyperlink"/>
            <w:rFonts w:ascii="Times New Roman" w:hAnsi="Times New Roman"/>
            <w:b w:val="false"/>
            <w:i w:val="false"/>
            <w:color w:val="000000"/>
            <w:sz w:val="22"/>
          </w:rPr>
          <w:t>567—paragraph 135.3(1)</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134.10(4)</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A compliance inspector shall not conduct a compliance inspection if the compliance inspector is the owner or operator of the UST system, an employee of the owner or operator of the UST system, or a person having daily onsite responsibility for the operation and maintenance of the UST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567—134.11</w:t>
      </w:r>
      <w:r>
        <w:rPr>
          <w:rFonts w:ascii="Times New Roman" w:hAnsi="Times New Roman"/>
          <w:b/>
          <w:i w:val="false"/>
          <w:color w:val="000000"/>
          <w:sz w:val="22"/>
        </w:rPr>
        <w:t xml:space="preserve">(455B) </w:t>
      </w:r>
      <w:r>
        <w:rPr>
          <w:rFonts w:ascii="Times New Roman" w:hAnsi="Times New Roman"/>
          <w:b/>
          <w:i w:val="false"/>
          <w:color w:val="000000"/>
          <w:sz w:val="22"/>
        </w:rPr>
        <w:t xml:space="preserve">UST installer certification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134.11(1)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 xml:space="preserve">An installer of an UST system shall apply for a certification as an installer. In addition to the certification requirements listed under </w:t>
      </w:r>
      <w:hyperlink r:id="rId28">
        <w:r>
          <w:rPr>
            <w:rStyle w:val="Hyperlink"/>
            <w:rFonts w:ascii="Times New Roman" w:hAnsi="Times New Roman"/>
            <w:b w:val="false"/>
            <w:i w:val="false"/>
            <w:color w:val="000000"/>
            <w:sz w:val="22"/>
          </w:rPr>
          <w:t>567—134.6</w:t>
        </w:r>
      </w:hyperlink>
      <w:r>
        <w:rPr>
          <w:rFonts w:ascii="Times New Roman" w:hAnsi="Times New Roman"/>
          <w:b w:val="false"/>
          <w:i w:val="false"/>
          <w:color w:val="000000"/>
          <w:sz w:val="22"/>
        </w:rPr>
        <w:t>(455B), an installer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documentation of at least two years of relevant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documentation of manufacturer certification for work, including but not limited to tank systems, piping systems, leak detection and monitoring systems, and corrosion protection systems;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completed a 40-hour OSHA Hazardous Waste Operations and Emergency Response (HAZWOPER)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134.11(2)</w:t>
      </w:r>
      <w:r>
        <w:rPr>
          <w:rFonts w:ascii="Times New Roman" w:hAnsi="Times New Roman"/>
          <w:b w:val="false"/>
          <w:i w:val="false"/>
          <w:color w:val="000000"/>
          <w:sz w:val="22"/>
        </w:rPr>
        <w:t> </w:t>
      </w:r>
      <w:r>
        <w:rPr>
          <w:rFonts w:ascii="Times New Roman" w:hAnsi="Times New Roman"/>
          <w:b w:val="false"/>
          <w:i/>
          <w:color w:val="000000"/>
          <w:sz w:val="22"/>
        </w:rPr>
        <w:t xml:space="preserve">Renewal qualifications. </w:t>
      </w:r>
      <w:r>
        <w:rPr>
          <w:rFonts w:ascii="Times New Roman" w:hAnsi="Times New Roman"/>
          <w:b w:val="false"/>
          <w:i w:val="false"/>
          <w:color w:val="000000"/>
          <w:sz w:val="22"/>
        </w:rPr>
        <w:t>To be eligible for certification renewal, an installer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department’s continuing education requirements in </w:t>
      </w:r>
      <w:hyperlink r:id="rId29">
        <w:r>
          <w:rPr>
            <w:rStyle w:val="Hyperlink"/>
            <w:rFonts w:ascii="Times New Roman" w:hAnsi="Times New Roman"/>
            <w:b w:val="false"/>
            <w:i w:val="false"/>
            <w:color w:val="000000"/>
            <w:sz w:val="22"/>
          </w:rPr>
          <w:t>567—134.8</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manufacturer certification;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Complete an annual eight-hour HAZWOPER refresher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134.11(3)</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Certified installer. </w:t>
      </w:r>
      <w:r>
        <w:rPr>
          <w:rFonts w:ascii="Times New Roman" w:hAnsi="Times New Roman"/>
          <w:b w:val="false"/>
          <w:i w:val="false"/>
          <w:color w:val="000000"/>
          <w:sz w:val="22"/>
        </w:rPr>
        <w:t>A certified installer shall be on site during the performance of all work, including subcontracted work, for which the owner/operator has contracted to have completed by the installer. The certified installer is responsible for all UST-related work at the site and must ensure that the performance of the work and the finished work conform to industry standards and codes and manufacturers’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Local permits and notification. </w:t>
      </w:r>
      <w:r>
        <w:rPr>
          <w:rFonts w:ascii="Times New Roman" w:hAnsi="Times New Roman"/>
          <w:b w:val="false"/>
          <w:i w:val="false"/>
          <w:color w:val="000000"/>
          <w:sz w:val="22"/>
        </w:rPr>
        <w:t>The certified installer is responsible for ensuring that all local installation permits and notice requirements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Work performed. </w:t>
      </w:r>
      <w:r>
        <w:rPr>
          <w:rFonts w:ascii="Times New Roman" w:hAnsi="Times New Roman"/>
          <w:b w:val="false"/>
          <w:i w:val="false"/>
          <w:color w:val="000000"/>
          <w:sz w:val="22"/>
        </w:rPr>
        <w:t>UST system installation includes all work associated with the placement of the tanks, piping, pumps, dispensers, gauging systems, monitoring systems, containment sumps, spill and overfill devices, and ancillary systems that, if installed incorrectly, could cause or delay detection of a leak. Installation specifically includes excavation, equipment placement, backfilling, piping, electrical work, testing calibration, and start-up. Tank installation also includes installation of the appropriate equipment to meet National Emissions Standards for Hazardous Air Pollutants (NESHAP) requirements (</w:t>
      </w:r>
      <w:r>
        <w:rPr>
          <w:rFonts w:ascii="Times New Roman" w:hAnsi="Times New Roman"/>
          <w:b w:val="false"/>
          <w:i w:val="false"/>
          <w:color w:val="000000"/>
          <w:sz w:val="22"/>
        </w:rPr>
        <w:t>40 CFR §63.6580</w:t>
      </w:r>
      <w:r>
        <w:rPr>
          <w:rFonts w:ascii="Times New Roman" w:hAnsi="Times New Roman"/>
          <w:b w:val="false"/>
          <w:i w:val="false"/>
          <w:color w:val="000000"/>
          <w:sz w:val="22"/>
        </w:rPr>
        <w:t>, Subpart ZZZZ), including submerged fill and vapor balance systems (Stage 1 vapor recovery) and the testing of those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Testing of UST equipment. </w:t>
      </w:r>
      <w:r>
        <w:rPr>
          <w:rFonts w:ascii="Times New Roman" w:hAnsi="Times New Roman"/>
          <w:b w:val="false"/>
          <w:i w:val="false"/>
          <w:color w:val="000000"/>
          <w:sz w:val="22"/>
        </w:rPr>
        <w:t>Spill prevention equipment, containment sumps and UDC at new installations must be tested to ensure the equipment is liquid-tight before the UST system is placed into service. Acceptable test methods include vacuum, pressure, or liquid testing used in accordance with requirements developed by the manufacturer; a code of practice such as PEI RP1200; or methods determined by the department to be no less protective of human health and the environment than the requirements listed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134.11(4)</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work performed. </w:t>
      </w:r>
      <w:r>
        <w:rPr>
          <w:rFonts w:ascii="Times New Roman" w:hAnsi="Times New Roman"/>
          <w:b w:val="false"/>
          <w:i w:val="false"/>
          <w:color w:val="000000"/>
          <w:sz w:val="22"/>
        </w:rPr>
        <w:t xml:space="preserve">Installing a new UST system or upgrading a UST system requires an installer to submit department forms and testing documents applicable to the installation, signed by the owner, to the department no later than 30 days after the final third-party inspection or 30 days after completion if no inspection is required. Each certified installer responsible for the new system installation or the upgrading of an existing system shall sign DNR Form 148 as required by </w:t>
      </w:r>
      <w:hyperlink r:id="rId30">
        <w:r>
          <w:rPr>
            <w:rStyle w:val="Hyperlink"/>
            <w:rFonts w:ascii="Times New Roman" w:hAnsi="Times New Roman"/>
            <w:b w:val="false"/>
            <w:i w:val="false"/>
            <w:color w:val="000000"/>
            <w:sz w:val="22"/>
          </w:rPr>
          <w:t>567—paragraph 135.3(3)</w:t>
        </w:r>
      </w:hyperlink>
      <w:r>
        <w:rPr>
          <w:rFonts w:ascii="Times New Roman" w:hAnsi="Times New Roman"/>
          <w:b w:val="false"/>
          <w:i/>
          <w:color w:val="000000"/>
          <w:sz w:val="22"/>
        </w:rPr>
        <w:t>“e.”</w:t>
      </w:r>
      <w:r>
        <w:rPr>
          <w:rFonts w:ascii="Times New Roman" w:hAnsi="Times New Roman"/>
          <w:b w:val="false"/>
          <w:i w:val="false"/>
          <w:color w:val="000000"/>
          <w:sz w:val="22"/>
        </w:rPr>
        <w:t xml:space="preserve"> Secondary containment testing performed at installation shall be recorded on the department’s Secondary Containment Testing form unless otherwise approved by the department. Test results shall be dated and signed by the certified installer who performed the test at installation.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567—134.12</w:t>
      </w:r>
      <w:r>
        <w:rPr>
          <w:rFonts w:ascii="Times New Roman" w:hAnsi="Times New Roman"/>
          <w:b/>
          <w:i w:val="false"/>
          <w:color w:val="000000"/>
          <w:sz w:val="22"/>
        </w:rPr>
        <w:t xml:space="preserve">(455B) </w:t>
      </w:r>
      <w:r>
        <w:rPr>
          <w:rFonts w:ascii="Times New Roman" w:hAnsi="Times New Roman"/>
          <w:b/>
          <w:i w:val="false"/>
          <w:color w:val="000000"/>
          <w:sz w:val="22"/>
        </w:rPr>
        <w:t xml:space="preserve">UST tester certification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134.12(1)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 xml:space="preserve">A tester of UST systems shall apply for certification as a tester. A person engaging in testing described in </w:t>
      </w:r>
      <w:hyperlink r:id="rId31">
        <w:r>
          <w:rPr>
            <w:rStyle w:val="Hyperlink"/>
            <w:rFonts w:ascii="Times New Roman" w:hAnsi="Times New Roman"/>
            <w:b w:val="false"/>
            <w:i w:val="false"/>
            <w:color w:val="000000"/>
            <w:sz w:val="22"/>
          </w:rPr>
          <w:t>567—subparagraph 134.12(3)</w:t>
        </w:r>
      </w:hyperlink>
      <w:r>
        <w:rPr>
          <w:rFonts w:ascii="Times New Roman" w:hAnsi="Times New Roman"/>
          <w:b w:val="false"/>
          <w:i/>
          <w:color w:val="000000"/>
          <w:sz w:val="22"/>
        </w:rPr>
        <w:t>“a”</w:t>
      </w:r>
      <w:r>
        <w:rPr>
          <w:rFonts w:ascii="Times New Roman" w:hAnsi="Times New Roman"/>
          <w:b w:val="false"/>
          <w:i w:val="false"/>
          <w:color w:val="000000"/>
          <w:sz w:val="22"/>
        </w:rPr>
        <w:t xml:space="preserve">(2) need not be certified if that person is under the supervision of an individual certified under this chapter when conducting those tests. In addition to the certified requirements listed under </w:t>
      </w:r>
      <w:hyperlink r:id="rId32">
        <w:r>
          <w:rPr>
            <w:rStyle w:val="Hyperlink"/>
            <w:rFonts w:ascii="Times New Roman" w:hAnsi="Times New Roman"/>
            <w:b w:val="false"/>
            <w:i w:val="false"/>
            <w:color w:val="000000"/>
            <w:sz w:val="22"/>
          </w:rPr>
          <w:t>567—134.6</w:t>
        </w:r>
      </w:hyperlink>
      <w:r>
        <w:rPr>
          <w:rFonts w:ascii="Times New Roman" w:hAnsi="Times New Roman"/>
          <w:b w:val="false"/>
          <w:i w:val="false"/>
          <w:color w:val="000000"/>
          <w:sz w:val="22"/>
        </w:rPr>
        <w:t>(455B), a tester shall provide documentation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manufacturer certification(s) for equipment being used for testing;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Experience as documented by at least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year of relevant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Completion of a minimum of 80 on-site tests with a certified tester.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relevant experience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134.12(2)</w:t>
      </w:r>
      <w:r>
        <w:rPr>
          <w:rFonts w:ascii="Times New Roman" w:hAnsi="Times New Roman"/>
          <w:b w:val="false"/>
          <w:i w:val="false"/>
          <w:color w:val="000000"/>
          <w:sz w:val="22"/>
        </w:rPr>
        <w:t> </w:t>
      </w:r>
      <w:r>
        <w:rPr>
          <w:rFonts w:ascii="Times New Roman" w:hAnsi="Times New Roman"/>
          <w:b w:val="false"/>
          <w:i/>
          <w:color w:val="000000"/>
          <w:sz w:val="22"/>
        </w:rPr>
        <w:t xml:space="preserve">Renewal qualifications. </w:t>
      </w:r>
      <w:r>
        <w:rPr>
          <w:rFonts w:ascii="Times New Roman" w:hAnsi="Times New Roman"/>
          <w:b w:val="false"/>
          <w:i w:val="false"/>
          <w:color w:val="000000"/>
          <w:sz w:val="22"/>
        </w:rPr>
        <w:t xml:space="preserve">To be eligible for certification renewal, a tester shall fulfill the department’s continuing education requirements in </w:t>
      </w:r>
      <w:hyperlink r:id="rId33">
        <w:r>
          <w:rPr>
            <w:rStyle w:val="Hyperlink"/>
            <w:rFonts w:ascii="Times New Roman" w:hAnsi="Times New Roman"/>
            <w:b w:val="false"/>
            <w:i w:val="false"/>
            <w:color w:val="000000"/>
            <w:sz w:val="22"/>
          </w:rPr>
          <w:t>567—134.8</w:t>
        </w:r>
      </w:hyperlink>
      <w:r>
        <w:rPr>
          <w:rFonts w:ascii="Times New Roman" w:hAnsi="Times New Roman"/>
          <w:b w:val="false"/>
          <w:i w:val="false"/>
          <w:color w:val="000000"/>
          <w:sz w:val="22"/>
        </w:rPr>
        <w:t>(455B) and shall maintain manufacturer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134.12(3)</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tester is responsible for testing tanks, lines, leak detection systems, or monitoring systems as required by </w:t>
      </w:r>
      <w:hyperlink r:id="rId34">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precision test is required when the system is covered and is ready to be placed into service; a volumetric, nonvolumetric, or vacuum test may be used as a method for testing the system and a hydrostatic pressure test may be used for testing the lines. Systems used for leak detection or monitoring (such as statistical inventory reconciliation, vapor or water monitoring wells, or tracer-type tests) shall not be acceptable as a precision test at the completion of the installation of a new system or the upgrading of an existing system. Automatic in-tank gauging may be acceptable if third-party U.S. EPA approval as a precision test has been received for testing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tester may also perform periodic testing of spill prevention equipment and overfill devices, containment sumps, and UDC as required by </w:t>
      </w:r>
      <w:hyperlink r:id="rId35">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Spill prevention equipment, containment, sumps and UDC at new installations must be tested to ensure the equipment is liquid-tight before the UST system is placed into service. Acceptable methods include vacuum, pressure, or liquid testing used in accordance with requirements developed by the manufacture; a code of practice such as PEI RP1200; or methods determined by the department to be no less protective of human health and the environment than the requirements listed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does not need to be certified with the department to conduct periodic testing of spill prevention equipment, containment sumps, UDC, and annual release detection functionality testing of electronic release detection equipment such as automatic tank gauges, probes, sensors, or electronic line leak detectors as required by </w:t>
      </w:r>
      <w:hyperlink r:id="rId36">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Installation inspectors are not required for the testing of UST systems, lines, leak detection, and cathodic protection as required by </w:t>
      </w:r>
      <w:hyperlink r:id="rId37">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after the system has been put into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134.12(4)</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work performed. </w:t>
      </w:r>
      <w:r>
        <w:rPr>
          <w:rFonts w:ascii="Times New Roman" w:hAnsi="Times New Roman"/>
          <w:b w:val="false"/>
          <w:i w:val="false"/>
          <w:color w:val="000000"/>
          <w:sz w:val="22"/>
        </w:rPr>
        <w:t>A copy of the test results shall be attached to DNR Form 148 when testing is done in connection with an installation. The test results shall identify the tanks and piping tested, the test method employed, and the results of the test. Test results shall be dated and signed by the certified tester who performed the tests at installation.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567—134.13</w:t>
      </w:r>
      <w:r>
        <w:rPr>
          <w:rFonts w:ascii="Times New Roman" w:hAnsi="Times New Roman"/>
          <w:b/>
          <w:i w:val="false"/>
          <w:color w:val="000000"/>
          <w:sz w:val="22"/>
        </w:rPr>
        <w:t xml:space="preserve">(455B) </w:t>
      </w:r>
      <w:r>
        <w:rPr>
          <w:rFonts w:ascii="Times New Roman" w:hAnsi="Times New Roman"/>
          <w:b/>
          <w:i w:val="false"/>
          <w:color w:val="000000"/>
          <w:sz w:val="22"/>
        </w:rPr>
        <w:t xml:space="preserve">UST liners certification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134.13(1)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 xml:space="preserve">A person installing or repairing the lining for a UST system shall be certified as a liner. In addition to the certification requirements listed under </w:t>
      </w:r>
      <w:hyperlink r:id="rId38">
        <w:r>
          <w:rPr>
            <w:rStyle w:val="Hyperlink"/>
            <w:rFonts w:ascii="Times New Roman" w:hAnsi="Times New Roman"/>
            <w:b w:val="false"/>
            <w:i w:val="false"/>
            <w:color w:val="000000"/>
            <w:sz w:val="22"/>
          </w:rPr>
          <w:t>567—134.6</w:t>
        </w:r>
      </w:hyperlink>
      <w:r>
        <w:rPr>
          <w:rFonts w:ascii="Times New Roman" w:hAnsi="Times New Roman"/>
          <w:b w:val="false"/>
          <w:i w:val="false"/>
          <w:color w:val="000000"/>
          <w:sz w:val="22"/>
        </w:rPr>
        <w:t>(455B), a liner shall provide documentation of at least two years of relevant experience, provide documentation of current manufacturer certification, and have completed a 40-hour HAZWOPER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134.13(2)</w:t>
      </w:r>
      <w:r>
        <w:rPr>
          <w:rFonts w:ascii="Times New Roman" w:hAnsi="Times New Roman"/>
          <w:b w:val="false"/>
          <w:i w:val="false"/>
          <w:color w:val="000000"/>
          <w:sz w:val="22"/>
        </w:rPr>
        <w:t> </w:t>
      </w:r>
      <w:r>
        <w:rPr>
          <w:rFonts w:ascii="Times New Roman" w:hAnsi="Times New Roman"/>
          <w:b w:val="false"/>
          <w:i/>
          <w:color w:val="000000"/>
          <w:sz w:val="22"/>
        </w:rPr>
        <w:t xml:space="preserve">Renewal qualifications. </w:t>
      </w:r>
      <w:r>
        <w:rPr>
          <w:rFonts w:ascii="Times New Roman" w:hAnsi="Times New Roman"/>
          <w:b w:val="false"/>
          <w:i w:val="false"/>
          <w:color w:val="000000"/>
          <w:sz w:val="22"/>
        </w:rPr>
        <w:t>To be eligible for certification renewal, a liner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department’s continuing education requirements in </w:t>
      </w:r>
      <w:hyperlink r:id="rId39">
        <w:r>
          <w:rPr>
            <w:rStyle w:val="Hyperlink"/>
            <w:rFonts w:ascii="Times New Roman" w:hAnsi="Times New Roman"/>
            <w:b w:val="false"/>
            <w:i w:val="false"/>
            <w:color w:val="000000"/>
            <w:sz w:val="22"/>
          </w:rPr>
          <w:t>567—134.8</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manufacturer certification;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Complete an annual eight-hour HAZWOPER refresher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134.13(3)</w:t>
      </w:r>
      <w:r>
        <w:rPr>
          <w:rFonts w:ascii="Times New Roman" w:hAnsi="Times New Roman"/>
          <w:b w:val="false"/>
          <w:i w:val="false"/>
          <w:color w:val="000000"/>
          <w:sz w:val="22"/>
        </w:rPr>
        <w:t> </w:t>
      </w:r>
      <w:r>
        <w:rPr>
          <w:rFonts w:ascii="Times New Roman" w:hAnsi="Times New Roman"/>
          <w:b w:val="false"/>
          <w:i/>
          <w:color w:val="000000"/>
          <w:sz w:val="22"/>
        </w:rPr>
        <w:t xml:space="preserve">Lining system investigation and installation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Inspection of internal lining. </w:t>
      </w:r>
      <w:r>
        <w:rPr>
          <w:rFonts w:ascii="Times New Roman" w:hAnsi="Times New Roman"/>
          <w:b w:val="false"/>
          <w:i w:val="false"/>
          <w:color w:val="000000"/>
          <w:sz w:val="22"/>
        </w:rPr>
        <w:t xml:space="preserve">A steel underground storage tank that satisfies the corrosion protection requirement as set forth in </w:t>
      </w:r>
      <w:hyperlink r:id="rId40">
        <w:r>
          <w:rPr>
            <w:rStyle w:val="Hyperlink"/>
            <w:rFonts w:ascii="Times New Roman" w:hAnsi="Times New Roman"/>
            <w:b w:val="false"/>
            <w:i w:val="false"/>
            <w:color w:val="000000"/>
            <w:sz w:val="22"/>
          </w:rPr>
          <w:t>567—subparagraph 135.3(2)</w:t>
        </w:r>
      </w:hyperlink>
      <w:r>
        <w:rPr>
          <w:rFonts w:ascii="Times New Roman" w:hAnsi="Times New Roman"/>
          <w:b w:val="false"/>
          <w:i/>
          <w:color w:val="000000"/>
          <w:sz w:val="22"/>
        </w:rPr>
        <w:t>“b”</w:t>
      </w:r>
      <w:r>
        <w:rPr>
          <w:rFonts w:ascii="Times New Roman" w:hAnsi="Times New Roman"/>
          <w:b w:val="false"/>
          <w:i w:val="false"/>
          <w:color w:val="000000"/>
          <w:sz w:val="22"/>
        </w:rPr>
        <w:t xml:space="preserve">(1) by the addition of an internal lining shall be internally inspected within ten years of the date the tank was lined and every five years thereafter. The purpose of the inspection is to determine if the lining continues to perform according to the manufacturer’s specifications, state and federal rules, and national standards and codes and to determine if the tank is still structurally sound. The department accepts both manned entry and video camera periodic inspections. The lining method employed must be specifically designed for the purpose, be compatible with the product stored, and meet acceptable federal and state standards as set forth in </w:t>
      </w:r>
      <w:hyperlink r:id="rId41">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Integrity testing for tanks. </w:t>
      </w:r>
      <w:r>
        <w:rPr>
          <w:rFonts w:ascii="Times New Roman" w:hAnsi="Times New Roman"/>
          <w:b w:val="false"/>
          <w:i w:val="false"/>
          <w:color w:val="000000"/>
          <w:sz w:val="22"/>
        </w:rPr>
        <w:t>Liners shall verify structural integrity, including thickness and strength of the underground storage tanks, whenever tanks are physically entered (manned entry) for periodic inspections. The following standards must be used for lining and periodic inspections and integrity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Manned entry inspection. American Petroleum Institute (API) Standard 1631: Interior Lining and Periodic Inspection of Underground Storage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Video camera inspection. API Standard 1631: “Recommended Practice for Inspecting Buried Lined Steel Tanks Using a Video Camera” developed by Ken Wilcox Associates Inc. (KWA), Methods A and C; and ASTM G-158 (approved prediction models).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Repairs to lining. Standard 631 of the National Leak Prevention Association (NLPA): Entry, Cleaning, Interior Inspection, Repair and Lining of Underground Storage Tanks. Repaired lining must meet the requirements of API 1631 §8.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Documentation of the inspection. API 1631—Form C: Tank Re-Inspection Affidavit. Liners shall document any defects noted in the system including but not limited to holes and perforations using API 1631—Form C: Tank Re-Inspection Affidavit and shall include photographs of all methods of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work performed. </w:t>
      </w:r>
      <w:r>
        <w:rPr>
          <w:rFonts w:ascii="Times New Roman" w:hAnsi="Times New Roman"/>
          <w:b w:val="false"/>
          <w:i w:val="false"/>
          <w:color w:val="000000"/>
          <w:sz w:val="22"/>
        </w:rPr>
        <w:t>A liner shall submit the API 1631 report form to the department certifying that all work was performed in accordance with applicable industry standards.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567—134.14</w:t>
      </w:r>
      <w:r>
        <w:rPr>
          <w:rFonts w:ascii="Times New Roman" w:hAnsi="Times New Roman"/>
          <w:b/>
          <w:i w:val="false"/>
          <w:color w:val="000000"/>
          <w:sz w:val="22"/>
        </w:rPr>
        <w:t xml:space="preserve">(455B) </w:t>
      </w:r>
      <w:r>
        <w:rPr>
          <w:rFonts w:ascii="Times New Roman" w:hAnsi="Times New Roman"/>
          <w:b/>
          <w:i w:val="false"/>
          <w:color w:val="000000"/>
          <w:sz w:val="22"/>
        </w:rPr>
        <w:t xml:space="preserve">UST installation inspector certification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134.14(1)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 xml:space="preserve">A person inspecting the installation of any UST system shall be certified as an installation inspector. In addition to the certification requirements listed under </w:t>
      </w:r>
      <w:hyperlink r:id="rId42">
        <w:r>
          <w:rPr>
            <w:rStyle w:val="Hyperlink"/>
            <w:rFonts w:ascii="Times New Roman" w:hAnsi="Times New Roman"/>
            <w:b w:val="false"/>
            <w:i w:val="false"/>
            <w:color w:val="000000"/>
            <w:sz w:val="22"/>
          </w:rPr>
          <w:t>567—134.6</w:t>
        </w:r>
      </w:hyperlink>
      <w:r>
        <w:rPr>
          <w:rFonts w:ascii="Times New Roman" w:hAnsi="Times New Roman"/>
          <w:b w:val="false"/>
          <w:i w:val="false"/>
          <w:color w:val="000000"/>
          <w:sz w:val="22"/>
        </w:rPr>
        <w:t>(455B), an installation inspector shall provide documentation of at least two years of relevant experience and documentation of current manufacturer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134.14(2)</w:t>
      </w:r>
      <w:r>
        <w:rPr>
          <w:rFonts w:ascii="Times New Roman" w:hAnsi="Times New Roman"/>
          <w:b w:val="false"/>
          <w:i w:val="false"/>
          <w:color w:val="000000"/>
          <w:sz w:val="22"/>
        </w:rPr>
        <w:t> </w:t>
      </w:r>
      <w:r>
        <w:rPr>
          <w:rFonts w:ascii="Times New Roman" w:hAnsi="Times New Roman"/>
          <w:b w:val="false"/>
          <w:i/>
          <w:color w:val="000000"/>
          <w:sz w:val="22"/>
        </w:rPr>
        <w:t xml:space="preserve">Renewal qualifications. </w:t>
      </w:r>
      <w:r>
        <w:rPr>
          <w:rFonts w:ascii="Times New Roman" w:hAnsi="Times New Roman"/>
          <w:b w:val="false"/>
          <w:i w:val="false"/>
          <w:color w:val="000000"/>
          <w:sz w:val="22"/>
        </w:rPr>
        <w:t xml:space="preserve">To be eligible for certification renewal, an installation inspector shall fulfill the department’s continuing education requirements in </w:t>
      </w:r>
      <w:hyperlink r:id="rId43">
        <w:r>
          <w:rPr>
            <w:rStyle w:val="Hyperlink"/>
            <w:rFonts w:ascii="Times New Roman" w:hAnsi="Times New Roman"/>
            <w:b w:val="false"/>
            <w:i w:val="false"/>
            <w:color w:val="000000"/>
            <w:sz w:val="22"/>
          </w:rPr>
          <w:t>567—134.8</w:t>
        </w:r>
      </w:hyperlink>
      <w:r>
        <w:rPr>
          <w:rFonts w:ascii="Times New Roman" w:hAnsi="Times New Roman"/>
          <w:b w:val="false"/>
          <w:i w:val="false"/>
          <w:color w:val="000000"/>
          <w:sz w:val="22"/>
        </w:rPr>
        <w:t>(455B) and shall maintain manufacturer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134.14(3)</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inspection report must be submitted within 14 days after the inspection is complete. Both the inspection form and DNR Form 148 must be received by the department before the UST system can be activated.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installation inspector shall be present on site, shall visually observe all inspections, and shall be able to attest to the results. A video or other recording device showing the work completed by the installer shall not be used, nor shall it be an acceptable method of providing independent inspection of the work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Inspections are required when concrete is cut or excavation is required that could affect the integrity or operation of the UST system or when a component that routinely contains product is installed, replaced, or repaired. Inspections shall occur when the component is uncovered and replaced or repaired and during testing when required (i.e., piping replacement or repair) but before operation recommences.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inspection shall occur before the tanks or piping are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inspection shall occur before the covering of tank or piping when all tanks and piping are exposed. The inspector shall witness testing of the primary and secondary piping and testing of the secondary containment, including sumps, UDC, and secondary containment leak detection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final inspection shall occur when all components are operational and the system has been covered but before actual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Whenever secondary containment (such as sumps or UDC) is installed, at least one inspection is required after the equipment is installed and before the system is backfilled.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Replacing, repairing, or installing the following does not require an inspection: drop tubes, overfill devices, spill buckets, ATG systems, dispensers, submersible turbine pumps, automatic line leak detectors, internal lining and periodic inspections or lining repair, cathodic protection systems, interstitial sensors, flex connectors, and line and tank tightness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Prework notification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certified company/individual hired by an owner/operator to perform work shall notify the owner’s/operator’s certified installation inspector of choice prior to commencing work. Additionally, the owner/operator is responsible for supplying the name of the installation inspector if it is not a governmental entity to any state or local agency with rules affecting installations or upgrades.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prework notice given to the installation inspector shall include,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Description of the work planned.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individual responsible for the work to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schedule of the work to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the UST notification of intent to install form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installation inspector shall review the work plan, and any required changes by the installation inspector must be submitted to the company/individual prior to the beginning of the described work. An inspection schedule must be agreed upon before work commences. Changes to the work schedule, including the inspection schedule, because of weather or unforeseen jobsite conditions shall be agreed upon as soon as the extenuating circumstances are recognized.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Preinstallation and installation checklist.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company/individual performing the work shall submit to both the installation inspector and the department a notification of intent to install form 30 days prior to an installation or upgrade.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Installation inspectors are required to use the department’s installation inspection checklist. The installation inspection checklist must be submitted within 14 days following the tank installation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134.14(4)</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 xml:space="preserve">In addition to the conflict-of-interest provisions outlined in </w:t>
      </w:r>
      <w:hyperlink r:id="rId44">
        <w:r>
          <w:rPr>
            <w:rStyle w:val="Hyperlink"/>
            <w:rFonts w:ascii="Times New Roman" w:hAnsi="Times New Roman"/>
            <w:b w:val="false"/>
            <w:i w:val="false"/>
            <w:color w:val="000000"/>
            <w:sz w:val="22"/>
          </w:rPr>
          <w:t>567—134.16</w:t>
        </w:r>
      </w:hyperlink>
      <w:r>
        <w:rPr>
          <w:rFonts w:ascii="Times New Roman" w:hAnsi="Times New Roman"/>
          <w:b w:val="false"/>
          <w:i w:val="false"/>
          <w:color w:val="000000"/>
          <w:sz w:val="22"/>
        </w:rPr>
        <w:t>(455B), the department may require the owner/operator to seek alternative inspection services for any reason deemed prudent to ensure quality installations.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134.14(5)</w:t>
      </w:r>
      <w:r>
        <w:rPr>
          <w:rFonts w:ascii="Times New Roman" w:hAnsi="Times New Roman"/>
          <w:b w:val="false"/>
          <w:i w:val="false"/>
          <w:color w:val="000000"/>
          <w:sz w:val="22"/>
        </w:rPr>
        <w:t> </w:t>
      </w:r>
      <w:r>
        <w:rPr>
          <w:rFonts w:ascii="Times New Roman" w:hAnsi="Times New Roman"/>
          <w:b w:val="false"/>
          <w:i/>
          <w:color w:val="000000"/>
          <w:sz w:val="22"/>
        </w:rPr>
        <w:t xml:space="preserve">Miscellaneous requirement. </w:t>
      </w:r>
      <w:r>
        <w:rPr>
          <w:rFonts w:ascii="Times New Roman" w:hAnsi="Times New Roman"/>
          <w:b w:val="false"/>
          <w:i w:val="false"/>
          <w:color w:val="000000"/>
          <w:sz w:val="22"/>
        </w:rPr>
        <w:t>An installation inspector has the right to postpone work or to stop work on a job if standards as outlined in this chapter are not followed by the installer. Furthermore, once an installation inspector has been placed on a job, that installation inspector cannot be replaced without the department’s approval. Installation inspectors must verify that any local permit and notice requirements are in place.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567—134.15</w:t>
      </w:r>
      <w:r>
        <w:rPr>
          <w:rFonts w:ascii="Times New Roman" w:hAnsi="Times New Roman"/>
          <w:b/>
          <w:i w:val="false"/>
          <w:color w:val="000000"/>
          <w:sz w:val="22"/>
        </w:rPr>
        <w:t xml:space="preserve">(455B) </w:t>
      </w:r>
      <w:r>
        <w:rPr>
          <w:rFonts w:ascii="Times New Roman" w:hAnsi="Times New Roman"/>
          <w:b/>
          <w:i w:val="false"/>
          <w:color w:val="000000"/>
          <w:sz w:val="22"/>
        </w:rPr>
        <w:t xml:space="preserve">UST remover certification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134.15(1)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 xml:space="preserve">A person removing any UST system shall be certified as a remover. In addition to the certification requirements listed under </w:t>
      </w:r>
      <w:hyperlink r:id="rId45">
        <w:r>
          <w:rPr>
            <w:rStyle w:val="Hyperlink"/>
            <w:rFonts w:ascii="Times New Roman" w:hAnsi="Times New Roman"/>
            <w:b w:val="false"/>
            <w:i w:val="false"/>
            <w:color w:val="000000"/>
            <w:sz w:val="22"/>
          </w:rPr>
          <w:t>567—134.6</w:t>
        </w:r>
      </w:hyperlink>
      <w:r>
        <w:rPr>
          <w:rFonts w:ascii="Times New Roman" w:hAnsi="Times New Roman"/>
          <w:b w:val="false"/>
          <w:i w:val="false"/>
          <w:color w:val="000000"/>
          <w:sz w:val="22"/>
        </w:rPr>
        <w:t>(455B), a remover shall provide documentation of at least two years of removal or other relevant experience and complete a 40-hour OSHA HAZWOPER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134.15(2)</w:t>
      </w:r>
      <w:r>
        <w:rPr>
          <w:rFonts w:ascii="Times New Roman" w:hAnsi="Times New Roman"/>
          <w:b w:val="false"/>
          <w:i w:val="false"/>
          <w:color w:val="000000"/>
          <w:sz w:val="22"/>
        </w:rPr>
        <w:t> </w:t>
      </w:r>
      <w:r>
        <w:rPr>
          <w:rFonts w:ascii="Times New Roman" w:hAnsi="Times New Roman"/>
          <w:b w:val="false"/>
          <w:i/>
          <w:color w:val="000000"/>
          <w:sz w:val="22"/>
        </w:rPr>
        <w:t xml:space="preserve">Renewal qualifications. </w:t>
      </w:r>
      <w:r>
        <w:rPr>
          <w:rFonts w:ascii="Times New Roman" w:hAnsi="Times New Roman"/>
          <w:b w:val="false"/>
          <w:i w:val="false"/>
          <w:color w:val="000000"/>
          <w:sz w:val="22"/>
        </w:rPr>
        <w:t>To be eligible for certification renewal, a remover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department’s continuing education requirements in </w:t>
      </w:r>
      <w:hyperlink r:id="rId46">
        <w:r>
          <w:rPr>
            <w:rStyle w:val="Hyperlink"/>
            <w:rFonts w:ascii="Times New Roman" w:hAnsi="Times New Roman"/>
            <w:b w:val="false"/>
            <w:i w:val="false"/>
            <w:color w:val="000000"/>
            <w:sz w:val="22"/>
          </w:rPr>
          <w:t>567—134.8</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department-issued UST closure guidance in </w:t>
      </w:r>
      <w:hyperlink r:id="rId47">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Complete an annual eight-hour HAZWOPER refresher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134.15(3)</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and documentation of work performed. </w:t>
      </w:r>
      <w:r>
        <w:rPr>
          <w:rFonts w:ascii="Times New Roman" w:hAnsi="Times New Roman"/>
          <w:b w:val="false"/>
          <w:i w:val="false"/>
          <w:color w:val="000000"/>
          <w:sz w:val="22"/>
        </w:rPr>
        <w:t xml:space="preserve">A certified remover shall be on site during the performance of all UST closure-related work, including subcontracted work, for which the owner/operator has contracted to have completed by the remover. Removers are responsible for ensuring that all work performed complies with OSHA safety requirements. Removers shall submit to the department a notification of closure form 30 days prior to the scheduled removal or fill in place as required in </w:t>
      </w:r>
      <w:hyperlink r:id="rId48">
        <w:r>
          <w:rPr>
            <w:rStyle w:val="Hyperlink"/>
            <w:rFonts w:ascii="Times New Roman" w:hAnsi="Times New Roman"/>
            <w:b w:val="false"/>
            <w:i w:val="false"/>
            <w:color w:val="000000"/>
            <w:sz w:val="22"/>
          </w:rPr>
          <w:t>567—subrule 135.15(2)</w:t>
        </w:r>
      </w:hyperlink>
      <w:r>
        <w:rPr>
          <w:rFonts w:ascii="Times New Roman" w:hAnsi="Times New Roman"/>
          <w:b w:val="false"/>
          <w:i w:val="false"/>
          <w:color w:val="000000"/>
          <w:sz w:val="22"/>
        </w:rPr>
        <w:t xml:space="preserve">. Removers shall submit to the department the closure report within 45 days of removal or fill in place as required in </w:t>
      </w:r>
      <w:hyperlink r:id="rId49">
        <w:r>
          <w:rPr>
            <w:rStyle w:val="Hyperlink"/>
            <w:rFonts w:ascii="Times New Roman" w:hAnsi="Times New Roman"/>
            <w:b w:val="false"/>
            <w:i w:val="false"/>
            <w:color w:val="000000"/>
            <w:sz w:val="22"/>
          </w:rPr>
          <w:t>567—paragraph 135.15(3)</w:t>
        </w:r>
      </w:hyperlink>
      <w:r>
        <w:rPr>
          <w:rFonts w:ascii="Times New Roman" w:hAnsi="Times New Roman"/>
          <w:b w:val="false"/>
          <w:i/>
          <w:color w:val="000000"/>
          <w:sz w:val="22"/>
        </w:rPr>
        <w:t>“e.”</w:t>
      </w:r>
      <w:r>
        <w:rPr>
          <w:rFonts w:ascii="Times New Roman" w:hAnsi="Times New Roman"/>
          <w:b w:val="false"/>
          <w:i w:val="false"/>
          <w:color w:val="000000"/>
          <w:sz w:val="22"/>
        </w:rPr>
        <w:t xml:space="preserve"> Removers shall ensure that all local permits and notice requirements are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567—134.16</w:t>
      </w:r>
      <w:r>
        <w:rPr>
          <w:rFonts w:ascii="Times New Roman" w:hAnsi="Times New Roman"/>
          <w:b/>
          <w:i w:val="false"/>
          <w:color w:val="000000"/>
          <w:sz w:val="22"/>
        </w:rPr>
        <w:t xml:space="preserve">(455B) </w:t>
      </w:r>
      <w:r>
        <w:rPr>
          <w:rFonts w:ascii="Times New Roman" w:hAnsi="Times New Roman"/>
          <w:b/>
          <w:i w:val="false"/>
          <w:color w:val="000000"/>
          <w:sz w:val="22"/>
        </w:rPr>
        <w:t xml:space="preserve">Conflict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134.16(1)</w:t>
      </w:r>
      <w:r>
        <w:rPr>
          <w:rFonts w:ascii="Times New Roman" w:hAnsi="Times New Roman"/>
          <w:b w:val="false"/>
          <w:i w:val="false"/>
          <w:color w:val="000000"/>
          <w:sz w:val="22"/>
        </w:rPr>
        <w:t> </w:t>
      </w:r>
      <w:r>
        <w:rPr>
          <w:rFonts w:ascii="Times New Roman" w:hAnsi="Times New Roman"/>
          <w:b w:val="false"/>
          <w:i w:val="false"/>
          <w:color w:val="000000"/>
          <w:sz w:val="22"/>
        </w:rPr>
        <w:t>A certified individual or a company will not conduct a UST installation inspection for any facility at which the certificate holder is engaged in other professional services regulated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134.16(2)</w:t>
      </w:r>
      <w:r>
        <w:rPr>
          <w:rFonts w:ascii="Times New Roman" w:hAnsi="Times New Roman"/>
          <w:b w:val="false"/>
          <w:i w:val="false"/>
          <w:color w:val="000000"/>
          <w:sz w:val="22"/>
        </w:rPr>
        <w:t> </w:t>
      </w:r>
      <w:r>
        <w:rPr>
          <w:rFonts w:ascii="Times New Roman" w:hAnsi="Times New Roman"/>
          <w:b w:val="false"/>
          <w:i w:val="false"/>
          <w:color w:val="000000"/>
          <w:sz w:val="22"/>
        </w:rPr>
        <w:t>A person working for a certified company as an installer, liner, remover, or tester shall not provide services as an installation inspector on sites where UST systems are being installed or lined by the person’s prior employer until six months after leaving the prior employer’s certified company. If a certified individual is no longer employed by a certified company, the certified company shall notify the department within 30 days of that occurrence.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567—134.17</w:t>
      </w:r>
      <w:r>
        <w:rPr>
          <w:rFonts w:ascii="Times New Roman" w:hAnsi="Times New Roman"/>
          <w:b/>
          <w:i w:val="false"/>
          <w:color w:val="000000"/>
          <w:sz w:val="22"/>
        </w:rPr>
        <w:t xml:space="preserve">(455B) </w:t>
      </w:r>
      <w:r>
        <w:rPr>
          <w:rFonts w:ascii="Times New Roman" w:hAnsi="Times New Roman"/>
          <w:b/>
          <w:i w:val="false"/>
          <w:color w:val="000000"/>
          <w:sz w:val="22"/>
        </w:rPr>
        <w:t xml:space="preserve">Duty to report. </w:t>
      </w:r>
      <w:r>
        <w:rPr>
          <w:rFonts w:ascii="Times New Roman" w:hAnsi="Times New Roman"/>
          <w:b w:val="false"/>
          <w:i w:val="false"/>
          <w:color w:val="000000"/>
          <w:sz w:val="22"/>
        </w:rPr>
        <w:t xml:space="preserve">Any individual or company certified as a compliance inspector, installer, installation inspector, tester, liner, or remover shall timely report suspected and confirmed releases within 24 hours of discovery (6 hours if a hazardous condition exists) as described in </w:t>
      </w:r>
      <w:hyperlink r:id="rId50">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to the owner and operator. The certificate holder shall recommend to the owner and operator any release confirmation actions or other investigatory and response actions that in the certificate holder’s judgment would be consistent with the requirements of </w:t>
      </w:r>
      <w:hyperlink r:id="rId51">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The certificate holder shall report to the department within seven days of discovering a confirmed release. The certificate holder is not responsible for reporting a suspected release as described in </w:t>
      </w:r>
      <w:hyperlink r:id="rId52">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(455B) directly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567—134.18</w:t>
      </w:r>
      <w:r>
        <w:rPr>
          <w:rFonts w:ascii="Times New Roman" w:hAnsi="Times New Roman"/>
          <w:b/>
          <w:i w:val="false"/>
          <w:color w:val="000000"/>
          <w:sz w:val="22"/>
        </w:rPr>
        <w:t xml:space="preserve">(455B) </w:t>
      </w:r>
      <w:r>
        <w:rPr>
          <w:rFonts w:ascii="Times New Roman" w:hAnsi="Times New Roman"/>
          <w:b/>
          <w:i w:val="false"/>
          <w:color w:val="000000"/>
          <w:sz w:val="22"/>
        </w:rPr>
        <w:t xml:space="preserve">Disciplinary actions—suspension, revocation and denial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the policy of the department to enforce standards of professional and ethical conduct that are generally accepted within the professions that qualify a person for certification in Iowa. The department intends to investigate and enforce standards of conduct by a certificate holder that fall within the scope of the certificate holder’s relationship with the department. The department may impose disciplinary actions, which may include notice of deficiency, probation, suspension, revocation, or denial of a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suspension or revocation of a certificate shall prevent the certificate holder from engaging in activities for which certification is required. A certificate holder shall immediately surrender the certificate after the effective date of a suspension or revocation decision. The department may reinstate the certification if it is determined the person has satisfied the terms of the suspension order and the certification has not expired. Additional education, training, and reexamination may be required as a condition of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notice of deficiency may be issued to any certificate holder for any reason below and is not appealable pursuant to </w:t>
      </w:r>
      <w:hyperlink r:id="rId53">
        <w:r>
          <w:rPr>
            <w:rStyle w:val="Hyperlink"/>
            <w:rFonts w:ascii="Times New Roman" w:hAnsi="Times New Roman"/>
            <w:b w:val="false"/>
            <w:i w:val="false"/>
            <w:color w:val="000000"/>
            <w:sz w:val="22"/>
          </w:rPr>
          <w:t>134.18(5)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134.18(2)</w:t>
      </w:r>
      <w:r>
        <w:rPr>
          <w:rFonts w:ascii="Times New Roman" w:hAnsi="Times New Roman"/>
          <w:b w:val="false"/>
          <w:i w:val="false"/>
          <w:color w:val="000000"/>
          <w:sz w:val="22"/>
        </w:rPr>
        <w:t> </w:t>
      </w:r>
      <w:r>
        <w:rPr>
          <w:rFonts w:ascii="Times New Roman" w:hAnsi="Times New Roman"/>
          <w:b w:val="false"/>
          <w:i/>
          <w:color w:val="000000"/>
          <w:sz w:val="22"/>
        </w:rPr>
        <w:t xml:space="preserve">Reasons for discipline for groundwater professionals. </w:t>
      </w:r>
      <w:r>
        <w:rPr>
          <w:rFonts w:ascii="Times New Roman" w:hAnsi="Times New Roman"/>
          <w:b w:val="false"/>
          <w:i w:val="false"/>
          <w:color w:val="000000"/>
          <w:sz w:val="22"/>
        </w:rPr>
        <w:t>The department may impose probationary requirements or suspend, revoke or deny certification as a groundwater professional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material misstatement of fact in an application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provide the fee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Loss of license, certification, or registration necessary to meet the certification requirements in </w:t>
      </w:r>
      <w:hyperlink r:id="rId54">
        <w:r>
          <w:rPr>
            <w:rStyle w:val="Hyperlink"/>
            <w:rFonts w:ascii="Times New Roman" w:hAnsi="Times New Roman"/>
            <w:b w:val="false"/>
            <w:i w:val="false"/>
            <w:color w:val="000000"/>
            <w:sz w:val="22"/>
          </w:rPr>
          <w:t>567—134.9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Insufficient proof of qualifications required under </w:t>
      </w:r>
      <w:hyperlink r:id="rId55">
        <w:r>
          <w:rPr>
            <w:rStyle w:val="Hyperlink"/>
            <w:rFonts w:ascii="Times New Roman" w:hAnsi="Times New Roman"/>
            <w:b w:val="false"/>
            <w:i w:val="false"/>
            <w:color w:val="000000"/>
            <w:sz w:val="22"/>
          </w:rPr>
          <w:t>567—134.9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successfully complete the certification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on an obligation owed to or collected by the state as provided in Iowa Code section </w:t>
      </w:r>
      <w:hyperlink r:id="rId56">
        <w:r>
          <w:rPr>
            <w:rStyle w:val="Hyperlink"/>
            <w:rFonts w:ascii="Times New Roman" w:hAnsi="Times New Roman"/>
            <w:b w:val="false"/>
            <w:i w:val="false"/>
            <w:color w:val="000000"/>
            <w:sz w:val="22"/>
          </w:rPr>
          <w:t>421.17(27)</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Fraudulent omissions or misstatements of material fact in any reports, correspondence or communications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Violation of an ethical standard that the person knew or should have known and that results in or reasonably could have resulted in material consequences.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the presence of contamination to the parties reasonably believed to be responsible for reporting the contamination to the department as provided in 567—Chapter </w:t>
      </w:r>
      <w:hyperlink r:id="rId57">
        <w:r>
          <w:rPr>
            <w:rStyle w:val="Hyperlink"/>
            <w:rFonts w:ascii="Times New Roman" w:hAnsi="Times New Roman"/>
            <w:b w:val="false"/>
            <w:i w:val="false"/>
            <w:color w:val="000000"/>
            <w:sz w:val="22"/>
          </w:rPr>
          <w:t>131</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Knowingly making a materially false statement, representation or certification on any application, record, report, or document maintained or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Gross incompetence in the performance of groundwater professional services and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Material misstatement of facts or misrepresentation of information provided pursuant to Iowa Code chapter </w:t>
      </w:r>
      <w:hyperlink r:id="rId59">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subchapter IV, part 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Repeated acts or omissions that, when taken together, indicate a lack of competency, professionalism, ethical conduct, or adherence to standards of performance generally expected by the profession. The severity of the sanction may be based on the gravity of the acts or omissions and the degree of culpability. Disciplinary sanctions under this subrule will not be applied without providing the person with at least one written notice of the deficiency and a written warning that future repetition may result in discipline. Conduct or omissions that may be a basis for discipline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Repeated incidents of substandard field investigation will result in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Repeated incidents of substandard, inaccurate or incomplete site cleanup reports and failure to follow site cleanup report instructions will result in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Conduct warranting a sanction after prior suspension will result in a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134.18(3)</w:t>
      </w:r>
      <w:r>
        <w:rPr>
          <w:rFonts w:ascii="Times New Roman" w:hAnsi="Times New Roman"/>
          <w:b w:val="false"/>
          <w:i w:val="false"/>
          <w:color w:val="000000"/>
          <w:sz w:val="22"/>
        </w:rPr>
        <w:t> </w:t>
      </w:r>
      <w:r>
        <w:rPr>
          <w:rFonts w:ascii="Times New Roman" w:hAnsi="Times New Roman"/>
          <w:b w:val="false"/>
          <w:i/>
          <w:color w:val="000000"/>
          <w:sz w:val="22"/>
        </w:rPr>
        <w:t xml:space="preserve">Reasons for discipline for compliance inspectors.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Probation or suspension. </w:t>
      </w:r>
      <w:r>
        <w:rPr>
          <w:rFonts w:ascii="Times New Roman" w:hAnsi="Times New Roman"/>
          <w:b w:val="false"/>
          <w:i w:val="false"/>
          <w:color w:val="000000"/>
          <w:sz w:val="22"/>
        </w:rPr>
        <w:t>The department may impose probationary requirements or suspend the certification of a certified inspector for good cause. The suspension may require the certificate holder to take remedial measures intended to correct or prevent future acts and omissions. Good cause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violation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Negligent misrepresentation of material facts in a compliance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Negligent failure to identify a material violation of UST operation and maintenance standards set out in </w:t>
      </w:r>
      <w:hyperlink r:id="rId60">
        <w:r>
          <w:rPr>
            <w:rStyle w:val="Hyperlink"/>
            <w:rFonts w:ascii="Times New Roman" w:hAnsi="Times New Roman"/>
            <w:b w:val="false"/>
            <w:i w:val="false"/>
            <w:color w:val="000000"/>
            <w:sz w:val="22"/>
          </w:rPr>
          <w:t>567—134.10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Repeated failure to conduct compliance inspections and submit reports in accordance with the standards set out in </w:t>
      </w:r>
      <w:hyperlink r:id="rId61">
        <w:r>
          <w:rPr>
            <w:rStyle w:val="Hyperlink"/>
            <w:rFonts w:ascii="Times New Roman" w:hAnsi="Times New Roman"/>
            <w:b w:val="false"/>
            <w:i w:val="false"/>
            <w:color w:val="000000"/>
            <w:sz w:val="22"/>
          </w:rPr>
          <w:t>567—134.10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Incompetence on the part of the certified inspector as evidenced by errors in the performance of duties and activities for which the certification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Repeated failure to submit reports of inspection activities to the department or the owner and operator as provided in </w:t>
      </w:r>
      <w:hyperlink r:id="rId62">
        <w:r>
          <w:rPr>
            <w:rStyle w:val="Hyperlink"/>
            <w:rFonts w:ascii="Times New Roman" w:hAnsi="Times New Roman"/>
            <w:b w:val="false"/>
            <w:i w:val="false"/>
            <w:color w:val="000000"/>
            <w:sz w:val="22"/>
          </w:rPr>
          <w:t>567—134.10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The department may revoke the inspector certification for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disregard of, or willful or repeated violations of, this chapter or </w:t>
      </w:r>
      <w:hyperlink r:id="rId63">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Fraudulent omissions or misstatements of material facts in a compliance inspection report or in other written or oral communications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knowing and willful failure to detect and report a material violation of UST operation and maintenance standards as part of a compliance inspection required by </w:t>
      </w:r>
      <w:hyperlink r:id="rId64">
        <w:r>
          <w:rPr>
            <w:rStyle w:val="Hyperlink"/>
            <w:rFonts w:ascii="Times New Roman" w:hAnsi="Times New Roman"/>
            <w:b w:val="false"/>
            <w:i w:val="false"/>
            <w:color w:val="000000"/>
            <w:sz w:val="22"/>
          </w:rPr>
          <w:t>567—135.19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Acts or omissions warranting suspension after having certification previously suspended.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revocation of a certification as an installer or installation inspector under </w:t>
      </w:r>
      <w:hyperlink r:id="rId65">
        <w:r>
          <w:rPr>
            <w:rStyle w:val="Hyperlink"/>
            <w:rFonts w:ascii="Times New Roman" w:hAnsi="Times New Roman"/>
            <w:b w:val="false"/>
            <w:i w:val="false"/>
            <w:color w:val="000000"/>
            <w:sz w:val="22"/>
          </w:rPr>
          <w:t>567—134.11</w:t>
        </w:r>
      </w:hyperlink>
      <w:r>
        <w:rPr>
          <w:rFonts w:ascii="Times New Roman" w:hAnsi="Times New Roman"/>
          <w:b w:val="false"/>
          <w:i w:val="false"/>
          <w:color w:val="000000"/>
          <w:sz w:val="22"/>
        </w:rPr>
        <w:t xml:space="preserve">(455B) or </w:t>
      </w:r>
      <w:hyperlink r:id="rId66">
        <w:r>
          <w:rPr>
            <w:rStyle w:val="Hyperlink"/>
            <w:rFonts w:ascii="Times New Roman" w:hAnsi="Times New Roman"/>
            <w:b w:val="false"/>
            <w:i w:val="false"/>
            <w:color w:val="000000"/>
            <w:sz w:val="22"/>
          </w:rPr>
          <w:t>567—134.14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134.18(4)</w:t>
      </w:r>
      <w:r>
        <w:rPr>
          <w:rFonts w:ascii="Times New Roman" w:hAnsi="Times New Roman"/>
          <w:b w:val="false"/>
          <w:i w:val="false"/>
          <w:color w:val="000000"/>
          <w:sz w:val="22"/>
        </w:rPr>
        <w:t> </w:t>
      </w:r>
      <w:r>
        <w:rPr>
          <w:rFonts w:ascii="Times New Roman" w:hAnsi="Times New Roman"/>
          <w:b w:val="false"/>
          <w:i/>
          <w:color w:val="000000"/>
          <w:sz w:val="22"/>
        </w:rPr>
        <w:t xml:space="preserve">Reasons for discipline for all other certificate holders.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Probation or suspension. </w:t>
      </w:r>
      <w:r>
        <w:rPr>
          <w:rFonts w:ascii="Times New Roman" w:hAnsi="Times New Roman"/>
          <w:b w:val="false"/>
          <w:i w:val="false"/>
          <w:color w:val="000000"/>
          <w:sz w:val="22"/>
        </w:rPr>
        <w:t>The department may impose probationary requirements or suspend the certificate of any other individual or company certified under this chapter for good cause. A suspension may require the certificate holder to take remedial measures intended to correct or prevent future acts or omissions. Good cause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violation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Negligent misrepresentation of material facts in a report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Incompetence on the part of the certificate holder as evidenced by errors in the performance of duties and activities for which the certificate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Repeated failure to submit reports of activities to the department or the owner/operator as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The department may revoke the certification of a company or individual for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disregard of, or willful or repeated violations of, this chapter or </w:t>
      </w:r>
      <w:hyperlink r:id="rId67">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Omissions or misstatements of material facts in a report or in other written or oral communications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knowing and willful failure to detect and report a material violation of UST operation and maintenance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Acts or omissions warranting suspension after a certification was previously suspended.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134.18(5)</w:t>
      </w:r>
      <w:r>
        <w:rPr>
          <w:rFonts w:ascii="Times New Roman" w:hAnsi="Times New Roman"/>
          <w:b w:val="false"/>
          <w:i w:val="false"/>
          <w:color w:val="000000"/>
          <w:sz w:val="22"/>
        </w:rPr>
        <w:t> </w:t>
      </w:r>
      <w:r>
        <w:rPr>
          <w:rFonts w:ascii="Times New Roman" w:hAnsi="Times New Roman"/>
          <w:b w:val="false"/>
          <w:i/>
          <w:color w:val="000000"/>
          <w:sz w:val="22"/>
        </w:rPr>
        <w:t xml:space="preserve">Disciplinary procedure for all certificate holders.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issuance of a final department action imposing a disciplinary sanction of probation, suspension, revocation, or denial of certification, the department shall conduct such lawful investigation as it deems necessary to substantiate material facts sufficient to warrant a disciplinary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notice of a sanction shall be sent by certified mail to the person against whom the sanction is imposed. The notice shall provide a brief explanation of the facts relied upon and the sanction to be imposed. The notice shall inform the recipient of applicable appeal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appeal a decision imposing a probation, suspension, revocation or denial of certification within 30 days of receipt of the notice. Upon timely receipt of the notice of appeal, contested case procedures, including informal settlement, shall apply as provided in </w:t>
      </w:r>
      <w:hyperlink r:id="rId68">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561—Chapter 2506</w:t>
        </w:r>
      </w:hyperlink>
      <w:r>
        <w:rPr>
          <w:rFonts w:ascii="Times New Roman" w:hAnsi="Times New Roman"/>
          <w:b w:val="false"/>
          <w:i w:val="false"/>
          <w:color w:val="000000"/>
          <w:sz w:val="22"/>
        </w:rPr>
        <w:t xml:space="preserve">. In accordance with </w:t>
      </w:r>
      <w:hyperlink r:id="rId70">
        <w:r>
          <w:rPr>
            <w:rStyle w:val="Hyperlink"/>
            <w:rFonts w:ascii="Times New Roman" w:hAnsi="Times New Roman"/>
            <w:b w:val="false"/>
            <w:i w:val="false"/>
            <w:color w:val="000000"/>
            <w:sz w:val="22"/>
          </w:rPr>
          <w:t>7—subrule 2506.11(1)</w:t>
        </w:r>
      </w:hyperlink>
      <w:r>
        <w:rPr>
          <w:rFonts w:ascii="Times New Roman" w:hAnsi="Times New Roman"/>
          <w:b w:val="false"/>
          <w:i w:val="false"/>
          <w:color w:val="000000"/>
          <w:sz w:val="22"/>
        </w:rPr>
        <w:t>, the department shall initiate pleading by the filing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timely appeal has not been filed, the sanction is effective after 30 days from receipt of the notice. A party may request stay of the sanction, as provided in rule </w:t>
      </w:r>
      <w:hyperlink r:id="rId71">
        <w:r>
          <w:rPr>
            <w:rStyle w:val="Hyperlink"/>
            <w:rFonts w:ascii="Times New Roman" w:hAnsi="Times New Roman"/>
            <w:b w:val="false"/>
            <w:i w:val="false"/>
            <w:color w:val="000000"/>
            <w:sz w:val="22"/>
          </w:rPr>
          <w:t>7—2506.29(17A)</w:t>
        </w:r>
      </w:hyperlink>
      <w:r>
        <w:rPr>
          <w:rFonts w:ascii="Times New Roman" w:hAnsi="Times New Roman"/>
          <w:b w:val="false"/>
          <w:i w:val="false"/>
          <w:color w:val="000000"/>
          <w:sz w:val="22"/>
        </w:rPr>
        <w:t>, after issuance of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134.18(6)</w:t>
      </w:r>
      <w:r>
        <w:rPr>
          <w:rFonts w:ascii="Times New Roman" w:hAnsi="Times New Roman"/>
          <w:b w:val="false"/>
          <w:i w:val="false"/>
          <w:color w:val="000000"/>
          <w:sz w:val="22"/>
        </w:rPr>
        <w:t> </w:t>
      </w:r>
      <w:r>
        <w:rPr>
          <w:rFonts w:ascii="Times New Roman" w:hAnsi="Times New Roman"/>
          <w:b w:val="false"/>
          <w:i/>
          <w:color w:val="000000"/>
          <w:sz w:val="22"/>
        </w:rPr>
        <w:t xml:space="preserve">Noncompliance with support order procedures. </w:t>
      </w:r>
      <w:r>
        <w:rPr>
          <w:rFonts w:ascii="Times New Roman" w:hAnsi="Times New Roman"/>
          <w:b w:val="false"/>
          <w:i w:val="false"/>
          <w:color w:val="000000"/>
          <w:sz w:val="22"/>
        </w:rPr>
        <w:t xml:space="preserve">Upon receipt of a certification of noncompliance with a support obligation as provided in Iowa Code section </w:t>
      </w:r>
      <w:hyperlink r:id="rId72">
        <w:r>
          <w:rPr>
            <w:rStyle w:val="Hyperlink"/>
            <w:rFonts w:ascii="Times New Roman" w:hAnsi="Times New Roman"/>
            <w:b w:val="false"/>
            <w:i w:val="false"/>
            <w:color w:val="000000"/>
            <w:sz w:val="22"/>
          </w:rPr>
          <w:t>252J.7</w:t>
        </w:r>
      </w:hyperlink>
      <w:r>
        <w:rPr>
          <w:rFonts w:ascii="Times New Roman" w:hAnsi="Times New Roman"/>
          <w:b w:val="false"/>
          <w:i w:val="false"/>
          <w:color w:val="000000"/>
          <w:sz w:val="22"/>
        </w:rPr>
        <w:t xml:space="preserve">, the department will initiate procedures to deny an application for certification or renewal or to suspend a certification in accordance with Iowa Code section </w:t>
      </w:r>
      <w:hyperlink r:id="rId73">
        <w:r>
          <w:rPr>
            <w:rStyle w:val="Hyperlink"/>
            <w:rFonts w:ascii="Times New Roman" w:hAnsi="Times New Roman"/>
            <w:b w:val="false"/>
            <w:i w:val="false"/>
            <w:color w:val="000000"/>
            <w:sz w:val="22"/>
          </w:rPr>
          <w:t>252J.8(4)</w:t>
        </w:r>
      </w:hyperlink>
      <w:r>
        <w:rPr>
          <w:rFonts w:ascii="Times New Roman" w:hAnsi="Times New Roman"/>
          <w:b w:val="false"/>
          <w:i w:val="false"/>
          <w:color w:val="000000"/>
          <w:sz w:val="22"/>
        </w:rPr>
        <w:t xml:space="preserve">. The department shall issue a notice by certified mail to the person of its intent to deny or suspend professional certification based on receipt of a certification of noncompliance. The suspension or denial shall be effective 30 days after receipt of the notice unless the person provides the department with a withdrawal of the certificate of noncompliance from the child support recovery unit as provided in Iowa Code section </w:t>
      </w:r>
      <w:hyperlink r:id="rId74">
        <w:r>
          <w:rPr>
            <w:rStyle w:val="Hyperlink"/>
            <w:rFonts w:ascii="Times New Roman" w:hAnsi="Times New Roman"/>
            <w:b w:val="false"/>
            <w:i w:val="false"/>
            <w:color w:val="000000"/>
            <w:sz w:val="22"/>
          </w:rPr>
          <w:t>252J.8(4)</w:t>
        </w:r>
      </w:hyperlink>
      <w:r>
        <w:rPr>
          <w:rFonts w:ascii="Times New Roman" w:hAnsi="Times New Roman"/>
          <w:b w:val="false"/>
          <w:i/>
          <w:color w:val="000000"/>
          <w:sz w:val="22"/>
        </w:rPr>
        <w:t>“c.”</w:t>
      </w:r>
      <w:r>
        <w:rPr>
          <w:rFonts w:ascii="Times New Roman" w:hAnsi="Times New Roman"/>
          <w:b w:val="false"/>
          <w:i w:val="false"/>
          <w:color w:val="000000"/>
          <w:sz w:val="22"/>
        </w:rPr>
        <w:t xml:space="preserve"> Pursuant to Iowa Code section </w:t>
      </w:r>
      <w:hyperlink r:id="rId75">
        <w:r>
          <w:rPr>
            <w:rStyle w:val="Hyperlink"/>
            <w:rFonts w:ascii="Times New Roman" w:hAnsi="Times New Roman"/>
            <w:b w:val="false"/>
            <w:i w:val="false"/>
            <w:color w:val="000000"/>
            <w:sz w:val="22"/>
          </w:rPr>
          <w:t>252J.8(4)</w:t>
        </w:r>
      </w:hyperlink>
      <w:r>
        <w:rPr>
          <w:rFonts w:ascii="Times New Roman" w:hAnsi="Times New Roman"/>
          <w:b w:val="false"/>
          <w:i w:val="false"/>
          <w:color w:val="000000"/>
          <w:sz w:val="22"/>
        </w:rPr>
        <w:t xml:space="preserve">, the person does not have a right to a hearing before the department to contest the denial or suspension action under this subrule but may seek a hearing in district court in accordance with Iowa Code section </w:t>
      </w:r>
      <w:hyperlink r:id="rId76">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77">
        <w:r>
          <w:rPr>
            <w:rStyle w:val="Hyperlink"/>
            <w:rFonts w:ascii="Times New Roman" w:hAnsi="Times New Roman"/>
            <w:b w:val="false"/>
            <w:i w:val="false"/>
            <w:color w:val="000000"/>
            <w:sz w:val="22"/>
          </w:rPr>
          <w:t>455B.474</w:t>
        </w:r>
      </w:hyperlink>
      <w:r>
        <w:rPr>
          <w:rFonts w:ascii="Times New Roman" w:hAnsi="Times New Roman"/>
          <w:b w:val="false"/>
          <w:i w:val="false"/>
          <w:color w:val="000000"/>
          <w:sz w:val="22"/>
        </w:rPr>
        <w:t xml:space="preserve"> and chapter </w:t>
      </w:r>
      <w:hyperlink r:id="rId7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8/28/91—published 9/18/91, effective 8/28/91]</w:t>
      </w:r>
    </w:p>
    <w:p>
      <w:pPr>
        <w:spacing w:before="0" w:after="0"/>
        <w:ind w:left="120"/>
        <w:jc w:val="center"/>
      </w:pPr>
      <w:r>
        <w:rPr>
          <w:rFonts w:ascii="Times New Roman" w:hAnsi="Times New Roman"/>
          <w:b w:val="false"/>
          <w:i w:val="false"/>
          <w:color w:val="000000"/>
          <w:sz w:val="21"/>
        </w:rPr>
        <w:t>[Filed 2/28/92, Notice 9/18/91—published 3/18/92, effective 4/22/92]</w:t>
      </w:r>
    </w:p>
    <w:p>
      <w:pPr>
        <w:spacing w:before="0" w:after="0"/>
        <w:ind w:left="120"/>
        <w:jc w:val="center"/>
      </w:pPr>
      <w:r>
        <w:rPr>
          <w:rFonts w:ascii="Times New Roman" w:hAnsi="Times New Roman"/>
          <w:b w:val="false"/>
          <w:i w:val="false"/>
          <w:color w:val="000000"/>
          <w:sz w:val="21"/>
        </w:rPr>
        <w:t>[Filed 7/1/94, Notice 3/16/94—published 7/20/94, effective 8/24/94]</w:t>
      </w:r>
    </w:p>
    <w:p>
      <w:pPr>
        <w:spacing w:before="0" w:after="0"/>
        <w:ind w:left="120"/>
        <w:jc w:val="center"/>
      </w:pPr>
      <w:r>
        <w:rPr>
          <w:rFonts w:ascii="Times New Roman" w:hAnsi="Times New Roman"/>
          <w:b w:val="false"/>
          <w:i w:val="false"/>
          <w:color w:val="000000"/>
          <w:sz w:val="21"/>
        </w:rPr>
        <w:t>[Filed 4/19/96, Notice 1/17/96—published 5/8/96, effective 6/12/96]</w:t>
      </w:r>
    </w:p>
    <w:p>
      <w:pPr>
        <w:spacing w:before="0" w:after="0"/>
        <w:ind w:left="120"/>
        <w:jc w:val="center"/>
      </w:pPr>
      <w:r>
        <w:rPr>
          <w:rFonts w:ascii="Times New Roman" w:hAnsi="Times New Roman"/>
          <w:b w:val="false"/>
          <w:i w:val="false"/>
          <w:color w:val="000000"/>
          <w:sz w:val="21"/>
        </w:rPr>
        <w:t>[Filed 2/20/98, Notice 11/19/97—published 3/11/98, effective 4/15/98]</w:t>
      </w:r>
    </w:p>
    <w:p>
      <w:pPr>
        <w:spacing w:before="0" w:after="0"/>
        <w:ind w:left="120"/>
        <w:jc w:val="center"/>
      </w:pPr>
      <w:r>
        <w:rPr>
          <w:rFonts w:ascii="Times New Roman" w:hAnsi="Times New Roman"/>
          <w:b w:val="false"/>
          <w:i w:val="false"/>
          <w:color w:val="000000"/>
          <w:sz w:val="21"/>
        </w:rPr>
        <w:t>[Filed 12/19/01, Notice 10/17/01—published 1/9/02, effective 2/13/02]</w:t>
      </w:r>
    </w:p>
    <w:p>
      <w:pPr>
        <w:spacing w:before="0" w:after="0"/>
        <w:ind w:left="120"/>
        <w:jc w:val="center"/>
      </w:pPr>
      <w:r>
        <w:rPr>
          <w:rFonts w:ascii="Times New Roman" w:hAnsi="Times New Roman"/>
          <w:b w:val="false"/>
          <w:i w:val="false"/>
          <w:color w:val="000000"/>
          <w:sz w:val="21"/>
        </w:rPr>
        <w:t>[Filed 3/23/06, Notice 11/9/05—published 4/12/06, effective 5/17/06]</w:t>
      </w:r>
    </w:p>
    <w:p>
      <w:pPr>
        <w:spacing w:before="0" w:after="0"/>
        <w:ind w:left="120"/>
        <w:jc w:val="center"/>
      </w:pPr>
      <w:r>
        <w:rPr>
          <w:rFonts w:ascii="Times New Roman" w:hAnsi="Times New Roman"/>
          <w:b w:val="false"/>
          <w:i w:val="false"/>
          <w:color w:val="000000"/>
          <w:sz w:val="21"/>
        </w:rPr>
        <w:t>[Filed emergency 7/6/07—published 8/1/07, effective 7/6/07]</w:t>
      </w:r>
    </w:p>
    <w:p>
      <w:pPr>
        <w:spacing w:before="0" w:after="0"/>
        <w:ind w:left="120"/>
        <w:jc w:val="center"/>
      </w:pPr>
      <w:r>
        <w:rPr>
          <w:rFonts w:ascii="Times New Roman" w:hAnsi="Times New Roman"/>
          <w:b w:val="false"/>
          <w:i w:val="false"/>
          <w:color w:val="000000"/>
          <w:sz w:val="21"/>
        </w:rPr>
        <w:t>[Filed ARC 7946B</w:t>
      </w:r>
      <w:r>
        <w:rPr>
          <w:rFonts w:ascii="Times New Roman" w:hAnsi="Times New Roman"/>
          <w:b w:val="false"/>
          <w:i w:val="false"/>
          <w:color w:val="000000"/>
          <w:sz w:val="21"/>
        </w:rPr>
        <w:t xml:space="preserve"> (Notice ARC 7620B, IAB 3/11/09)</w:t>
      </w:r>
      <w:r>
        <w:rPr>
          <w:rFonts w:ascii="Times New Roman" w:hAnsi="Times New Roman"/>
          <w:b w:val="false"/>
          <w:i w:val="false"/>
          <w:color w:val="000000"/>
          <w:sz w:val="21"/>
        </w:rPr>
        <w:t>, IAB 7/15/09, effective 8/19/09]</w:t>
      </w:r>
    </w:p>
    <w:p>
      <w:pPr>
        <w:spacing w:before="0" w:after="0"/>
        <w:ind w:left="120"/>
        <w:jc w:val="center"/>
      </w:pPr>
      <w:r>
        <w:rPr>
          <w:rFonts w:ascii="Times New Roman" w:hAnsi="Times New Roman"/>
          <w:b w:val="false"/>
          <w:i w:val="false"/>
          <w:color w:val="000000"/>
          <w:sz w:val="21"/>
        </w:rPr>
        <w:t>[Filed ARC 8124B</w:t>
      </w:r>
      <w:r>
        <w:rPr>
          <w:rFonts w:ascii="Times New Roman" w:hAnsi="Times New Roman"/>
          <w:b w:val="false"/>
          <w:i w:val="false"/>
          <w:color w:val="000000"/>
          <w:sz w:val="21"/>
        </w:rPr>
        <w:t xml:space="preserve"> (Notice ARC 7854B, IAB 6/17/09)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5625C</w:t>
      </w:r>
      <w:r>
        <w:rPr>
          <w:rFonts w:ascii="Times New Roman" w:hAnsi="Times New Roman"/>
          <w:b w:val="false"/>
          <w:i w:val="false"/>
          <w:color w:val="000000"/>
          <w:sz w:val="21"/>
        </w:rPr>
        <w:t xml:space="preserve"> (Notice ARC 5316C, IAB 12/16/20)</w:t>
      </w:r>
      <w:r>
        <w:rPr>
          <w:rFonts w:ascii="Times New Roman" w:hAnsi="Times New Roman"/>
          <w:b w:val="false"/>
          <w:i w:val="false"/>
          <w:color w:val="000000"/>
          <w:sz w:val="21"/>
        </w:rPr>
        <w:t>, IAB 5/19/21, effective 6/23/21]</w:t>
      </w:r>
    </w:p>
    <w:p>
      <w:pPr>
        <w:spacing w:before="0" w:after="0"/>
        <w:ind w:left="120"/>
        <w:jc w:val="center"/>
      </w:pPr>
      <w:r>
        <w:rPr>
          <w:rFonts w:ascii="Times New Roman" w:hAnsi="Times New Roman"/>
          <w:b w:val="false"/>
          <w:i w:val="false"/>
          <w:color w:val="000000"/>
          <w:sz w:val="21"/>
        </w:rPr>
        <w:t>[Filed ARC 0490D</w:t>
      </w:r>
      <w:r>
        <w:rPr>
          <w:rFonts w:ascii="Times New Roman" w:hAnsi="Times New Roman"/>
          <w:b w:val="false"/>
          <w:i w:val="false"/>
          <w:color w:val="000000"/>
          <w:sz w:val="21"/>
        </w:rPr>
        <w:t xml:space="preserve"> (Notice ARC 9938C, IAB 1/7/26)</w:t>
      </w:r>
      <w:r>
        <w:rPr>
          <w:rFonts w:ascii="Times New Roman" w:hAnsi="Times New Roman"/>
          <w:b w:val="false"/>
          <w:i w:val="false"/>
          <w:color w:val="000000"/>
          <w:sz w:val="21"/>
        </w:rPr>
        <w:t>, IAB 8/19/26, effective 9/23/26]</w:t>
      </w:r>
    </w:p>
    <w:sectPr>
      <w:footerReference r:id="rId7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135.pdf" Type="http://schemas.openxmlformats.org/officeDocument/2006/relationships/hyperlink" Id="rId5"/>
    <Relationship TargetMode="External" Target="https://www.legis.iowa.gov/docs/ico/chapter/455B.471.pdf" Type="http://schemas.openxmlformats.org/officeDocument/2006/relationships/hyperlink" Id="rId6"/>
    <Relationship TargetMode="External" Target="https://www.legis.iowa.gov/docs/iac/chapter/567.135.pdf" Type="http://schemas.openxmlformats.org/officeDocument/2006/relationships/hyperlink" Id="rId7"/>
    <Relationship TargetMode="External" Target="https://www.legis.iowa.gov/docs/ico/chapter/455B.474.pdf" Type="http://schemas.openxmlformats.org/officeDocument/2006/relationships/hyperlink" Id="rId8"/>
    <Relationship TargetMode="External" Target="https://www.legis.iowa.gov/docs/iac/chapter/567.136.pdf" Type="http://schemas.openxmlformats.org/officeDocument/2006/relationships/hyperlink" Id="rId9"/>
    <Relationship TargetMode="External" Target="https://www.legis.iowa.gov/docs/ico/chapter/455B.474.pdf" Type="http://schemas.openxmlformats.org/officeDocument/2006/relationships/hyperlink" Id="rId10"/>
    <Relationship TargetMode="External" Target="https://www.legis.iowa.gov/docs/iac/rule/567.134.8.pdf" Type="http://schemas.openxmlformats.org/officeDocument/2006/relationships/hyperlink" Id="rId11"/>
    <Relationship TargetMode="External" Target="https://www.legis.iowa.gov/docs/iac/rule/567.134.8.pdf" Type="http://schemas.openxmlformats.org/officeDocument/2006/relationships/hyperlink" Id="rId12"/>
    <Relationship TargetMode="External" Target="https://www.legis.iowa.gov/docs/iac/rule/567.134.5.pdf" Type="http://schemas.openxmlformats.org/officeDocument/2006/relationships/hyperlink" Id="rId13"/>
    <Relationship TargetMode="External" Target="https://www.legis.iowa.gov/docs/ico/chapter/455B.474.pdf" Type="http://schemas.openxmlformats.org/officeDocument/2006/relationships/hyperlink" Id="rId14"/>
    <Relationship TargetMode="External" Target="https://www.legis.iowa.gov/docs/ico/chapter/455B.474.pdf" Type="http://schemas.openxmlformats.org/officeDocument/2006/relationships/hyperlink" Id="rId15"/>
    <Relationship TargetMode="External" Target="https://www.legis.iowa.gov/docs/ico/chapter/455B.474.pdf" Type="http://schemas.openxmlformats.org/officeDocument/2006/relationships/hyperlink" Id="rId16"/>
    <Relationship TargetMode="External" Target="https://www.legis.iowa.gov/docs/iac/rule/567.135.19.pdf" Type="http://schemas.openxmlformats.org/officeDocument/2006/relationships/hyperlink" Id="rId17"/>
    <Relationship TargetMode="External" Target="https://www.legis.iowa.gov/docs/iac/rule/567.134.6.pdf" Type="http://schemas.openxmlformats.org/officeDocument/2006/relationships/hyperlink" Id="rId18"/>
    <Relationship TargetMode="External" Target="https://www.legis.iowa.gov/docs/iac/rule/567.134.8.pdf" Type="http://schemas.openxmlformats.org/officeDocument/2006/relationships/hyperlink" Id="rId19"/>
    <Relationship TargetMode="External" Target="https://www.legis.iowa.gov/docs/iac/chapter/567.135.pdf" Type="http://schemas.openxmlformats.org/officeDocument/2006/relationships/hyperlink" Id="rId20"/>
    <Relationship TargetMode="External" Target="https://www.legis.iowa.gov/docs/iac/chapter/567.135.pdf" Type="http://schemas.openxmlformats.org/officeDocument/2006/relationships/hyperlink" Id="rId21"/>
    <Relationship TargetMode="External" Target="https://www.legis.iowa.gov/docs/iac/chapter/567.135.pdf" Type="http://schemas.openxmlformats.org/officeDocument/2006/relationships/hyperlink" Id="rId22"/>
    <Relationship TargetMode="External" Target="https://www.legis.iowa.gov/docs/iac/rule/567.134.10.pdf" Type="http://schemas.openxmlformats.org/officeDocument/2006/relationships/hyperlink" Id="rId23"/>
    <Relationship TargetMode="External" Target="https://www.legis.iowa.gov/docs/iac/chapter/567.135.pdf" Type="http://schemas.openxmlformats.org/officeDocument/2006/relationships/hyperlink" Id="rId24"/>
    <Relationship TargetMode="External" Target="https://www.legis.iowa.gov/docs/iac/rule/567.135.4.pdf" Type="http://schemas.openxmlformats.org/officeDocument/2006/relationships/hyperlink" Id="rId25"/>
    <Relationship TargetMode="External" Target="https://www.legis.iowa.gov/docs/iac/rule/567.135.5.pdf" Type="http://schemas.openxmlformats.org/officeDocument/2006/relationships/hyperlink" Id="rId26"/>
    <Relationship TargetMode="External" Target="https://www.legis.iowa.gov/docs/iac/rule/567.135.3.pdf" Type="http://schemas.openxmlformats.org/officeDocument/2006/relationships/hyperlink" Id="rId27"/>
    <Relationship TargetMode="External" Target="https://www.legis.iowa.gov/docs/iac/rule/567.134.6.pdf" Type="http://schemas.openxmlformats.org/officeDocument/2006/relationships/hyperlink" Id="rId28"/>
    <Relationship TargetMode="External" Target="https://www.legis.iowa.gov/docs/iac/rule/567.134.8.pdf" Type="http://schemas.openxmlformats.org/officeDocument/2006/relationships/hyperlink" Id="rId29"/>
    <Relationship TargetMode="External" Target="https://www.legis.iowa.gov/docs/iac/rule/567.135.3.pdf" Type="http://schemas.openxmlformats.org/officeDocument/2006/relationships/hyperlink" Id="rId30"/>
    <Relationship TargetMode="External" Target="https://www.legis.iowa.gov/docs/iac/rule/567.134.12.pdf" Type="http://schemas.openxmlformats.org/officeDocument/2006/relationships/hyperlink" Id="rId31"/>
    <Relationship TargetMode="External" Target="https://www.legis.iowa.gov/docs/iac/rule/567.134.6.pdf" Type="http://schemas.openxmlformats.org/officeDocument/2006/relationships/hyperlink" Id="rId32"/>
    <Relationship TargetMode="External" Target="https://www.legis.iowa.gov/docs/iac/rule/567.134.8.pdf" Type="http://schemas.openxmlformats.org/officeDocument/2006/relationships/hyperlink" Id="rId33"/>
    <Relationship TargetMode="External" Target="https://www.legis.iowa.gov/docs/iac/chapter/567.135.pdf" Type="http://schemas.openxmlformats.org/officeDocument/2006/relationships/hyperlink" Id="rId34"/>
    <Relationship TargetMode="External" Target="https://www.legis.iowa.gov/docs/iac/chapter/567.135.pdf" Type="http://schemas.openxmlformats.org/officeDocument/2006/relationships/hyperlink" Id="rId35"/>
    <Relationship TargetMode="External" Target="https://www.legis.iowa.gov/docs/iac/chapter/567.135.pdf" Type="http://schemas.openxmlformats.org/officeDocument/2006/relationships/hyperlink" Id="rId36"/>
    <Relationship TargetMode="External" Target="https://www.legis.iowa.gov/docs/iac/chapter/567.135.pdf" Type="http://schemas.openxmlformats.org/officeDocument/2006/relationships/hyperlink" Id="rId37"/>
    <Relationship TargetMode="External" Target="https://www.legis.iowa.gov/docs/iac/rule/567.134.6.pdf" Type="http://schemas.openxmlformats.org/officeDocument/2006/relationships/hyperlink" Id="rId38"/>
    <Relationship TargetMode="External" Target="https://www.legis.iowa.gov/docs/iac/rule/567.134.8.pdf" Type="http://schemas.openxmlformats.org/officeDocument/2006/relationships/hyperlink" Id="rId39"/>
    <Relationship TargetMode="External" Target="https://www.legis.iowa.gov/docs/iac/rule/567.135.3.pdf" Type="http://schemas.openxmlformats.org/officeDocument/2006/relationships/hyperlink" Id="rId40"/>
    <Relationship TargetMode="External" Target="https://www.legis.iowa.gov/docs/iac/chapter/567.135.pdf" Type="http://schemas.openxmlformats.org/officeDocument/2006/relationships/hyperlink" Id="rId41"/>
    <Relationship TargetMode="External" Target="https://www.legis.iowa.gov/docs/iac/rule/567.134.6.pdf" Type="http://schemas.openxmlformats.org/officeDocument/2006/relationships/hyperlink" Id="rId42"/>
    <Relationship TargetMode="External" Target="https://www.legis.iowa.gov/docs/iac/rule/567.134.8.pdf" Type="http://schemas.openxmlformats.org/officeDocument/2006/relationships/hyperlink" Id="rId43"/>
    <Relationship TargetMode="External" Target="https://www.legis.iowa.gov/docs/iac/rule/567.134.16.pdf" Type="http://schemas.openxmlformats.org/officeDocument/2006/relationships/hyperlink" Id="rId44"/>
    <Relationship TargetMode="External" Target="https://www.legis.iowa.gov/docs/iac/rule/567.134.6.pdf" Type="http://schemas.openxmlformats.org/officeDocument/2006/relationships/hyperlink" Id="rId45"/>
    <Relationship TargetMode="External" Target="https://www.legis.iowa.gov/docs/iac/rule/567.134.8.pdf" Type="http://schemas.openxmlformats.org/officeDocument/2006/relationships/hyperlink" Id="rId46"/>
    <Relationship TargetMode="External" Target="https://www.legis.iowa.gov/docs/iac/chapter/567.135.pdf" Type="http://schemas.openxmlformats.org/officeDocument/2006/relationships/hyperlink" Id="rId47"/>
    <Relationship TargetMode="External" Target="https://www.legis.iowa.gov/docs/iac/rule/567.135.15.pdf" Type="http://schemas.openxmlformats.org/officeDocument/2006/relationships/hyperlink" Id="rId48"/>
    <Relationship TargetMode="External" Target="https://www.legis.iowa.gov/docs/iac/rule/567.135.15.pdf" Type="http://schemas.openxmlformats.org/officeDocument/2006/relationships/hyperlink" Id="rId49"/>
    <Relationship TargetMode="External" Target="https://www.legis.iowa.gov/docs/iac/rule/567.135.6.pdf" Type="http://schemas.openxmlformats.org/officeDocument/2006/relationships/hyperlink" Id="rId50"/>
    <Relationship TargetMode="External" Target="https://www.legis.iowa.gov/docs/iac/rule/567.135.6.pdf" Type="http://schemas.openxmlformats.org/officeDocument/2006/relationships/hyperlink" Id="rId51"/>
    <Relationship TargetMode="External" Target="https://www.legis.iowa.gov/docs/iac/rule/567.135.6.pdf" Type="http://schemas.openxmlformats.org/officeDocument/2006/relationships/hyperlink" Id="rId52"/>
    <Relationship TargetMode="External" Target="https://www.legis.iowa.gov/docs/iac/rule/567.134.18.pdf" Type="http://schemas.openxmlformats.org/officeDocument/2006/relationships/hyperlink" Id="rId53"/>
    <Relationship TargetMode="External" Target="https://www.legis.iowa.gov/docs/iac/rule/567.134.9.pdf" Type="http://schemas.openxmlformats.org/officeDocument/2006/relationships/hyperlink" Id="rId54"/>
    <Relationship TargetMode="External" Target="https://www.legis.iowa.gov/docs/iac/rule/567.134.9.pdf" Type="http://schemas.openxmlformats.org/officeDocument/2006/relationships/hyperlink" Id="rId55"/>
    <Relationship TargetMode="External" Target="https://www.legis.iowa.gov/docs/ico/chapter/421.17.pdf" Type="http://schemas.openxmlformats.org/officeDocument/2006/relationships/hyperlink" Id="rId56"/>
    <Relationship TargetMode="External" Target="https://www.legis.iowa.gov/docs/iac/chapter/567.131.pdf" Type="http://schemas.openxmlformats.org/officeDocument/2006/relationships/hyperlink" Id="rId57"/>
    <Relationship TargetMode="External" Target="https://www.legis.iowa.gov/docs/iac/rule/567.135.6.pdf" Type="http://schemas.openxmlformats.org/officeDocument/2006/relationships/hyperlink" Id="rId58"/>
    <Relationship TargetMode="External" Target="https://www.legis.iowa.gov/docs/ico/chapter/455B.pdf" Type="http://schemas.openxmlformats.org/officeDocument/2006/relationships/hyperlink" Id="rId59"/>
    <Relationship TargetMode="External" Target="https://www.legis.iowa.gov/docs/iac/rule/567.134.10.pdf" Type="http://schemas.openxmlformats.org/officeDocument/2006/relationships/hyperlink" Id="rId60"/>
    <Relationship TargetMode="External" Target="https://www.legis.iowa.gov/docs/iac/rule/567.134.10.pdf" Type="http://schemas.openxmlformats.org/officeDocument/2006/relationships/hyperlink" Id="rId61"/>
    <Relationship TargetMode="External" Target="https://www.legis.iowa.gov/docs/iac/rule/567.134.10.pdf" Type="http://schemas.openxmlformats.org/officeDocument/2006/relationships/hyperlink" Id="rId62"/>
    <Relationship TargetMode="External" Target="https://www.legis.iowa.gov/docs/iac/chapter/567.135.pdf" Type="http://schemas.openxmlformats.org/officeDocument/2006/relationships/hyperlink" Id="rId63"/>
    <Relationship TargetMode="External" Target="https://www.legis.iowa.gov/docs/iac/rule/567.135.19.pdf" Type="http://schemas.openxmlformats.org/officeDocument/2006/relationships/hyperlink" Id="rId64"/>
    <Relationship TargetMode="External" Target="https://www.legis.iowa.gov/docs/iac/rule/567.134.11.pdf" Type="http://schemas.openxmlformats.org/officeDocument/2006/relationships/hyperlink" Id="rId65"/>
    <Relationship TargetMode="External" Target="https://www.legis.iowa.gov/docs/iac/rule/567.134.14.pdf" Type="http://schemas.openxmlformats.org/officeDocument/2006/relationships/hyperlink" Id="rId66"/>
    <Relationship TargetMode="External" Target="https://www.legis.iowa.gov/docs/iac/chapter/567.135.pdf" Type="http://schemas.openxmlformats.org/officeDocument/2006/relationships/hyperlink" Id="rId67"/>
    <Relationship TargetMode="External" Target="https://www.legis.iowa.gov/docs/iac/chapter/7.2506.pdf" Type="http://schemas.openxmlformats.org/officeDocument/2006/relationships/hyperlink" Id="rId68"/>
    <Relationship TargetMode="External" Target="https://www.legis.iowa.gov/docs/iac/chapter/561.2506.pdf" Type="http://schemas.openxmlformats.org/officeDocument/2006/relationships/hyperlink" Id="rId69"/>
    <Relationship TargetMode="External" Target="https://www.legis.iowa.gov/docs/iac/rule/7.2506.11.pdf" Type="http://schemas.openxmlformats.org/officeDocument/2006/relationships/hyperlink" Id="rId70"/>
    <Relationship TargetMode="External" Target="https://www.legis.iowa.gov/docs/iac/rule/7.2506.29.pdf" Type="http://schemas.openxmlformats.org/officeDocument/2006/relationships/hyperlink" Id="rId71"/>
    <Relationship TargetMode="External" Target="https://www.legis.iowa.gov/docs/ico/chapter/252J.7.pdf" Type="http://schemas.openxmlformats.org/officeDocument/2006/relationships/hyperlink" Id="rId72"/>
    <Relationship TargetMode="External" Target="https://www.legis.iowa.gov/docs/ico/chapter/252J.8.pdf" Type="http://schemas.openxmlformats.org/officeDocument/2006/relationships/hyperlink" Id="rId73"/>
    <Relationship TargetMode="External" Target="https://www.legis.iowa.gov/docs/ico/chapter/252J.8.pdf" Type="http://schemas.openxmlformats.org/officeDocument/2006/relationships/hyperlink" Id="rId74"/>
    <Relationship TargetMode="External" Target="https://www.legis.iowa.gov/docs/ico/chapter/252J.8.pdf" Type="http://schemas.openxmlformats.org/officeDocument/2006/relationships/hyperlink" Id="rId75"/>
    <Relationship TargetMode="External" Target="https://www.legis.iowa.gov/docs/ico/chapter/252J.9.pdf" Type="http://schemas.openxmlformats.org/officeDocument/2006/relationships/hyperlink" Id="rId76"/>
    <Relationship TargetMode="External" Target="https://www.legis.iowa.gov/docs/ico/chapter/455B.474.pdf" Type="http://schemas.openxmlformats.org/officeDocument/2006/relationships/hyperlink" Id="rId77"/>
    <Relationship TargetMode="External" Target="https://www.legis.iowa.gov/docs/ico/chapter/252J.pdf" Type="http://schemas.openxmlformats.org/officeDocument/2006/relationships/hyperlink" Id="rId78"/>
    <Relationship Target="footer.xml" Type="http://schemas.openxmlformats.org/officeDocument/2006/relationships/footer" Id="rId7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