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LANDFILL ALTERNATIVES FINANCIAL ASSISTANCE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567—109.1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provide direction for the department’s implementation of certain financial assistance programs that are funded from the solid waste account within the groundwater protection fund as described in Iowa Code section </w:t>
      </w:r>
      <w:hyperlink r:id="rId5">
        <w:r>
          <w:rPr>
            <w:rStyle w:val="Hyperlink"/>
            <w:rFonts w:ascii="Times New Roman" w:hAnsi="Times New Roman"/>
            <w:b w:val="false"/>
            <w:i w:val="false"/>
            <w:color w:val="000000"/>
            <w:sz w:val="22"/>
          </w:rPr>
          <w:t>455E.11</w:t>
        </w:r>
      </w:hyperlink>
      <w:r>
        <w:rPr>
          <w:rFonts w:ascii="Times New Roman" w:hAnsi="Times New Roman"/>
          <w:b w:val="false"/>
          <w:i w:val="false"/>
          <w:color w:val="000000"/>
          <w:sz w:val="22"/>
        </w:rPr>
        <w:t xml:space="preserve">, including the solid waste alternatives program as described in Iowa Code section </w:t>
      </w:r>
      <w:hyperlink r:id="rId6">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(1)(e)</w:t>
        </w:r>
      </w:hyperlink>
      <w:r>
        <w:rPr>
          <w:rFonts w:ascii="Times New Roman" w:hAnsi="Times New Roman"/>
          <w:b w:val="false"/>
          <w:i w:val="false"/>
          <w:color w:val="000000"/>
          <w:sz w:val="22"/>
        </w:rPr>
        <w:t xml:space="preserve">; the derelict building program as described in Iowa Code section </w:t>
      </w:r>
      <w:hyperlink r:id="rId7">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 xml:space="preserve">(1)(d); the Iowa solid waste environmental management systems program as described in Iowa Code section </w:t>
      </w:r>
      <w:hyperlink r:id="rId8">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(1)(c)</w:t>
        </w:r>
      </w:hyperlink>
      <w:r>
        <w:rPr>
          <w:rFonts w:ascii="Times New Roman" w:hAnsi="Times New Roman"/>
          <w:b w:val="false"/>
          <w:i w:val="false"/>
          <w:color w:val="000000"/>
          <w:sz w:val="22"/>
        </w:rPr>
        <w:t xml:space="preserve">; and other waste management assistance programs as described in Iowa Code section </w:t>
      </w:r>
      <w:hyperlink r:id="rId9">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(2)(a)(1)(iv).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567—109.2</w:t>
      </w:r>
      <w:r>
        <w:rPr>
          <w:rFonts w:ascii="Times New Roman" w:hAnsi="Times New Roman"/>
          <w:b/>
          <w:i w:val="false"/>
          <w:color w:val="000000"/>
          <w:sz w:val="22"/>
        </w:rPr>
        <w:t xml:space="preserve">(455B,455E,455J)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rule, the definitions in </w:t>
      </w:r>
      <w:hyperlink r:id="rId10">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those found in Iowa Code section </w:t>
      </w:r>
      <w:hyperlink r:id="rId11">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 and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“Abandoned”</w:t>
      </w:r>
      <w:r>
        <w:rPr>
          <w:rFonts w:ascii="Times New Roman" w:hAnsi="Times New Roman"/>
          <w:b w:val="false"/>
          <w:i w:val="false"/>
          <w:color w:val="000000"/>
          <w:sz w:val="22"/>
        </w:rPr>
        <w:t> </w:t>
      </w:r>
      <w:r>
        <w:rPr>
          <w:rFonts w:ascii="Times New Roman" w:hAnsi="Times New Roman"/>
          <w:b w:val="false"/>
          <w:i w:val="false"/>
          <w:color w:val="000000"/>
          <w:sz w:val="22"/>
        </w:rPr>
        <w:t>means that the building has been unoccupied for a minimum of six continuous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“Asbestos-containing material”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“ACM”</w:t>
      </w:r>
      <w:r>
        <w:rPr>
          <w:rFonts w:ascii="Times New Roman" w:hAnsi="Times New Roman"/>
          <w:b w:val="false"/>
          <w:i w:val="false"/>
          <w:color w:val="000000"/>
          <w:sz w:val="22"/>
        </w:rPr>
        <w:t> </w:t>
      </w:r>
      <w:r>
        <w:rPr>
          <w:rFonts w:ascii="Times New Roman" w:hAnsi="Times New Roman"/>
          <w:b w:val="false"/>
          <w:i w:val="false"/>
          <w:color w:val="000000"/>
          <w:sz w:val="22"/>
        </w:rPr>
        <w:t>means any material that contains more than 1 percent of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renovation”</w:t>
      </w:r>
      <w:r>
        <w:rPr>
          <w:rFonts w:ascii="Times New Roman" w:hAnsi="Times New Roman"/>
          <w:b w:val="false"/>
          <w:i w:val="false"/>
          <w:color w:val="000000"/>
          <w:sz w:val="22"/>
        </w:rPr>
        <w:t> </w:t>
      </w:r>
      <w:r>
        <w:rPr>
          <w:rFonts w:ascii="Times New Roman" w:hAnsi="Times New Roman"/>
          <w:b w:val="false"/>
          <w:i w:val="false"/>
          <w:color w:val="000000"/>
          <w:sz w:val="22"/>
        </w:rPr>
        <w:t>means repairs that stabilize or improve the structural integrity of the building, including but not limited to roof repair or replacement, building stabilization, and the tuck-pointing of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share”</w:t>
      </w:r>
      <w:r>
        <w:rPr>
          <w:rFonts w:ascii="Times New Roman" w:hAnsi="Times New Roman"/>
          <w:b w:val="false"/>
          <w:i w:val="false"/>
          <w:color w:val="000000"/>
          <w:sz w:val="22"/>
        </w:rPr>
        <w:t> </w:t>
      </w:r>
      <w:r>
        <w:rPr>
          <w:rFonts w:ascii="Times New Roman" w:hAnsi="Times New Roman"/>
          <w:b w:val="false"/>
          <w:i w:val="false"/>
          <w:color w:val="000000"/>
          <w:sz w:val="22"/>
        </w:rPr>
        <w:t>means the applicant’s share of the eligible costs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“Deconstruction”</w:t>
      </w:r>
      <w:r>
        <w:rPr>
          <w:rFonts w:ascii="Times New Roman" w:hAnsi="Times New Roman"/>
          <w:b w:val="false"/>
          <w:i w:val="false"/>
          <w:color w:val="000000"/>
          <w:sz w:val="22"/>
        </w:rPr>
        <w:t> </w:t>
      </w:r>
      <w:r>
        <w:rPr>
          <w:rFonts w:ascii="Times New Roman" w:hAnsi="Times New Roman"/>
          <w:b w:val="false"/>
          <w:i w:val="false"/>
          <w:color w:val="000000"/>
          <w:sz w:val="22"/>
        </w:rPr>
        <w:t>means the selective dismantlement of a building for the purpose of maximizing reuse and recycling opportunities through source separation while minimizing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“Derelict building grant eligibility”</w:t>
      </w:r>
      <w:r>
        <w:rPr>
          <w:rFonts w:ascii="Times New Roman" w:hAnsi="Times New Roman"/>
          <w:b w:val="false"/>
          <w:i w:val="false"/>
          <w:color w:val="000000"/>
          <w:sz w:val="22"/>
        </w:rPr>
        <w:t> </w:t>
      </w:r>
      <w:r>
        <w:rPr>
          <w:rFonts w:ascii="Times New Roman" w:hAnsi="Times New Roman"/>
          <w:b w:val="false"/>
          <w:i w:val="false"/>
          <w:color w:val="000000"/>
          <w:sz w:val="22"/>
        </w:rPr>
        <w:t>means any city with a population of 5,000 or less is eligible to apply for a derelict building grant. An applicant may partner with a local nonprofit organization on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means monetary assistance in the form of grants, loans, or forgivable loans awarded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“Phase I environmental assessment”</w:t>
      </w:r>
      <w:r>
        <w:rPr>
          <w:rFonts w:ascii="Times New Roman" w:hAnsi="Times New Roman"/>
          <w:b w:val="false"/>
          <w:i w:val="false"/>
          <w:color w:val="000000"/>
          <w:sz w:val="22"/>
        </w:rPr>
        <w:t> </w:t>
      </w:r>
      <w:r>
        <w:rPr>
          <w:rFonts w:ascii="Times New Roman" w:hAnsi="Times New Roman"/>
          <w:b w:val="false"/>
          <w:i w:val="false"/>
          <w:color w:val="000000"/>
          <w:sz w:val="22"/>
        </w:rPr>
        <w:t>means review of known environmental records and land use information about the site and vicinity.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“Phase II environmental assessment”</w:t>
      </w:r>
      <w:r>
        <w:rPr>
          <w:rFonts w:ascii="Times New Roman" w:hAnsi="Times New Roman"/>
          <w:b w:val="false"/>
          <w:i w:val="false"/>
          <w:color w:val="000000"/>
          <w:sz w:val="22"/>
        </w:rPr>
        <w:t> </w:t>
      </w:r>
      <w:r>
        <w:rPr>
          <w:rFonts w:ascii="Times New Roman" w:hAnsi="Times New Roman"/>
          <w:b w:val="false"/>
          <w:i w:val="false"/>
          <w:color w:val="000000"/>
          <w:sz w:val="22"/>
        </w:rPr>
        <w:t>means actual soil, groundwater and structural material sampling and testing to confirm or deny the presence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w:t>
      </w:r>
      <w:r>
        <w:rPr>
          <w:rFonts w:ascii="Times New Roman" w:hAnsi="Times New Roman"/>
          <w:b w:val="false"/>
          <w:i w:val="false"/>
          <w:color w:val="000000"/>
          <w:sz w:val="22"/>
        </w:rPr>
        <w:t> </w:t>
      </w:r>
      <w:r>
        <w:rPr>
          <w:rFonts w:ascii="Times New Roman" w:hAnsi="Times New Roman"/>
          <w:b w:val="false"/>
          <w:i w:val="false"/>
          <w:color w:val="000000"/>
          <w:sz w:val="22"/>
        </w:rPr>
        <w:t>means any applicant selected to receive financial assistance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567—109.3</w:t>
      </w:r>
      <w:r>
        <w:rPr>
          <w:rFonts w:ascii="Times New Roman" w:hAnsi="Times New Roman"/>
          <w:b/>
          <w:i w:val="false"/>
          <w:color w:val="000000"/>
          <w:sz w:val="22"/>
        </w:rPr>
        <w:t xml:space="preserve">(455B,455E) </w:t>
      </w:r>
      <w:r>
        <w:rPr>
          <w:rFonts w:ascii="Times New Roman" w:hAnsi="Times New Roman"/>
          <w:b/>
          <w:i w:val="false"/>
          <w:color w:val="000000"/>
          <w:sz w:val="22"/>
        </w:rPr>
        <w:t xml:space="preserve">Funding sources. </w:t>
      </w:r>
      <w:r>
        <w:rPr>
          <w:rFonts w:ascii="Times New Roman" w:hAnsi="Times New Roman"/>
          <w:b w:val="false"/>
          <w:i w:val="false"/>
          <w:color w:val="000000"/>
          <w:sz w:val="22"/>
        </w:rPr>
        <w:t>The department will use moneys that are appropriated by the legislature and that may be obtained from other sources for the purpose of achieving the goals outlined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567—109.4</w:t>
      </w:r>
      <w:r>
        <w:rPr>
          <w:rFonts w:ascii="Times New Roman" w:hAnsi="Times New Roman"/>
          <w:b/>
          <w:i w:val="false"/>
          <w:color w:val="000000"/>
          <w:sz w:val="22"/>
        </w:rPr>
        <w:t xml:space="preserve">(455B,455E,455J) </w:t>
      </w:r>
      <w:r>
        <w:rPr>
          <w:rFonts w:ascii="Times New Roman" w:hAnsi="Times New Roman"/>
          <w:b/>
          <w:i w:val="false"/>
          <w:color w:val="000000"/>
          <w:sz w:val="22"/>
        </w:rPr>
        <w:t xml:space="preserve">Requirements for financial assistance programs. </w:t>
      </w:r>
      <w:r>
        <w:rPr>
          <w:rFonts w:ascii="Times New Roman" w:hAnsi="Times New Roman"/>
          <w:b w:val="false"/>
          <w:i w:val="false"/>
          <w:color w:val="000000"/>
          <w:sz w:val="22"/>
        </w:rPr>
        <w:t xml:space="preserve">In addition to any of the requirements of Iowa Code chapters </w:t>
      </w:r>
      <w:hyperlink r:id="rId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color w:val="000000"/>
          <w:sz w:val="22"/>
        </w:rPr>
        <w:t xml:space="preserve">Requests for financial assistance. </w:t>
      </w:r>
      <w:r>
        <w:rPr>
          <w:rFonts w:ascii="Times New Roman" w:hAnsi="Times New Roman"/>
          <w:b w:val="false"/>
          <w:i w:val="false"/>
          <w:color w:val="000000"/>
          <w:sz w:val="22"/>
        </w:rPr>
        <w:t>Requests for financial assistance must be made by applicants on the relevant program application form provided by the department and according to accompanying guidance documentation that specifies program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color w:val="000000"/>
          <w:sz w:val="22"/>
        </w:rPr>
        <w:t xml:space="preserve">Awards and agreements for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shall enter into a written agreement with the department for the purposes of implementing the project for which financial assistance has been awarded. The agreement shall be signed by the appropriate department signatory and the recipient’s authorized signatory.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agreement must be executed between the department and the award recipient prior to the recipient incurring expenses. Awarded funds are disbursed on a reimbursable basis and are not to be incurred prior to executing a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terminate agreements and seek the return of funds released under the agreement for failure by the recipient to perform under the terms and conditions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Amendments to agreements may be adopted by mutual written consent of the department and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offer financial assistance awards in an amount less than that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funds to be disbursed, the recipient shall be in compliance with all applicable statutes and regulations as specified in the written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567—109.5</w:t>
      </w:r>
      <w:r>
        <w:rPr>
          <w:rFonts w:ascii="Times New Roman" w:hAnsi="Times New Roman"/>
          <w:b/>
          <w:i w:val="false"/>
          <w:color w:val="000000"/>
          <w:sz w:val="22"/>
        </w:rPr>
        <w:t xml:space="preserve">(455B,455E,455J) </w:t>
      </w:r>
      <w:r>
        <w:rPr>
          <w:rFonts w:ascii="Times New Roman" w:hAnsi="Times New Roman"/>
          <w:b/>
          <w:i w:val="false"/>
          <w:color w:val="000000"/>
          <w:sz w:val="22"/>
        </w:rPr>
        <w:t xml:space="preserve">Denial of financial assistance. </w:t>
      </w:r>
      <w:r>
        <w:rPr>
          <w:rFonts w:ascii="Times New Roman" w:hAnsi="Times New Roman"/>
          <w:b w:val="false"/>
          <w:i w:val="false"/>
          <w:color w:val="000000"/>
          <w:sz w:val="22"/>
        </w:rPr>
        <w:t>The department reserves the right to deny financial assistance requests for any reason,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val="false"/>
          <w:color w:val="000000"/>
          <w:sz w:val="22"/>
        </w:rPr>
        <w:t>Funds are insufficient to award financial assistance to all qualified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does not meet eligibility requirements pursuant to the provisions of </w:t>
      </w:r>
      <w:hyperlink r:id="rId17">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xml:space="preserve"> for the solid waste alternatives program, </w:t>
      </w:r>
      <w:hyperlink r:id="rId18">
        <w:r>
          <w:rPr>
            <w:rStyle w:val="Hyperlink"/>
            <w:rFonts w:ascii="Times New Roman" w:hAnsi="Times New Roman"/>
            <w:b w:val="false"/>
            <w:i w:val="false"/>
            <w:color w:val="000000"/>
            <w:sz w:val="22"/>
          </w:rPr>
          <w:t>109.7(1)</w:t>
        </w:r>
      </w:hyperlink>
      <w:r>
        <w:rPr>
          <w:rFonts w:ascii="Times New Roman" w:hAnsi="Times New Roman"/>
          <w:b w:val="false"/>
          <w:i w:val="false"/>
          <w:color w:val="000000"/>
          <w:sz w:val="22"/>
        </w:rPr>
        <w:t xml:space="preserve"> for the derelict building program or </w:t>
      </w:r>
      <w:hyperlink r:id="rId19">
        <w:r>
          <w:rPr>
            <w:rStyle w:val="Hyperlink"/>
            <w:rFonts w:ascii="Times New Roman" w:hAnsi="Times New Roman"/>
            <w:b w:val="false"/>
            <w:i w:val="false"/>
            <w:color w:val="000000"/>
            <w:sz w:val="22"/>
          </w:rPr>
          <w:t>109.8(2)</w:t>
        </w:r>
      </w:hyperlink>
      <w:r>
        <w:rPr>
          <w:rFonts w:ascii="Times New Roman" w:hAnsi="Times New Roman"/>
          <w:b w:val="false"/>
          <w:i w:val="false"/>
          <w:color w:val="000000"/>
          <w:sz w:val="22"/>
        </w:rPr>
        <w:t xml:space="preserve"> for the environmental management system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does not provide sufficient requested information on forms provided by the department pursuant to </w:t>
      </w:r>
      <w:hyperlink r:id="rId20">
        <w:r>
          <w:rPr>
            <w:rStyle w:val="Hyperlink"/>
            <w:rFonts w:ascii="Times New Roman" w:hAnsi="Times New Roman"/>
            <w:b w:val="false"/>
            <w:i w:val="false"/>
            <w:color w:val="000000"/>
            <w:sz w:val="22"/>
          </w:rPr>
          <w:t>567—109.4</w:t>
        </w:r>
      </w:hyperlink>
      <w:r>
        <w:rPr>
          <w:rFonts w:ascii="Times New Roman" w:hAnsi="Times New Roman"/>
          <w:b w:val="false"/>
          <w:i w:val="false"/>
          <w:color w:val="000000"/>
          <w:sz w:val="22"/>
        </w:rPr>
        <w:t>(455B,455E,455J).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109.5(4)</w:t>
      </w:r>
      <w:r>
        <w:rPr>
          <w:rFonts w:ascii="Times New Roman" w:hAnsi="Times New Roman"/>
          <w:b w:val="false"/>
          <w:i w:val="false"/>
          <w:color w:val="000000"/>
          <w:sz w:val="22"/>
        </w:rPr>
        <w:t> </w:t>
      </w:r>
      <w:r>
        <w:rPr>
          <w:rFonts w:ascii="Times New Roman" w:hAnsi="Times New Roman"/>
          <w:b w:val="false"/>
          <w:i w:val="false"/>
          <w:color w:val="000000"/>
          <w:sz w:val="22"/>
        </w:rPr>
        <w:t>An applicant has previously received financial assistance under these rules and is determined by the department to be delinquent in repaying the loan or delinquent in submitting required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goals or scope of the project is not consistent with </w:t>
      </w:r>
      <w:hyperlink r:id="rId21">
        <w:r>
          <w:rPr>
            <w:rStyle w:val="Hyperlink"/>
            <w:rFonts w:ascii="Times New Roman" w:hAnsi="Times New Roman"/>
            <w:b w:val="false"/>
            <w:i w:val="false"/>
            <w:color w:val="000000"/>
            <w:sz w:val="22"/>
          </w:rPr>
          <w:t>109.6(2)</w:t>
        </w:r>
      </w:hyperlink>
      <w:r>
        <w:rPr>
          <w:rFonts w:ascii="Times New Roman" w:hAnsi="Times New Roman"/>
          <w:b w:val="false"/>
          <w:i w:val="false"/>
          <w:color w:val="000000"/>
          <w:sz w:val="22"/>
        </w:rPr>
        <w:t xml:space="preserve"> for the solid waste alternatives program, </w:t>
      </w:r>
      <w:hyperlink r:id="rId22">
        <w:r>
          <w:rPr>
            <w:rStyle w:val="Hyperlink"/>
            <w:rFonts w:ascii="Times New Roman" w:hAnsi="Times New Roman"/>
            <w:b w:val="false"/>
            <w:i w:val="false"/>
            <w:color w:val="000000"/>
            <w:sz w:val="22"/>
          </w:rPr>
          <w:t>109.7(2)</w:t>
        </w:r>
      </w:hyperlink>
      <w:r>
        <w:rPr>
          <w:rFonts w:ascii="Times New Roman" w:hAnsi="Times New Roman"/>
          <w:b w:val="false"/>
          <w:i w:val="false"/>
          <w:color w:val="000000"/>
          <w:sz w:val="22"/>
        </w:rPr>
        <w:t xml:space="preserve"> for the derelict building grant program or </w:t>
      </w:r>
      <w:hyperlink r:id="rId23">
        <w:r>
          <w:rPr>
            <w:rStyle w:val="Hyperlink"/>
            <w:rFonts w:ascii="Times New Roman" w:hAnsi="Times New Roman"/>
            <w:b w:val="false"/>
            <w:i w:val="false"/>
            <w:color w:val="000000"/>
            <w:sz w:val="22"/>
          </w:rPr>
          <w:t>109.8(2)</w:t>
        </w:r>
      </w:hyperlink>
      <w:r>
        <w:rPr>
          <w:rFonts w:ascii="Times New Roman" w:hAnsi="Times New Roman"/>
          <w:b w:val="false"/>
          <w:i w:val="false"/>
          <w:color w:val="000000"/>
          <w:sz w:val="22"/>
        </w:rPr>
        <w:t xml:space="preserve"> for the environmental management system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567—109.6</w:t>
      </w:r>
      <w:r>
        <w:rPr>
          <w:rFonts w:ascii="Times New Roman" w:hAnsi="Times New Roman"/>
          <w:b/>
          <w:i w:val="false"/>
          <w:color w:val="000000"/>
          <w:sz w:val="22"/>
        </w:rPr>
        <w:t xml:space="preserve">(455B,455E) </w:t>
      </w:r>
      <w:r>
        <w:rPr>
          <w:rFonts w:ascii="Times New Roman" w:hAnsi="Times New Roman"/>
          <w:b/>
          <w:i w:val="false"/>
          <w:color w:val="000000"/>
          <w:sz w:val="22"/>
        </w:rPr>
        <w:t xml:space="preserve">Solid waste alternatives program. </w:t>
      </w:r>
      <w:r>
        <w:rPr>
          <w:rFonts w:ascii="Times New Roman" w:hAnsi="Times New Roman"/>
          <w:b w:val="false"/>
          <w:i w:val="false"/>
          <w:color w:val="000000"/>
          <w:sz w:val="22"/>
        </w:rPr>
        <w:t>Financial assistance awarded under the solid waste alternatives program shall be used to implement activities that support the practical and beneficial use of solid waste materials and for activities leading to a reduction in the reliance on sanitary landfills for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unit of local government, public or private group, individual or business that has an interest in or has responsibility for solid waste management in Iowa and is currently in compliance with all applicable state statutes and regulations is eligible to apply for the solid waste alternatives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The department may provide financial assistance to applicants for the following types of projects that are consistent with the goal and purpose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Best practices—practices and programs that will move Iowa toward long-term pollution prevention, waste reduction and recycling sustainability;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Education—practices and programs that are consistent with a coordinated statewide message on pollution prevention, waste reduction, and recycling to ensure ongoing support of these integrated solid waste management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Market development—practices and programs that develop a demand for value-added recyclables sufficient to provide increased and stable commodity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color w:val="000000"/>
          <w:sz w:val="22"/>
        </w:rPr>
        <w:t xml:space="preserve">Type of financial assistance. </w:t>
      </w:r>
      <w:r>
        <w:rPr>
          <w:rFonts w:ascii="Times New Roman" w:hAnsi="Times New Roman"/>
          <w:b w:val="false"/>
          <w:i w:val="false"/>
          <w:color w:val="000000"/>
          <w:sz w:val="22"/>
        </w:rPr>
        <w:t>The types of financial assistance offered to an applicant may include a forgivable loan, zero interest loan, or low-interest loan. The department reserves the right to offer any combination of types of financial assistance to any selected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color w:val="000000"/>
          <w:sz w:val="22"/>
        </w:rPr>
        <w:t xml:space="preserve">Loans. </w:t>
      </w:r>
      <w:r>
        <w:rPr>
          <w:rFonts w:ascii="Times New Roman" w:hAnsi="Times New Roman"/>
          <w:b w:val="false"/>
          <w:i w:val="false"/>
          <w:color w:val="000000"/>
          <w:sz w:val="22"/>
        </w:rPr>
        <w:t>The term of all loans executed under these rules shall be determined on a case-by-case basis and shall be based on the specific capital costs financed, as well as the terms of other financing provided for the project. The written agreement between the department and the recipient will establish other conditions or terms needed to manage or implement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567—109.7</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Derelict building grant program. </w:t>
      </w:r>
      <w:r>
        <w:rPr>
          <w:rFonts w:ascii="Times New Roman" w:hAnsi="Times New Roman"/>
          <w:b w:val="false"/>
          <w:i w:val="false"/>
          <w:color w:val="000000"/>
          <w:sz w:val="22"/>
        </w:rPr>
        <w:t>Financial assistance awarded under the derelict building grant program is available to cities of 5,000 or less to help improve the attractiveness and appearance of their jurisdictions by providing financial assistance for eligible projects. Each project must have a landfill diversion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city with a population of 5,000 or less is eligible to apply for a derelict building grant. An applicant may partner with a local nonprofit organization on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A city’s building is eligible for the program if the building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 is an abandoned commercial or public building of which a city has ownership or will obtain ownership no later than June 30 of the fiscal year in which the city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 is not on the National Register of Historic Places.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Eligible activities and amount of financial assistance. </w:t>
      </w:r>
      <w:r>
        <w:rPr>
          <w:rFonts w:ascii="Times New Roman" w:hAnsi="Times New Roman"/>
          <w:b w:val="false"/>
          <w:i w:val="false"/>
          <w:color w:val="000000"/>
          <w:sz w:val="22"/>
        </w:rPr>
        <w:t>The eligible activities and amount of financial assistance for each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Asbestos-containing material inspections: 100 percent reimbursement for inspection costs conducted by a state of Iowa-licensed asbestos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Abatement of asbestos-containing material: 100 percent reimbursement, not to exceed $10,000, for abatement of ACM performed by a state of Iowa-licensed asbestos contractor. A 50 percent cost share is required for those costs exceeding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engineering analysis: 100 percent reimbursement not to exceed $1,500 for a structural engineering analysis conducted by a licensed structural engineer or architectural historian to determine the ability to renovate the building. The recipient is responsible for all costs exceeding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Phase I environmental assessment: 100 percent reimbursement not to exceed $3,000 for conducting a Phase I environmental assessment. The recipient is responsible for all costs exceeding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Phase II environmental assessment: 50 percent reimbursement not to exceed $2,500 for conducting a Phase II environmental assessment. The recipient is responsible for all costs exceeding $5,000. The need for this assessment is determined by the results of the Phase I environmental assessment and involves the sampling of structure components, soil, and groundwater to confirm or deny the presence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Building renovation: 50 percent reimbursement not to exceed $50,000 for renovation costs,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Restoration or removal of materials for reuse, either at the site or off site, or for recycling.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Tuck-pointing of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Deconstruction: 50 percent reimbursement not to exceed $50,000 for costs related to deconstruction. All deconstruction projects must achieve a minimum landfill diversion rate of 30 percent of the structure by weight to receive reimbursement for deconstruction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Deconstruction cost-share incentive. </w:t>
      </w:r>
      <w:r>
        <w:rPr>
          <w:rFonts w:ascii="Times New Roman" w:hAnsi="Times New Roman"/>
          <w:b w:val="false"/>
          <w:i w:val="false"/>
          <w:color w:val="000000"/>
          <w:sz w:val="22"/>
        </w:rPr>
        <w:t>For every additional 10 percent above 30 percent of landfill diversion by weight that is documented upon completion of the project, the applicant’s cost share is reduced by 5 percent and the grant award amount will increase by 5 percent. The maximum grant award for deconstruction projects shall not exceed $75,000.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567—109.8</w:t>
      </w:r>
      <w:r>
        <w:rPr>
          <w:rFonts w:ascii="Times New Roman" w:hAnsi="Times New Roman"/>
          <w:b/>
          <w:i w:val="false"/>
          <w:color w:val="000000"/>
          <w:sz w:val="22"/>
        </w:rPr>
        <w:t xml:space="preserve">(455E,455J) </w:t>
      </w:r>
      <w:r>
        <w:rPr>
          <w:rFonts w:ascii="Times New Roman" w:hAnsi="Times New Roman"/>
          <w:b/>
          <w:i w:val="false"/>
          <w:color w:val="000000"/>
          <w:sz w:val="22"/>
        </w:rPr>
        <w:t xml:space="preserve">Environmental management system program. </w:t>
      </w:r>
      <w:r>
        <w:rPr>
          <w:rFonts w:ascii="Times New Roman" w:hAnsi="Times New Roman"/>
          <w:b w:val="false"/>
          <w:i w:val="false"/>
          <w:color w:val="000000"/>
          <w:sz w:val="22"/>
        </w:rPr>
        <w:t>Financial assistance awarded under the environmental management system program is to support projects that pursue continuous improvement by mitigating the environmental impacts of solid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solid waste planning or service area designated as an environmental management system is eligible to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The department may provide financial assistance to applicants for projects that pursue continuous improvement in organics waste management, hazardous household materials collection, water quality improvement, greenhouse gas reduction, recycling services, or environmental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455E.11</w:t>
        </w:r>
      </w:hyperlink>
      <w:r>
        <w:rPr>
          <w:rFonts w:ascii="Times New Roman" w:hAnsi="Times New Roman"/>
          <w:b w:val="false"/>
          <w:i w:val="false"/>
          <w:color w:val="000000"/>
          <w:sz w:val="22"/>
        </w:rPr>
        <w:t xml:space="preserve"> and chapter </w:t>
      </w:r>
      <w:hyperlink r:id="rId26">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3/27/02, Notice 12/12/01—published 4/17/02, effective 5/22/02]</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5/22/03, Notice 3/19/03—published 6/11/03, effective 7/16/03]</w:t>
      </w:r>
    </w:p>
    <w:p>
      <w:pPr>
        <w:spacing w:before="0" w:after="0"/>
        <w:ind w:left="120"/>
        <w:jc w:val="center"/>
      </w:pPr>
      <w:r>
        <w:rPr>
          <w:rFonts w:ascii="Times New Roman" w:hAnsi="Times New Roman"/>
          <w:b w:val="false"/>
          <w:i w:val="false"/>
          <w:color w:val="000000"/>
          <w:sz w:val="21"/>
        </w:rPr>
        <w:t>[Filed ARC 0488D</w:t>
      </w:r>
      <w:r>
        <w:rPr>
          <w:rFonts w:ascii="Times New Roman" w:hAnsi="Times New Roman"/>
          <w:b w:val="false"/>
          <w:i w:val="false"/>
          <w:color w:val="000000"/>
          <w:sz w:val="21"/>
        </w:rPr>
        <w:t xml:space="preserve"> (Notice ARC 9928C, IAB 1/7/26)</w:t>
      </w:r>
      <w:r>
        <w:rPr>
          <w:rFonts w:ascii="Times New Roman" w:hAnsi="Times New Roman"/>
          <w:b w:val="false"/>
          <w:i w:val="false"/>
          <w:color w:val="000000"/>
          <w:sz w:val="21"/>
        </w:rPr>
        <w:t>, IAB 8/19/26, effective 9/23/26]</w:t>
      </w:r>
    </w:p>
    <w:sectPr>
      <w:footerReference r:id="rId2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E.11.pdf" Type="http://schemas.openxmlformats.org/officeDocument/2006/relationships/hyperlink" Id="rId5"/>
    <Relationship TargetMode="External" Target="https://www.legis.iowa.gov/docs/ico/chapter/455E.11.pdf" Type="http://schemas.openxmlformats.org/officeDocument/2006/relationships/hyperlink" Id="rId6"/>
    <Relationship TargetMode="External" Target="https://www.legis.iowa.gov/docs/ico/chapter/455E.11.pdf" Type="http://schemas.openxmlformats.org/officeDocument/2006/relationships/hyperlink" Id="rId7"/>
    <Relationship TargetMode="External" Target="https://www.legis.iowa.gov/docs/ico/chapter/455E.11.pdf" Type="http://schemas.openxmlformats.org/officeDocument/2006/relationships/hyperlink" Id="rId8"/>
    <Relationship TargetMode="External" Target="https://www.legis.iowa.gov/docs/ico/chapter/455E.11.pdf" Type="http://schemas.openxmlformats.org/officeDocument/2006/relationships/hyperlink" Id="rId9"/>
    <Relationship TargetMode="External" Target="https://www.legis.iowa.gov/docs/iac/chapter/567.100.pdf" Type="http://schemas.openxmlformats.org/officeDocument/2006/relationships/hyperlink" Id="rId10"/>
    <Relationship TargetMode="External" Target="https://www.legis.iowa.gov/docs/ico/chapter/455B.301.pdf" Type="http://schemas.openxmlformats.org/officeDocument/2006/relationships/hyperlink" Id="rId11"/>
    <Relationship TargetMode="External" Target="https://www.legis.iowa.gov/docs/ico/chapter/455E.pdf" Type="http://schemas.openxmlformats.org/officeDocument/2006/relationships/hyperlink" Id="rId12"/>
    <Relationship TargetMode="External" Target="https://www.legis.iowa.gov/docs/ico/chapter/455J.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co/chapter/455E.pdf" Type="http://schemas.openxmlformats.org/officeDocument/2006/relationships/hyperlink" Id="rId15"/>
    <Relationship TargetMode="External" Target="https://www.legis.iowa.gov/docs/ico/chapter/455J.pdf" Type="http://schemas.openxmlformats.org/officeDocument/2006/relationships/hyperlink" Id="rId16"/>
    <Relationship TargetMode="External" Target="https://www.legis.iowa.gov/docs/iac/rule/567.109.6.pdf" Type="http://schemas.openxmlformats.org/officeDocument/2006/relationships/hyperlink" Id="rId17"/>
    <Relationship TargetMode="External" Target="https://www.legis.iowa.gov/docs/iac/rule/567.109.7.pdf" Type="http://schemas.openxmlformats.org/officeDocument/2006/relationships/hyperlink" Id="rId18"/>
    <Relationship TargetMode="External" Target="https://www.legis.iowa.gov/docs/iac/rule/567.109.8.pdf" Type="http://schemas.openxmlformats.org/officeDocument/2006/relationships/hyperlink" Id="rId19"/>
    <Relationship TargetMode="External" Target="https://www.legis.iowa.gov/docs/iac/rule/567.109.4.pdf" Type="http://schemas.openxmlformats.org/officeDocument/2006/relationships/hyperlink" Id="rId20"/>
    <Relationship TargetMode="External" Target="https://www.legis.iowa.gov/docs/iac/rule/567.109.6.pdf" Type="http://schemas.openxmlformats.org/officeDocument/2006/relationships/hyperlink" Id="rId21"/>
    <Relationship TargetMode="External" Target="https://www.legis.iowa.gov/docs/iac/rule/567.109.7.pdf" Type="http://schemas.openxmlformats.org/officeDocument/2006/relationships/hyperlink" Id="rId22"/>
    <Relationship TargetMode="External" Target="https://www.legis.iowa.gov/docs/iac/rule/567.109.8.pdf" Type="http://schemas.openxmlformats.org/officeDocument/2006/relationships/hyperlink" Id="rId23"/>
    <Relationship TargetMode="External" Target="https://www.legis.iowa.gov/docs/ico/chapter/455B.301A.pdf" Type="http://schemas.openxmlformats.org/officeDocument/2006/relationships/hyperlink" Id="rId24"/>
    <Relationship TargetMode="External" Target="https://www.legis.iowa.gov/docs/ico/chapter/455E.11.pdf" Type="http://schemas.openxmlformats.org/officeDocument/2006/relationships/hyperlink" Id="rId25"/>
    <Relationship TargetMode="External" Target="https://www.legis.iowa.gov/docs/ico/chapter/455J.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