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HAZARDOUS CONDITIONS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NOTIFICATION REQUIREMENTS</w:t>
      </w:r>
    </w:p>
    <w:p>
      <w:pPr>
        <w:spacing w:before="0" w:after="0"/>
        <w:ind w:left="120"/>
        <w:jc w:val="both"/>
      </w:pPr>
      <w:r>
        <w:rPr>
          <w:rFonts w:ascii="Times New Roman" w:hAnsi="Times New Roman"/>
          <w:b/>
          <w:i w:val="false"/>
          <w:color w:val="000000"/>
          <w:sz w:val="22"/>
        </w:rPr>
        <w:t>567—105.1</w:t>
      </w:r>
      <w:r>
        <w:rPr>
          <w:rFonts w:ascii="Times New Roman" w:hAnsi="Times New Roman"/>
          <w:b/>
          <w:i w:val="false"/>
          <w:color w:val="000000"/>
          <w:sz w:val="22"/>
        </w:rPr>
        <w:t xml:space="preserve">(455B)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 purpose of this division is to implement Iowa Code sections </w:t>
      </w:r>
      <w:hyperlink r:id="rId5">
        <w:r>
          <w:rPr>
            <w:rStyle w:val="Hyperlink"/>
            <w:rFonts w:ascii="Times New Roman" w:hAnsi="Times New Roman"/>
            <w:b w:val="false"/>
            <w:i w:val="false"/>
            <w:color w:val="000000"/>
            <w:sz w:val="22"/>
          </w:rPr>
          <w:t>455B.383</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xml:space="preserve"> by providing detail on the notification requirements for reporting a hazardous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w:t>
      </w:r>
      <w:r>
        <w:rPr>
          <w:rFonts w:ascii="Times New Roman" w:hAnsi="Times New Roman"/>
          <w:b/>
          <w:i w:val="false"/>
          <w:color w:val="000000"/>
          <w:sz w:val="22"/>
        </w:rPr>
        <w:t xml:space="preserve">(455B)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requirements of this division apply to all persons manufacturing, storing, handling, transporting, or disposing of a hazardous substance, or discovering contamination from a previously unknown hazardous condition, and to the sheriff or police chief who has been notified of a hazardous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567—105.3</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 definitions set out in Iowa Code section </w:t>
      </w:r>
      <w:hyperlink r:id="rId7">
        <w:r>
          <w:rPr>
            <w:rStyle w:val="Hyperlink"/>
            <w:rFonts w:ascii="Times New Roman" w:hAnsi="Times New Roman"/>
            <w:b w:val="false"/>
            <w:i w:val="false"/>
            <w:color w:val="000000"/>
            <w:sz w:val="22"/>
          </w:rPr>
          <w:t>455B.381</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567—105.4</w:t>
      </w:r>
      <w:r>
        <w:rPr>
          <w:rFonts w:ascii="Times New Roman" w:hAnsi="Times New Roman"/>
          <w:b/>
          <w:i w:val="false"/>
          <w:color w:val="000000"/>
          <w:sz w:val="22"/>
        </w:rPr>
        <w:t xml:space="preserve">(455B) </w:t>
      </w:r>
      <w:r>
        <w:rPr>
          <w:rFonts w:ascii="Times New Roman" w:hAnsi="Times New Roman"/>
          <w:b/>
          <w:i w:val="false"/>
          <w:color w:val="000000"/>
          <w:sz w:val="22"/>
        </w:rPr>
        <w:t xml:space="preserve">Exemptions to reporting requirements. </w:t>
      </w:r>
      <w:r>
        <w:rPr>
          <w:rFonts w:ascii="Times New Roman" w:hAnsi="Times New Roman"/>
          <w:b w:val="false"/>
          <w:i w:val="false"/>
          <w:color w:val="000000"/>
          <w:sz w:val="22"/>
        </w:rPr>
        <w:t xml:space="preserve">Spills of hazardous substances are exempt from </w:t>
      </w:r>
      <w:hyperlink r:id="rId8">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(455B) if all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is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Less than 25 gallons of petroleum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Less than 100 pounds of anhydrous ammonia.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will not pose an actual or potential threat to waters of the state, groundwater, water wells, stormwater, tile lines, or ambient air quality if cleaned up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105.4(3)</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is cleaned up within 24 hours of the spill.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105.4(4)</w:t>
      </w:r>
      <w:r>
        <w:rPr>
          <w:rFonts w:ascii="Times New Roman" w:hAnsi="Times New Roman"/>
          <w:b w:val="false"/>
          <w:i w:val="false"/>
          <w:color w:val="000000"/>
          <w:sz w:val="22"/>
        </w:rPr>
        <w:t> </w:t>
      </w:r>
      <w:r>
        <w:rPr>
          <w:rFonts w:ascii="Times New Roman" w:hAnsi="Times New Roman"/>
          <w:b w:val="false"/>
          <w:i w:val="false"/>
          <w:color w:val="000000"/>
          <w:sz w:val="22"/>
        </w:rPr>
        <w:t>The spilled hazardous substance is not an ongoing or repeated spill by the same responsible party, in the same area, within the last 90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567—105.5</w:t>
      </w:r>
      <w:r>
        <w:rPr>
          <w:rFonts w:ascii="Times New Roman" w:hAnsi="Times New Roman"/>
          <w:b/>
          <w:i w:val="false"/>
          <w:color w:val="000000"/>
          <w:sz w:val="22"/>
        </w:rPr>
        <w:t xml:space="preserve">(455B) </w:t>
      </w:r>
      <w:r>
        <w:rPr>
          <w:rFonts w:ascii="Times New Roman" w:hAnsi="Times New Roman"/>
          <w:b/>
          <w:i w:val="false"/>
          <w:color w:val="000000"/>
          <w:sz w:val="22"/>
        </w:rPr>
        <w:t xml:space="preserve">Report of hazardous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color w:val="000000"/>
          <w:sz w:val="22"/>
        </w:rPr>
        <w:t xml:space="preserve">Initial report. </w:t>
      </w:r>
      <w:r>
        <w:rPr>
          <w:rFonts w:ascii="Times New Roman" w:hAnsi="Times New Roman"/>
          <w:b w:val="false"/>
          <w:i w:val="false"/>
          <w:color w:val="000000"/>
          <w:sz w:val="22"/>
        </w:rPr>
        <w:t xml:space="preserve">Any person manufacturing, storing, handling, transporting, or disposing of a hazardous substance shall report a hazardous condition to the department and either the local police department or the office of the sheriff of the county where the hazardous condition occurred. The initial report shall be made as soon as possible but not later than six hours after the onset or discovery of the hazardous condition. The initial report shall provide information on as many items listed in </w:t>
      </w:r>
      <w:hyperlink r:id="rId9">
        <w:r>
          <w:rPr>
            <w:rStyle w:val="Hyperlink"/>
            <w:rFonts w:ascii="Times New Roman" w:hAnsi="Times New Roman"/>
            <w:b w:val="false"/>
            <w:i w:val="false"/>
            <w:color w:val="000000"/>
            <w:sz w:val="22"/>
          </w:rPr>
          <w:t>105.5(2)</w:t>
        </w:r>
      </w:hyperlink>
      <w:r>
        <w:rPr>
          <w:rFonts w:ascii="Times New Roman" w:hAnsi="Times New Roman"/>
          <w:b w:val="false"/>
          <w:i w:val="false"/>
          <w:color w:val="000000"/>
          <w:sz w:val="22"/>
        </w:rPr>
        <w:t xml:space="preserve"> as available data will allow.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color w:val="000000"/>
          <w:sz w:val="22"/>
        </w:rPr>
        <w:t xml:space="preserve">Follow-up report. </w:t>
      </w:r>
      <w:r>
        <w:rPr>
          <w:rFonts w:ascii="Times New Roman" w:hAnsi="Times New Roman"/>
          <w:b w:val="false"/>
          <w:i w:val="false"/>
          <w:color w:val="000000"/>
          <w:sz w:val="22"/>
        </w:rPr>
        <w:t>The responsible party shall submit a follow-up report of a hazardous condition to the department within 30 days of the initial report. The follow-up report may be submitted electronically or via hard copy. The follow-up report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exact location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and date of onset or discovery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material, the manufacturer’s name, the volume of each material involved in the hazardous condition, and any contaminants within the material that, by themselves, could cause a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medium (land, water or air) in which the hazardous condition occurred or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phone number of the person responsible for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time and date of the initial report to the department of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weather conditions at the time of the hazardous condition onset or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name, mailing address, email address and phone number of the person reporting the hazardous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 and phone number of the person closest to the scene of the hazardous condition who can be contacted for further information and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Any other information, such as the circumstances leading to the hazardous condition, visible effects and containment measures taken, that may assist in proper evaluation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color w:val="000000"/>
          <w:sz w:val="22"/>
        </w:rPr>
        <w:t xml:space="preserve">Reporting of subsequent findings. </w:t>
      </w:r>
      <w:r>
        <w:rPr>
          <w:rFonts w:ascii="Times New Roman" w:hAnsi="Times New Roman"/>
          <w:b w:val="false"/>
          <w:i w:val="false"/>
          <w:color w:val="000000"/>
          <w:sz w:val="22"/>
        </w:rPr>
        <w:t>All subsequent findings and laboratory results shall be reported and submitted electronically or in writing to the department as soon as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567—105.6</w:t>
      </w:r>
      <w:r>
        <w:rPr>
          <w:rFonts w:ascii="Times New Roman" w:hAnsi="Times New Roman"/>
          <w:b w:val="false"/>
          <w:i w:val="false"/>
          <w:color w:val="000000"/>
          <w:sz w:val="22"/>
        </w:rPr>
        <w:t xml:space="preserve"> to </w:t>
      </w:r>
      <w:r>
        <w:rPr>
          <w:rFonts w:ascii="Times New Roman" w:hAnsi="Times New Roman"/>
          <w:b/>
          <w:i w:val="false"/>
          <w:color w:val="000000"/>
          <w:sz w:val="22"/>
        </w:rPr>
        <w:t>105.99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0">
        <w:r>
          <w:rPr>
            <w:rStyle w:val="Hyperlink"/>
            <w:rFonts w:ascii="Times New Roman" w:hAnsi="Times New Roman"/>
            <w:b w:val="false"/>
            <w:i w:val="false"/>
            <w:color w:val="000000"/>
            <w:sz w:val="22"/>
          </w:rPr>
          <w:t>455B.383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CLEANUP ACTIONS AND RESPONSIBLE PERSONS</w:t>
      </w:r>
    </w:p>
    <w:p>
      <w:pPr>
        <w:spacing w:before="0" w:after="0"/>
        <w:ind w:left="120"/>
        <w:jc w:val="both"/>
      </w:pPr>
      <w:r>
        <w:rPr>
          <w:rFonts w:ascii="Times New Roman" w:hAnsi="Times New Roman"/>
          <w:b/>
          <w:i w:val="false"/>
          <w:color w:val="000000"/>
          <w:sz w:val="22"/>
        </w:rPr>
        <w:t>567—105.100</w:t>
      </w:r>
      <w:r>
        <w:rPr>
          <w:rFonts w:ascii="Times New Roman" w:hAnsi="Times New Roman"/>
          <w:b/>
          <w:i w:val="false"/>
          <w:color w:val="000000"/>
          <w:sz w:val="22"/>
        </w:rPr>
        <w:t xml:space="preserve">(455B,455E)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division is to establish the procedures and criteria the department uses to determine the person(s) responsible and cleanup actions necessary to meet the goals of the state pertaining to the protection of groundwater.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567—105.101</w:t>
      </w:r>
      <w:r>
        <w:rPr>
          <w:rFonts w:ascii="Times New Roman" w:hAnsi="Times New Roman"/>
          <w:b/>
          <w:i w:val="false"/>
          <w:color w:val="000000"/>
          <w:sz w:val="22"/>
        </w:rPr>
        <w:t xml:space="preserve">(455B,455E)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pertain to the cleanup of groundwater and soils and surface water where groundwater may be impacted. They may also be used as guidelines in other environmental protection activities authorized by Iowa Code chapter </w:t>
      </w:r>
      <w:hyperlink r:id="rId12">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Where specific federal or state programs or funds exist to address situations that are also governed by these rules, the rules and standards of the specific programs or funds will be integrated and utilized to achieve an equitable, expeditious and environmentally sound resolution of the particular contamination situation. These rules apply specifically to point source contamination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105.101(2)</w:t>
      </w:r>
      <w:r>
        <w:rPr>
          <w:rFonts w:ascii="Times New Roman" w:hAnsi="Times New Roman"/>
          <w:b w:val="false"/>
          <w:i w:val="false"/>
          <w:color w:val="000000"/>
          <w:sz w:val="22"/>
        </w:rPr>
        <w:t> </w:t>
      </w:r>
      <w:r>
        <w:rPr>
          <w:rFonts w:ascii="Times New Roman" w:hAnsi="Times New Roman"/>
          <w:b w:val="false"/>
          <w:i w:val="false"/>
          <w:color w:val="000000"/>
          <w:sz w:val="22"/>
        </w:rPr>
        <w:t>These rules apply specifically to cleanup actions required to abate, prevent or remediate a hazardous condition, the presence of a hazardous substance or waste, the release of a regulated substance, or the discharge of a pollutant.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105.101(3)</w:t>
      </w:r>
      <w:r>
        <w:rPr>
          <w:rFonts w:ascii="Times New Roman" w:hAnsi="Times New Roman"/>
          <w:b w:val="false"/>
          <w:i w:val="false"/>
          <w:color w:val="000000"/>
          <w:sz w:val="22"/>
        </w:rPr>
        <w:t> </w:t>
      </w:r>
      <w:r>
        <w:rPr>
          <w:rFonts w:ascii="Times New Roman" w:hAnsi="Times New Roman"/>
          <w:b w:val="false"/>
          <w:i w:val="false"/>
          <w:color w:val="000000"/>
          <w:sz w:val="22"/>
        </w:rPr>
        <w:t>These rules shall not limit the department’s authority to require remedial or preventative action, or to take remedial or preventative action, as necessary to protect public health, safety, or the environment. The department will make its evaluation on a case-by-case basis, considering site characteristics, and where more than one contaminant is present or there is no established action level, will consider the toxicity, mobility and persistence of contaminants involved. The evaluation may include the potential synergistic, antagonistic or cumulative effects of the contaminants involved in a particular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subject to these rules retain all applicable appeal rights provided in Iowa Code chapter </w:t>
      </w:r>
      <w:hyperlink r:id="rId13">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105.101(5)</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is applicable to releases of petroleum from underground storage tanks subject to regulation under Iowa Code chapter </w:t>
      </w:r>
      <w:hyperlink r:id="rId1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to the extent they are not inconsistent with the corrective action provisions in </w:t>
      </w:r>
      <w:hyperlink r:id="rId1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through </w:t>
      </w:r>
      <w:hyperlink r:id="rId16">
        <w:r>
          <w:rPr>
            <w:rStyle w:val="Hyperlink"/>
            <w:rFonts w:ascii="Times New Roman" w:hAnsi="Times New Roman"/>
            <w:b w:val="false"/>
            <w:i w:val="false"/>
            <w:color w:val="000000"/>
            <w:sz w:val="22"/>
          </w:rPr>
          <w:t>567—135.17</w:t>
        </w:r>
      </w:hyperlink>
      <w:r>
        <w:rPr>
          <w:rFonts w:ascii="Times New Roman" w:hAnsi="Times New Roman"/>
          <w:b w:val="false"/>
          <w:i w:val="false"/>
          <w:color w:val="000000"/>
          <w:sz w:val="22"/>
        </w:rPr>
        <w:t xml:space="preserve">(455B). This subrule is not intended to limit the authority of the department to establish liability against the responsible person(s) other than owners and operators as defined in Iowa Code section </w:t>
      </w:r>
      <w:hyperlink r:id="rId17">
        <w:r>
          <w:rPr>
            <w:rStyle w:val="Hyperlink"/>
            <w:rFonts w:ascii="Times New Roman" w:hAnsi="Times New Roman"/>
            <w:b w:val="false"/>
            <w:i w:val="false"/>
            <w:color w:val="000000"/>
            <w:sz w:val="22"/>
          </w:rPr>
          <w:t>455B.471(5)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455B.471(6)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105.101(6)</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567—105.102</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Iowa Code sections </w:t>
      </w:r>
      <w:hyperlink r:id="rId19">
        <w:r>
          <w:rPr>
            <w:rStyle w:val="Hyperlink"/>
            <w:rFonts w:ascii="Times New Roman" w:hAnsi="Times New Roman"/>
            <w:b w:val="false"/>
            <w:i w:val="false"/>
            <w:color w:val="000000"/>
            <w:sz w:val="22"/>
          </w:rPr>
          <w:t>455B.381</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455B.411</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455E.2</w:t>
        </w:r>
      </w:hyperlink>
      <w:r>
        <w:rPr>
          <w:rFonts w:ascii="Times New Roman" w:hAnsi="Times New Roman"/>
          <w:b w:val="false"/>
          <w:i w:val="false"/>
          <w:color w:val="000000"/>
          <w:sz w:val="22"/>
        </w:rPr>
        <w:t>, the following definitions shall apply to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“Action level”</w:t>
      </w:r>
      <w:r>
        <w:rPr>
          <w:rFonts w:ascii="Times New Roman" w:hAnsi="Times New Roman"/>
          <w:b w:val="false"/>
          <w:i w:val="false"/>
          <w:color w:val="000000"/>
          <w:sz w:val="22"/>
        </w:rPr>
        <w:t> </w:t>
      </w:r>
      <w:r>
        <w:rPr>
          <w:rFonts w:ascii="Times New Roman" w:hAnsi="Times New Roman"/>
          <w:b w:val="false"/>
          <w:i w:val="false"/>
          <w:color w:val="000000"/>
          <w:sz w:val="22"/>
        </w:rPr>
        <w:t>means, for any contaminant: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MCL if one exists;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HAL if one exists and there is no MCL;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action level established by the department based on current technical literature and recommended guidelines of the United States Environmental Protection Agency (EPA) and recognized experts, if there is no MCL or HAL.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“AFS”</w:t>
      </w:r>
      <w:r>
        <w:rPr>
          <w:rFonts w:ascii="Times New Roman" w:hAnsi="Times New Roman"/>
          <w:b w:val="false"/>
          <w:i w:val="false"/>
          <w:color w:val="000000"/>
          <w:sz w:val="22"/>
        </w:rPr>
        <w:t> </w:t>
      </w:r>
      <w:r>
        <w:rPr>
          <w:rFonts w:ascii="Times New Roman" w:hAnsi="Times New Roman"/>
          <w:b w:val="false"/>
          <w:i w:val="false"/>
          <w:color w:val="000000"/>
          <w:sz w:val="22"/>
        </w:rPr>
        <w:t>means the Special Publication 30, “Investigation and Monetary Values of Fish and Freshwater Mussel Kills,” published by the American Fisheries Society.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“Aggravated risk”</w:t>
      </w:r>
      <w:r>
        <w:rPr>
          <w:rFonts w:ascii="Times New Roman" w:hAnsi="Times New Roman"/>
          <w:b w:val="false"/>
          <w:i w:val="false"/>
          <w:color w:val="000000"/>
          <w:sz w:val="22"/>
        </w:rPr>
        <w:t> </w:t>
      </w:r>
      <w:r>
        <w:rPr>
          <w:rFonts w:ascii="Times New Roman" w:hAnsi="Times New Roman"/>
          <w:b w:val="false"/>
          <w:i w:val="false"/>
          <w:color w:val="000000"/>
          <w:sz w:val="22"/>
        </w:rPr>
        <w:t>means a contamination situation that presents a potentially catastrophic or an immediate and substantial risk of harm to human life or health or to the environment. Examples include exposure of humans, animals or the food chain to acutely toxic substances, contamination of a drinking water supply, threat of fire or explosion, or similar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 or air resources”</w:t>
      </w:r>
      <w:r>
        <w:rPr>
          <w:rFonts w:ascii="Times New Roman" w:hAnsi="Times New Roman"/>
          <w:b w:val="false"/>
          <w:i w:val="false"/>
          <w:color w:val="000000"/>
          <w:sz w:val="22"/>
        </w:rPr>
        <w:t> </w:t>
      </w:r>
      <w:r>
        <w:rPr>
          <w:rFonts w:ascii="Times New Roman" w:hAnsi="Times New Roman"/>
          <w:b w:val="false"/>
          <w:i w:val="false"/>
          <w:color w:val="000000"/>
          <w:sz w:val="22"/>
        </w:rPr>
        <w:t>means those naturally occurring constituents of the atmosphere, including those gases essential for human, plant, and animal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w:t>
      </w:r>
      <w:r>
        <w:rPr>
          <w:rFonts w:ascii="Times New Roman" w:hAnsi="Times New Roman"/>
          <w:b w:val="false"/>
          <w:i w:val="false"/>
          <w:color w:val="000000"/>
          <w:sz w:val="22"/>
        </w:rPr>
        <w:t> </w:t>
      </w:r>
      <w:r>
        <w:rPr>
          <w:rFonts w:ascii="Times New Roman" w:hAnsi="Times New Roman"/>
          <w:b w:val="false"/>
          <w:i w:val="false"/>
          <w:color w:val="000000"/>
          <w:sz w:val="22"/>
        </w:rPr>
        <w:t>means groundwater quality unaffected by human activities, and generally shall be determined by historical data of the geological services bureau or other government agencies for the type of aquifer or location involved in a given case. If available data is not adequate, background may be established by groundwater samples upgradient of a source or potential source of a substance that is detected in or has a reasonable probability of entering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available technology”</w:t>
      </w:r>
      <w:r>
        <w:rPr>
          <w:rFonts w:ascii="Times New Roman" w:hAnsi="Times New Roman"/>
          <w:b w:val="false"/>
          <w:i w:val="false"/>
          <w:color w:val="000000"/>
          <w:sz w:val="22"/>
        </w:rPr>
        <w:t> </w:t>
      </w:r>
      <w:r>
        <w:rPr>
          <w:rFonts w:ascii="Times New Roman" w:hAnsi="Times New Roman"/>
          <w:b w:val="false"/>
          <w:i w:val="false"/>
          <w:color w:val="000000"/>
          <w:sz w:val="22"/>
        </w:rPr>
        <w:t>means those processes that most effectively remove, treat, or isolate contaminants from groundwater or associated environment, as determined through professional judgment considering actual equipment or techniques currently in use, published technical articles and research results, engineering reference materials, consultation with known experts in the field, and guidelines or rules of other regulatory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“Best management practices”</w:t>
      </w:r>
      <w:r>
        <w:rPr>
          <w:rFonts w:ascii="Times New Roman" w:hAnsi="Times New Roman"/>
          <w:b w:val="false"/>
          <w:i w:val="false"/>
          <w:color w:val="000000"/>
          <w:sz w:val="22"/>
        </w:rPr>
        <w:t> </w:t>
      </w:r>
      <w:r>
        <w:rPr>
          <w:rFonts w:ascii="Times New Roman" w:hAnsi="Times New Roman"/>
          <w:b w:val="false"/>
          <w:i w:val="false"/>
          <w:color w:val="000000"/>
          <w:sz w:val="22"/>
        </w:rPr>
        <w:t>means maintenance procedures, schedules of activities, prohibition of practices, and other management practices, or a combination thereof, that after problem assessment and evaluation of alternatives is determined to be the most effective means of preventing or abating contamination at a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“Biological resources”</w:t>
      </w:r>
      <w:r>
        <w:rPr>
          <w:rFonts w:ascii="Times New Roman" w:hAnsi="Times New Roman"/>
          <w:b w:val="false"/>
          <w:i w:val="false"/>
          <w:color w:val="000000"/>
          <w:sz w:val="22"/>
        </w:rPr>
        <w:t> </w:t>
      </w:r>
      <w:r>
        <w:rPr>
          <w:rFonts w:ascii="Times New Roman" w:hAnsi="Times New Roman"/>
          <w:b w:val="false"/>
          <w:i w:val="false"/>
          <w:color w:val="000000"/>
          <w:sz w:val="22"/>
        </w:rPr>
        <w:t>means fish, wildlife and other biota belonging to, managed by, held in trust by, appertaining to, or otherwise controlled by the state of Iowa, the United States, or local government. Fish and wildlife include freshwater aquatic and terrestrial species; game, nongame, and commercial species; and threatened and endangered species. Other biota encompass shellfish, terrestrial and aquatic plants, and other living organisms not otherwise listed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chemical, ion, radionuclide, synthetic organic compound, microorganism, waste or other substance that does not occur naturally in groundwater or that occurs naturally at a lower concentration, and includes but is not limited to all hazardous substances as defined in </w:t>
      </w:r>
      <w:r>
        <w:rPr>
          <w:rFonts w:ascii="Times New Roman" w:hAnsi="Times New Roman"/>
          <w:b w:val="false"/>
          <w:i w:val="false"/>
          <w:color w:val="000000"/>
          <w:sz w:val="22"/>
        </w:rPr>
        <w:t>42 U.S.C. 9601</w:t>
      </w:r>
      <w:r>
        <w:rPr>
          <w:rFonts w:ascii="Times New Roman" w:hAnsi="Times New Roman"/>
          <w:b w:val="false"/>
          <w:i w:val="false"/>
          <w:color w:val="000000"/>
          <w:sz w:val="22"/>
        </w:rPr>
        <w:t xml:space="preserve"> (2018), and any element, compound, mixture, solution or substance designated pursuant to </w:t>
      </w:r>
      <w:r>
        <w:rPr>
          <w:rFonts w:ascii="Times New Roman" w:hAnsi="Times New Roman"/>
          <w:b w:val="false"/>
          <w:i w:val="false"/>
          <w:color w:val="000000"/>
          <w:sz w:val="22"/>
        </w:rPr>
        <w:t>40 CFR 302.4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“Damages”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costs of restoration, rehabilitation, and replacement of resources, or acquisition of equivalent resources, as determined in accordance with this chapter; the reasonable and necessary costs of the assessment, to include the cost of performing the assessment and administrative costs and expenses necessary for, and incidental to, the assessment; lost services to the public; and, in the event the damages claim is not resolved within six months after the incident leading to the damages, interest at the current rate published in the Iowa Administrative Bulletin by the department of revenue pursuant to Iowa Code section </w:t>
      </w:r>
      <w:hyperlink r:id="rId22">
        <w:r>
          <w:rPr>
            <w:rStyle w:val="Hyperlink"/>
            <w:rFonts w:ascii="Times New Roman" w:hAnsi="Times New Roman"/>
            <w:b w:val="false"/>
            <w:i w:val="false"/>
            <w:color w:val="000000"/>
            <w:sz w:val="22"/>
          </w:rPr>
          <w:t>421.7</w:t>
        </w:r>
      </w:hyperlink>
      <w:r>
        <w:rPr>
          <w:rFonts w:ascii="Times New Roman" w:hAnsi="Times New Roman"/>
          <w:b w:val="false"/>
          <w:i w:val="false"/>
          <w:color w:val="000000"/>
          <w:sz w:val="22"/>
        </w:rPr>
        <w:t>. The interest amount shall be computed from the date the amount of the claim is confirmed by a final ruling of the commission in a contested case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“Drinking water supply”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raw or finished water source that is or may be used by a public water system, as defined in Iowa Code section </w:t>
      </w:r>
      <w:hyperlink r:id="rId23">
        <w:r>
          <w:rPr>
            <w:rStyle w:val="Hyperlink"/>
            <w:rFonts w:ascii="Times New Roman" w:hAnsi="Times New Roman"/>
            <w:b w:val="false"/>
            <w:i w:val="false"/>
            <w:color w:val="000000"/>
            <w:sz w:val="22"/>
          </w:rPr>
          <w:t>455B.171</w:t>
        </w:r>
      </w:hyperlink>
      <w:r>
        <w:rPr>
          <w:rFonts w:ascii="Times New Roman" w:hAnsi="Times New Roman"/>
          <w:b w:val="false"/>
          <w:i w:val="false"/>
          <w:color w:val="000000"/>
          <w:sz w:val="22"/>
        </w:rPr>
        <w:t>, or as drinking water by one or more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“Geologic resources”</w:t>
      </w:r>
      <w:r>
        <w:rPr>
          <w:rFonts w:ascii="Times New Roman" w:hAnsi="Times New Roman"/>
          <w:b w:val="false"/>
          <w:i w:val="false"/>
          <w:color w:val="000000"/>
          <w:sz w:val="22"/>
        </w:rPr>
        <w:t> </w:t>
      </w:r>
      <w:r>
        <w:rPr>
          <w:rFonts w:ascii="Times New Roman" w:hAnsi="Times New Roman"/>
          <w:b w:val="false"/>
          <w:i w:val="false"/>
          <w:color w:val="000000"/>
          <w:sz w:val="22"/>
        </w:rPr>
        <w:t>means those elements of Earth’s crust such as soils, sediments, rocks, and minerals, including petroleum and natural gas, that are not included in the definitions of groundwater and surface water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“Groundwater resources”</w:t>
      </w:r>
      <w:r>
        <w:rPr>
          <w:rFonts w:ascii="Times New Roman" w:hAnsi="Times New Roman"/>
          <w:b w:val="false"/>
          <w:i w:val="false"/>
          <w:color w:val="000000"/>
          <w:sz w:val="22"/>
        </w:rPr>
        <w:t> </w:t>
      </w:r>
      <w:r>
        <w:rPr>
          <w:rFonts w:ascii="Times New Roman" w:hAnsi="Times New Roman"/>
          <w:b w:val="false"/>
          <w:i w:val="false"/>
          <w:color w:val="000000"/>
          <w:sz w:val="22"/>
        </w:rPr>
        <w:t>means water in a saturated zone or stratum beneath the surface of land or water and the rocks or sediments through which groundwater moves. It includes groundwater resources that meet the definition of drinking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“HAL”</w:t>
      </w:r>
      <w:r>
        <w:rPr>
          <w:rFonts w:ascii="Times New Roman" w:hAnsi="Times New Roman"/>
          <w:b w:val="false"/>
          <w:i w:val="false"/>
          <w:color w:val="000000"/>
          <w:sz w:val="22"/>
        </w:rPr>
        <w:t> </w:t>
      </w:r>
      <w:r>
        <w:rPr>
          <w:rFonts w:ascii="Times New Roman" w:hAnsi="Times New Roman"/>
          <w:b w:val="false"/>
          <w:i w:val="false"/>
          <w:color w:val="000000"/>
          <w:sz w:val="22"/>
        </w:rPr>
        <w:t>means a lifetime health advisory level for a contaminant, established by the EPA. Health advisories represent the concentration of a single contaminant, based on current toxicological information, in drinking water that is not expected to cause adverse health effects over lifetime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“MCL”</w:t>
      </w:r>
      <w:r>
        <w:rPr>
          <w:rFonts w:ascii="Times New Roman" w:hAnsi="Times New Roman"/>
          <w:b w:val="false"/>
          <w:i w:val="false"/>
          <w:color w:val="000000"/>
          <w:sz w:val="22"/>
        </w:rPr>
        <w:t> </w:t>
      </w:r>
      <w:r>
        <w:rPr>
          <w:rFonts w:ascii="Times New Roman" w:hAnsi="Times New Roman"/>
          <w:b w:val="false"/>
          <w:i w:val="false"/>
          <w:color w:val="000000"/>
          <w:sz w:val="22"/>
        </w:rPr>
        <w:t>means the enforceable maximum contaminant level established by the EPA pursuant to the Safe Drinking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“Natural resources”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“resources”</w:t>
      </w:r>
      <w:r>
        <w:rPr>
          <w:rFonts w:ascii="Times New Roman" w:hAnsi="Times New Roman"/>
          <w:b w:val="false"/>
          <w:i w:val="false"/>
          <w:color w:val="000000"/>
          <w:sz w:val="22"/>
        </w:rPr>
        <w:t> </w:t>
      </w:r>
      <w:r>
        <w:rPr>
          <w:rFonts w:ascii="Times New Roman" w:hAnsi="Times New Roman"/>
          <w:b w:val="false"/>
          <w:i w:val="false"/>
          <w:color w:val="000000"/>
          <w:sz w:val="22"/>
        </w:rPr>
        <w:t>means land, fish, wildlife, biota, air, water, groundwater, drinking water supplies, and other such resources belonging to, managed by, held in trust by, appertaining to, or otherwise controlled by the United States, the state of Iowa, or local government. These natural resources have been categorized into the following five groups: surface water resources, groundwater resources, air resources, geologic resources, and biological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source”</w:t>
      </w:r>
      <w:r>
        <w:rPr>
          <w:rFonts w:ascii="Times New Roman" w:hAnsi="Times New Roman"/>
          <w:b w:val="false"/>
          <w:i w:val="false"/>
          <w:color w:val="000000"/>
          <w:sz w:val="22"/>
        </w:rPr>
        <w:t> </w:t>
      </w:r>
      <w:r>
        <w:rPr>
          <w:rFonts w:ascii="Times New Roman" w:hAnsi="Times New Roman"/>
          <w:b w:val="false"/>
          <w:i w:val="false"/>
          <w:color w:val="000000"/>
          <w:sz w:val="22"/>
        </w:rPr>
        <w:t>means any building, structure, installation, equipment, pipe or pipeline (including any pipe into a sewer or publicly owned treatment works), well, pit, pond, lagoon, impoundment, ditch, landfill, storage container, motor vehicle, rolling stock, or aircraft, or any site or area where a contaminant has been deposited, stored, disposed of, or placed, or otherwise come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“Preventative”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“prevention”</w:t>
      </w:r>
      <w:r>
        <w:rPr>
          <w:rFonts w:ascii="Times New Roman" w:hAnsi="Times New Roman"/>
          <w:b w:val="false"/>
          <w:i w:val="false"/>
          <w:color w:val="000000"/>
          <w:sz w:val="22"/>
        </w:rPr>
        <w:t> </w:t>
      </w:r>
      <w:r>
        <w:rPr>
          <w:rFonts w:ascii="Times New Roman" w:hAnsi="Times New Roman"/>
          <w:b w:val="false"/>
          <w:i w:val="false"/>
          <w:color w:val="000000"/>
          <w:sz w:val="22"/>
        </w:rPr>
        <w:t>refers, in the context of these rules, to actions or efforts to minimize or stop further contamination in a situation where contamination already exists or is imminent.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“Remedial action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written report that includes all relevant information, findings, and conclusions from a site assessment, including all analytical results and identification of contaminant migration pathways; identification and evaluation of cleanup alternatives, including both active and passive measures using best available technology and best management practices; a recommended cleanup action or combination of action, including identification of expected cleanup levels consistent with the cleanup goal of </w:t>
      </w:r>
      <w:hyperlink r:id="rId24">
        <w:r>
          <w:rPr>
            <w:rStyle w:val="Hyperlink"/>
            <w:rFonts w:ascii="Times New Roman" w:hAnsi="Times New Roman"/>
            <w:b w:val="false"/>
            <w:i w:val="false"/>
            <w:color w:val="000000"/>
            <w:sz w:val="22"/>
          </w:rPr>
          <w:t>105.104(3)</w:t>
        </w:r>
        <w:r>
          <w:rPr>
            <w:rFonts w:ascii="Times New Roman" w:hAnsi="Times New Roman"/>
            <w:b w:val="false"/>
            <w:i/>
            <w:color w:val="000000"/>
            <w:sz w:val="22"/>
          </w:rPr>
          <w:t>“b”</w:t>
        </w:r>
      </w:hyperlink>
      <w:r>
        <w:rPr>
          <w:rFonts w:ascii="Times New Roman" w:hAnsi="Times New Roman"/>
          <w:b w:val="false"/>
          <w:i w:val="false"/>
          <w:color w:val="000000"/>
          <w:sz w:val="22"/>
        </w:rPr>
        <w:t>; a monitoring network and schedule to document cleanup levels; and a proposed schedule of implementation.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who is legally liable for the contamination in question or who is legally responsible for abating contamination under any applicable law, including Iowa Code chapters </w:t>
      </w:r>
      <w:hyperlink r:id="rId2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and the common law. This may include the person causing, allowing or otherwise participating in the activities or events that cause the contamination, persons who have failed to conduct their activities so as to prevent the release of contaminants into groundwater, property owners who are obligated to abate a condition, or persons responsible for or successor to such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risk”</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presence in groundwater of a contaminant in excess of an action level;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presence of a contaminant in the soils, surface water, or other environment in proximity to groundwater that may reasonably be expected to contaminate the groundwater to an action level;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presence of a contaminant or contaminants in the groundwater, or in the soils, surface water or other environment in proximity of groundwater that may be expected to contaminate groundwater in quantities, concentrations, or combinations that may have a significant adverse impact on public health, safety, environment, or quality of life. This criterion would normally be applied where there is no established action level or where combinations of more than one contaminant are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plan”</w:t>
      </w:r>
      <w:r>
        <w:rPr>
          <w:rFonts w:ascii="Times New Roman" w:hAnsi="Times New Roman"/>
          <w:b w:val="false"/>
          <w:i w:val="false"/>
          <w:color w:val="000000"/>
          <w:sz w:val="22"/>
        </w:rPr>
        <w:t> </w:t>
      </w:r>
      <w:r>
        <w:rPr>
          <w:rFonts w:ascii="Times New Roman" w:hAnsi="Times New Roman"/>
          <w:b w:val="false"/>
          <w:i w:val="false"/>
          <w:color w:val="000000"/>
          <w:sz w:val="22"/>
        </w:rPr>
        <w:t>means a written proposal for study of a contamination situation to determine the types, amounts, and sources of contaminants present, hydrogeological characteristics of the site, and the vertical and horizontal extent of contamination, with a goal of developing an adequate remedial action plan. The proposal must include: recommendations for collection of relevant historical data such as site management practices, inventory records, literature searches, photographs and personal interviews; a methodology for obtaining groundwater flow information including well placements, construction and elevation, bore logs, static groundwater table measurements, groundwater elevations, groundwater gradients (isopleth), and information on soil transmissivity, porosity and permeability; and a methodology for identifying contaminant plumes, including additional monitoring wells to identify the horizontal and vertical extent of contamination, a site plot showing the estimated configuration of contamination, and a sampling schedule and list of constituents to be analyzed. The plan development may require preliminary field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 resources”</w:t>
      </w:r>
      <w:r>
        <w:rPr>
          <w:rFonts w:ascii="Times New Roman" w:hAnsi="Times New Roman"/>
          <w:b w:val="false"/>
          <w:i w:val="false"/>
          <w:color w:val="000000"/>
          <w:sz w:val="22"/>
        </w:rPr>
        <w:t> </w:t>
      </w:r>
      <w:r>
        <w:rPr>
          <w:rFonts w:ascii="Times New Roman" w:hAnsi="Times New Roman"/>
          <w:b w:val="false"/>
          <w:i w:val="false"/>
          <w:color w:val="000000"/>
          <w:sz w:val="22"/>
        </w:rPr>
        <w:t>means the waters of the state, including the sediments suspended in water or lying on the bank, bed, or shoreline. This term does not include groundwater or water or sediments in ponds, lakes, or reservoirs designed for waste treatment under applicable laws regulating waste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567—105.103</w:t>
      </w:r>
      <w:r>
        <w:rPr>
          <w:rFonts w:ascii="Times New Roman" w:hAnsi="Times New Roman"/>
          <w:b/>
          <w:i w:val="false"/>
          <w:color w:val="000000"/>
          <w:sz w:val="22"/>
        </w:rPr>
        <w:t xml:space="preserve">(455B,455E) </w:t>
      </w:r>
      <w:r>
        <w:rPr>
          <w:rFonts w:ascii="Times New Roman" w:hAnsi="Times New Roman"/>
          <w:b/>
          <w:i w:val="false"/>
          <w:color w:val="000000"/>
          <w:sz w:val="22"/>
        </w:rPr>
        <w:t xml:space="preserve">Documentation of contamination and source.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105.103(1)</w:t>
      </w:r>
      <w:r>
        <w:rPr>
          <w:rFonts w:ascii="Times New Roman" w:hAnsi="Times New Roman"/>
          <w:b w:val="false"/>
          <w:i w:val="false"/>
          <w:color w:val="000000"/>
          <w:sz w:val="22"/>
        </w:rPr>
        <w:t> </w:t>
      </w:r>
      <w:r>
        <w:rPr>
          <w:rFonts w:ascii="Times New Roman" w:hAnsi="Times New Roman"/>
          <w:b w:val="false"/>
          <w:i/>
          <w:color w:val="000000"/>
          <w:sz w:val="22"/>
        </w:rPr>
        <w:t xml:space="preserve">Certified laboratory. </w:t>
      </w:r>
      <w:r>
        <w:rPr>
          <w:rFonts w:ascii="Times New Roman" w:hAnsi="Times New Roman"/>
          <w:b w:val="false"/>
          <w:i w:val="false"/>
          <w:color w:val="000000"/>
          <w:sz w:val="22"/>
        </w:rPr>
        <w:t xml:space="preserve">Analyses for a contaminant regulated under this division must be performed by a laboratory certified for the analyte(s) and applicable method pursuant to </w:t>
      </w:r>
      <w:hyperlink r:id="rId27">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105.103(2)</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of contamination. </w:t>
      </w:r>
      <w:r>
        <w:rPr>
          <w:rFonts w:ascii="Times New Roman" w:hAnsi="Times New Roman"/>
          <w:b w:val="false"/>
          <w:i w:val="false"/>
          <w:color w:val="000000"/>
          <w:sz w:val="22"/>
        </w:rPr>
        <w:t>When the department receives or obtains evidence of groundwater contamination or the release or presence of contaminants in the environment associated with groundwater, where contamination of the groundwater may reasonably be expected, the department shall make reasonable efforts to document the source of contamination, and shall require responsible person(s) to take appropriate preventative, investigatory and remedial actions. Evidence of contamination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Water samples indicating the presence of a contaminant at levels above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Soil or surface water samples indicating the presence of a contaminant at levels above background, where release to the groundwater is likely.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Known releases of contaminants into the environment in quantities and locations that could reasonably be expected to cause groundwater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events the department determines could potentially cause groundwater contamination.</w:t>
      </w:r>
    </w:p>
    <w:p>
      <w:pPr>
        <w:spacing w:before="0" w:after="0"/>
        <w:ind w:left="120"/>
        <w:jc w:val="both"/>
      </w:pPr>
      <w:r>
        <w:rPr>
          <w:rFonts w:ascii="Times New Roman" w:hAnsi="Times New Roman"/>
          <w:b w:val="false"/>
          <w:i w:val="false"/>
          <w:color w:val="000000"/>
          <w:sz w:val="22"/>
        </w:rPr>
        <w:t>The amount and type of evidence necessary to document contamination or potential contamination will vary with the circumstances of each case, including the amount and type of contaminant involved, site topography and geologic conditions, and potential adverse effects. Normally, a reasonable number of water and soil samples will be taken or analyses obtained by the department. However, where a significant quantity of contaminants is known to have been released into the environment, for example from a spill, that could reach groundwater, the department is not required to collect samples.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105.103(3)</w:t>
      </w:r>
      <w:r>
        <w:rPr>
          <w:rFonts w:ascii="Times New Roman" w:hAnsi="Times New Roman"/>
          <w:b w:val="false"/>
          <w:i w:val="false"/>
          <w:color w:val="000000"/>
          <w:sz w:val="22"/>
        </w:rPr>
        <w:t> </w:t>
      </w:r>
      <w:r>
        <w:rPr>
          <w:rFonts w:ascii="Times New Roman" w:hAnsi="Times New Roman"/>
          <w:b w:val="false"/>
          <w:i/>
          <w:color w:val="000000"/>
          <w:sz w:val="22"/>
        </w:rPr>
        <w:t xml:space="preserve">Department determination of source. </w:t>
      </w:r>
      <w:r>
        <w:rPr>
          <w:rFonts w:ascii="Times New Roman" w:hAnsi="Times New Roman"/>
          <w:b w:val="false"/>
          <w:i w:val="false"/>
          <w:color w:val="000000"/>
          <w:sz w:val="22"/>
        </w:rPr>
        <w:t>The department shall determine whether the contamination is or likely was caused by a particular source or sources, for example a known spill of a contaminant or current or past facilities or activities in the vicinity that involved products or substances that could be a likely source. If no such person or event can be identified, the department shall make reasonable efforts to determine whether there is a relatively restricted area of more concentrated contaminant in the vicinity that is or is likely to be a source of the contamination. This subrule does not require the department to identify a specific person or persons responsible for the contamination, but to determine whether the contamination has or has likely come from a relatively defined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105.103(4)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responsible persons. </w:t>
      </w:r>
      <w:r>
        <w:rPr>
          <w:rFonts w:ascii="Times New Roman" w:hAnsi="Times New Roman"/>
          <w:b w:val="false"/>
          <w:i w:val="false"/>
          <w:color w:val="000000"/>
          <w:sz w:val="22"/>
        </w:rPr>
        <w:t>Where a source or likely source of contamination is identified, the person or persons responsible for that source or sources shall conduct necessary preventative, investigatory and remedial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Identification. The persons responsible or potentially responsible initially shall be identified by the department through such measures as on-site observations; interviews with witnesses and local officials; review of public records, including department files; and interviews with or information obtained from potentially responsible persons. Where there may be more than one source, or the source is otherwise not conclusively identified, persons who handle or have handled materials or wastes in the vicinity of the contamination, which could be the source, shall investigate and provide information satisfactory to the department to confirm or disaffirm that their activities are a source of the contamination. Investigation by the responsible or potentially responsible person may include inspection of inventory or other records, and soil and groundwater monitoring to better define the source. Such monitoring shall conform to the requirements of </w:t>
      </w:r>
      <w:hyperlink r:id="rId28">
        <w:r>
          <w:rPr>
            <w:rStyle w:val="Hyperlink"/>
            <w:rFonts w:ascii="Times New Roman" w:hAnsi="Times New Roman"/>
            <w:b w:val="false"/>
            <w:i w:val="false"/>
            <w:color w:val="000000"/>
            <w:sz w:val="22"/>
          </w:rPr>
          <w:t>105.104(3)</w:t>
        </w:r>
      </w:hyperlink>
      <w:r>
        <w:rPr>
          <w:rFonts w:ascii="Times New Roman" w:hAnsi="Times New Roman"/>
          <w:b w:val="false"/>
          <w:i/>
          <w:color w:val="000000"/>
          <w:sz w:val="22"/>
        </w:rPr>
        <w:t>“a,”</w:t>
      </w:r>
      <w:r>
        <w:rPr>
          <w:rFonts w:ascii="Times New Roman" w:hAnsi="Times New Roman"/>
          <w:b w:val="false"/>
          <w:i w:val="false"/>
          <w:color w:val="000000"/>
          <w:sz w:val="22"/>
        </w:rPr>
        <w:t xml:space="preserve"> provided that a full-scale assessment may not be required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The department shall notify in writing the person determined responsible under the above procedures, and include a brief statement of the facts upon which the department concluded that the person is the responsible person, and the actions required; provided that where immediate action is necessary, verbal notification may be given, followed up with written notification. The person notified may provide information disputing or supplementing the information relied on by the department, which shall be considered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Responsible persons may be jointly and severally liable, and the department is not required to name all potentially responsible person(s) in directing responsive actions to contamination.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567—105.104</w:t>
      </w:r>
      <w:r>
        <w:rPr>
          <w:rFonts w:ascii="Times New Roman" w:hAnsi="Times New Roman"/>
          <w:b/>
          <w:i w:val="false"/>
          <w:color w:val="000000"/>
          <w:sz w:val="22"/>
        </w:rPr>
        <w:t xml:space="preserve">(455B,455E) </w:t>
      </w:r>
      <w:r>
        <w:rPr>
          <w:rFonts w:ascii="Times New Roman" w:hAnsi="Times New Roman"/>
          <w:b/>
          <w:i w:val="false"/>
          <w:color w:val="000000"/>
          <w:sz w:val="22"/>
        </w:rPr>
        <w:t xml:space="preserve">Response to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105.104(1)</w:t>
      </w:r>
      <w:r>
        <w:rPr>
          <w:rFonts w:ascii="Times New Roman" w:hAnsi="Times New Roman"/>
          <w:b w:val="false"/>
          <w:i w:val="false"/>
          <w:color w:val="000000"/>
          <w:sz w:val="22"/>
        </w:rPr>
        <w:t> </w:t>
      </w:r>
      <w:r>
        <w:rPr>
          <w:rFonts w:ascii="Times New Roman" w:hAnsi="Times New Roman"/>
          <w:b w:val="false"/>
          <w:i/>
          <w:color w:val="000000"/>
          <w:sz w:val="22"/>
        </w:rPr>
        <w:t xml:space="preserve">Prevention of further contamination. </w:t>
      </w:r>
      <w:r>
        <w:rPr>
          <w:rFonts w:ascii="Times New Roman" w:hAnsi="Times New Roman"/>
          <w:b w:val="false"/>
          <w:i w:val="false"/>
          <w:color w:val="000000"/>
          <w:sz w:val="22"/>
        </w:rPr>
        <w:t>In all cases where an active source of contamination is identified, such as leaking tanks or current practices, that may be readily corrected, the source shall be removed, repaired or otherwise contained, or the contaminating practices ceased, immediately upon discovery of the source. In addition, readily accessible contaminants, for example concentrated contaminants spilled on the ground or accessible through a recovery well or system, shall be promptly removed to avoid or minimize further contamination in the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105.104(2)</w:t>
      </w:r>
      <w:r>
        <w:rPr>
          <w:rFonts w:ascii="Times New Roman" w:hAnsi="Times New Roman"/>
          <w:b w:val="false"/>
          <w:i w:val="false"/>
          <w:color w:val="000000"/>
          <w:sz w:val="22"/>
        </w:rPr>
        <w:t> </w:t>
      </w:r>
      <w:r>
        <w:rPr>
          <w:rFonts w:ascii="Times New Roman" w:hAnsi="Times New Roman"/>
          <w:b w:val="false"/>
          <w:i/>
          <w:color w:val="000000"/>
          <w:sz w:val="22"/>
        </w:rPr>
        <w:t xml:space="preserve">Aggravated risk. </w:t>
      </w:r>
      <w:r>
        <w:rPr>
          <w:rFonts w:ascii="Times New Roman" w:hAnsi="Times New Roman"/>
          <w:b w:val="false"/>
          <w:i w:val="false"/>
          <w:color w:val="000000"/>
          <w:sz w:val="22"/>
        </w:rPr>
        <w:t xml:space="preserve">Where the contamination presents an aggravated risk, the preventative, investigatory and remedial measures provided in </w:t>
      </w:r>
      <w:hyperlink r:id="rId29">
        <w:r>
          <w:rPr>
            <w:rStyle w:val="Hyperlink"/>
            <w:rFonts w:ascii="Times New Roman" w:hAnsi="Times New Roman"/>
            <w:b w:val="false"/>
            <w:i w:val="false"/>
            <w:color w:val="000000"/>
            <w:sz w:val="22"/>
          </w:rPr>
          <w:t>105.104(1)</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105.104(3)</w:t>
        </w:r>
      </w:hyperlink>
      <w:r>
        <w:rPr>
          <w:rFonts w:ascii="Times New Roman" w:hAnsi="Times New Roman"/>
          <w:b w:val="false"/>
          <w:i w:val="false"/>
          <w:color w:val="000000"/>
          <w:sz w:val="22"/>
        </w:rPr>
        <w:t xml:space="preserve"> shall be expedited to remove such risk. Additionally, the following actions shall be taken by the responsible person(s), if necessary, to protect the public health or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alternate water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Install security fencing or other measures to limit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Conduct necessary measures to control the source of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Remove the contaminant to an approved site for storage, treatment or disposal.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Place physical barriers to deter the spread of the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Recommend to appropriate authorities the evacuation of threatened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Use other materials to restrain the spread of the contaminant or to mitigate its effects.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Execute damage control or salvage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105.104(3)</w:t>
      </w:r>
      <w:r>
        <w:rPr>
          <w:rFonts w:ascii="Times New Roman" w:hAnsi="Times New Roman"/>
          <w:b w:val="false"/>
          <w:i w:val="false"/>
          <w:color w:val="000000"/>
          <w:sz w:val="22"/>
        </w:rPr>
        <w:t> </w:t>
      </w:r>
      <w:r>
        <w:rPr>
          <w:rFonts w:ascii="Times New Roman" w:hAnsi="Times New Roman"/>
          <w:b w:val="false"/>
          <w:i/>
          <w:color w:val="000000"/>
          <w:sz w:val="22"/>
        </w:rPr>
        <w:t xml:space="preserve">Significant risk. </w:t>
      </w:r>
      <w:r>
        <w:rPr>
          <w:rFonts w:ascii="Times New Roman" w:hAnsi="Times New Roman"/>
          <w:b w:val="false"/>
          <w:i w:val="false"/>
          <w:color w:val="000000"/>
          <w:sz w:val="22"/>
        </w:rPr>
        <w:t>In cases of significant risk, the following investigatory and remedial measures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responsible person shall determine the extent and levels of contamination through a site assessment conducted under the supervision of an Iowa-licensed professional engineer, an expert in the field of hydrogeology, or other qualified person. A site assessment plan shall be submitted to the department within 45 days of notice by the department, unless a shorter time is required or a longer time is authorized by the department. The plan shall be approved by the department prior to initiation of the assessment, unless otherwise approved by the department. The site assessment shall be conducted within a time frame that is approved by the department. The department may require further investigation by the responsible person to adequately assess the extent of contamination and may require the remedial action plan if necessary. If a remedial action plan is required by the department, the remedial action plan shall be submitted to the department within the time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Required cleanup actions.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Groundwater. The goal of groundwater cleanup is use of best available technology and best management practices as long as it is reasonable and practical to remove all contaminants, and in any event until water contamination remains below the action level for any contaminant, and the department determines that the contamination is not likely to increase and no longer presents a significant risk. Where site conditions and available technology are such that attainment of these goals would be impractical, the department may establish an alternative cleanup level or levels, including such other conditions to adequately protect public health,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Where significant amounts of contaminants are documented as being present in the soils or other environment, such that groundwater contamination is occurring or is likely, active cleanup of the contaminated soils or other environment shall be implemented to the extent reasonable and necessary to prevent or minimize release to the groundwater; passive cleanup may be allowed in extraordinary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105.104(4)</w:t>
      </w:r>
      <w:r>
        <w:rPr>
          <w:rFonts w:ascii="Times New Roman" w:hAnsi="Times New Roman"/>
          <w:b w:val="false"/>
          <w:i w:val="false"/>
          <w:color w:val="000000"/>
          <w:sz w:val="22"/>
        </w:rPr>
        <w:t> </w:t>
      </w:r>
      <w:r>
        <w:rPr>
          <w:rFonts w:ascii="Times New Roman" w:hAnsi="Times New Roman"/>
          <w:b w:val="false"/>
          <w:i/>
          <w:color w:val="000000"/>
          <w:sz w:val="22"/>
        </w:rPr>
        <w:t xml:space="preserve">Nonsignificant risk. </w:t>
      </w:r>
      <w:r>
        <w:rPr>
          <w:rFonts w:ascii="Times New Roman" w:hAnsi="Times New Roman"/>
          <w:b w:val="false"/>
          <w:i w:val="false"/>
          <w:color w:val="000000"/>
          <w:sz w:val="22"/>
        </w:rPr>
        <w:t>Where significant risk is not currently present, the responsible person may be required to monitor the groundwater and implement reasonable management or other preventative measures to minimize further contamination.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567—105.105</w:t>
      </w:r>
      <w:r>
        <w:rPr>
          <w:rFonts w:ascii="Times New Roman" w:hAnsi="Times New Roman"/>
          <w:b/>
          <w:i w:val="false"/>
          <w:color w:val="000000"/>
          <w:sz w:val="22"/>
        </w:rPr>
        <w:t xml:space="preserve">(455B,455E) </w:t>
      </w:r>
      <w:r>
        <w:rPr>
          <w:rFonts w:ascii="Times New Roman" w:hAnsi="Times New Roman"/>
          <w:b/>
          <w:i w:val="false"/>
          <w:color w:val="000000"/>
          <w:sz w:val="22"/>
        </w:rPr>
        <w:t xml:space="preserve">Report to commission. </w:t>
      </w:r>
      <w:r>
        <w:rPr>
          <w:rFonts w:ascii="Times New Roman" w:hAnsi="Times New Roman"/>
          <w:b w:val="false"/>
          <w:i w:val="false"/>
          <w:color w:val="000000"/>
          <w:sz w:val="22"/>
        </w:rPr>
        <w:t>Department actions taken pursuant to this division shall be reported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567—105.106</w:t>
      </w:r>
      <w:r>
        <w:rPr>
          <w:rFonts w:ascii="Times New Roman" w:hAnsi="Times New Roman"/>
          <w:b/>
          <w:i w:val="false"/>
          <w:color w:val="000000"/>
          <w:sz w:val="22"/>
        </w:rPr>
        <w:t xml:space="preserve">(455B) </w:t>
      </w:r>
      <w:r>
        <w:rPr>
          <w:rFonts w:ascii="Times New Roman" w:hAnsi="Times New Roman"/>
          <w:b/>
          <w:i w:val="false"/>
          <w:color w:val="000000"/>
          <w:sz w:val="22"/>
        </w:rPr>
        <w:t xml:space="preserve">Compensation for damages to natural resources.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This rule applies to persons who, by release of a hazardous substance to the environment, cause injury to, destruction of, or loss of natural resources held in trust by the state for the public. In most cases this would involve the destruction of aquatic life or other wildlife under the ownership of the state, as provided in Iowa Code section </w:t>
      </w:r>
      <w:hyperlink r:id="rId31">
        <w:r>
          <w:rPr>
            <w:rStyle w:val="Hyperlink"/>
            <w:rFonts w:ascii="Times New Roman" w:hAnsi="Times New Roman"/>
            <w:b w:val="false"/>
            <w:i w:val="false"/>
            <w:color w:val="000000"/>
            <w:sz w:val="22"/>
          </w:rPr>
          <w:t>481A.2</w:t>
        </w:r>
      </w:hyperlink>
      <w:r>
        <w:rPr>
          <w:rFonts w:ascii="Times New Roman" w:hAnsi="Times New Roman"/>
          <w:b w:val="false"/>
          <w:i w:val="false"/>
          <w:color w:val="000000"/>
          <w:sz w:val="22"/>
        </w:rPr>
        <w:t>. This rule relates to the compensation to the state and public for the natural resource damages and is in addition to any other legal recourse for the event or action that caused the destruction or damage.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105.106(2)</w:t>
      </w:r>
      <w:r>
        <w:rPr>
          <w:rFonts w:ascii="Times New Roman" w:hAnsi="Times New Roman"/>
          <w:b w:val="false"/>
          <w:i w:val="false"/>
          <w:color w:val="000000"/>
          <w:sz w:val="22"/>
        </w:rPr>
        <w:t> </w:t>
      </w:r>
      <w:r>
        <w:rPr>
          <w:rFonts w:ascii="Times New Roman" w:hAnsi="Times New Roman"/>
          <w:b w:val="false"/>
          <w:i/>
          <w:color w:val="000000"/>
          <w:sz w:val="22"/>
        </w:rPr>
        <w:t xml:space="preserve">Liability to the state. </w:t>
      </w:r>
      <w:r>
        <w:rPr>
          <w:rFonts w:ascii="Times New Roman" w:hAnsi="Times New Roman"/>
          <w:b w:val="false"/>
          <w:i w:val="false"/>
          <w:color w:val="000000"/>
          <w:sz w:val="22"/>
        </w:rPr>
        <w:t xml:space="preserve">Pursuant to Iowa Code section </w:t>
      </w:r>
      <w:hyperlink r:id="rId32">
        <w:r>
          <w:rPr>
            <w:rStyle w:val="Hyperlink"/>
            <w:rFonts w:ascii="Times New Roman" w:hAnsi="Times New Roman"/>
            <w:b w:val="false"/>
            <w:i w:val="false"/>
            <w:color w:val="000000"/>
            <w:sz w:val="22"/>
          </w:rPr>
          <w:t>455B.392(1)</w:t>
        </w:r>
      </w:hyperlink>
      <w:r>
        <w:rPr>
          <w:rFonts w:ascii="Times New Roman" w:hAnsi="Times New Roman"/>
          <w:b w:val="false"/>
          <w:i/>
          <w:color w:val="000000"/>
          <w:sz w:val="22"/>
        </w:rPr>
        <w:t>“c,”</w:t>
      </w:r>
      <w:r>
        <w:rPr>
          <w:rFonts w:ascii="Times New Roman" w:hAnsi="Times New Roman"/>
          <w:b w:val="false"/>
          <w:i w:val="false"/>
          <w:color w:val="000000"/>
          <w:sz w:val="22"/>
        </w:rPr>
        <w:t xml:space="preserve"> this rule establishes the methodologies and criteria for evaluating the extent and value of the damage and establishes the methods of compensation. If the person and the department cannot agree to the proper resolution of a particular case, the issues of liability, damage and compensation will be established through contested case proceedings, as provided by </w:t>
      </w:r>
      <w:hyperlink r:id="rId33">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105.106(3)</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When natural resources are destroyed or damaged by an identifiable source, the degree and value of the losses shall be assessed by collecting, compiling, and analyzing relevant information, statistics, or data through prescribed methodologies to determine damages,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specified otherwise in this rule, the definitions, methodologies, and criteria in </w:t>
      </w:r>
      <w:r>
        <w:rPr>
          <w:rFonts w:ascii="Times New Roman" w:hAnsi="Times New Roman"/>
          <w:b w:val="false"/>
          <w:i w:val="false"/>
          <w:color w:val="000000"/>
          <w:sz w:val="22"/>
        </w:rPr>
        <w:t>43 CFR Part 11</w:t>
      </w:r>
      <w:r>
        <w:rPr>
          <w:rFonts w:ascii="Times New Roman" w:hAnsi="Times New Roman"/>
          <w:b w:val="false"/>
          <w:i w:val="false"/>
          <w:color w:val="000000"/>
          <w:sz w:val="22"/>
        </w:rPr>
        <w:t xml:space="preserve"> may be used to assess natural resource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Fish loss. </w:t>
      </w:r>
      <w:r>
        <w:rPr>
          <w:rFonts w:ascii="Times New Roman" w:hAnsi="Times New Roman"/>
          <w:b w:val="false"/>
          <w:i w:val="false"/>
          <w:color w:val="000000"/>
          <w:sz w:val="22"/>
        </w:rPr>
        <w:t>Assessment of damages for fish kills shall be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Normally investigators will follow the methods prescribed by AFS to determine numbers of fish killed, by species and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During periods of ice cover, where local conditions prevent using these methods, or in other appropriate circumstances, for example when the resources are known to have been diminished by prior incidents, investigators will utilize the best information available to determine numbers of fish killed by species and size. Information may include existing or prior data on population levels in the affected water body or nearby water bodies with similar characteristics, including any historical fish kill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monetary valuation of fish shall be the replacement values as published in AFS for all fish lost except the following: channel catfish, flathead catfish, blue catfish, northern pike, muskellunge, northern pike/muskellunge hybrid, rainbow trout, brown trout, brook trout, white bass, yellow bass, white bass/striped bass hybrid, largemouth bass, smallmouth bass, spotted bass, crappie, rock bass, bluegill, redear sunfish, warmouth, pumpkinseed, freshwater drum, yellow perch, walleye, sauger, and walleye/sauger hybrid. The value of these fish shall be $15 each, unless AFS establishes a higher value. Notwithstanding the above, the value of each fish classified by the department as an endangered or threatened species shall be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value of lost services to the public shall be the number of fishing trips lost over the period of the resource loss, as determined through local creel survey information or through interpolation from the most recent statewide creel survey. Each trip shall be valued at $30.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 of the investigation shall include salaries plus overhead for staff time, including support staff, involved in investigating the fish kill and performing the assessment; meals and lodging for staff while in the field conducting the assessment; mileage, valued at the current rate established pursuant to Iowa Code section </w:t>
      </w:r>
      <w:hyperlink r:id="rId35">
        <w:r>
          <w:rPr>
            <w:rStyle w:val="Hyperlink"/>
            <w:rFonts w:ascii="Times New Roman" w:hAnsi="Times New Roman"/>
            <w:b w:val="false"/>
            <w:i w:val="false"/>
            <w:color w:val="000000"/>
            <w:sz w:val="22"/>
          </w:rPr>
          <w:t>8A.363</w:t>
        </w:r>
      </w:hyperlink>
      <w:r>
        <w:rPr>
          <w:rFonts w:ascii="Times New Roman" w:hAnsi="Times New Roman"/>
          <w:b w:val="false"/>
          <w:i w:val="false"/>
          <w:color w:val="000000"/>
          <w:sz w:val="22"/>
        </w:rPr>
        <w:t>; costs borne by the department associated with containment or cleanup operations; and any other costs directly associated with the investigation and assessment.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105.106(4)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The department will extend to the responsible person the opportunity to reach voluntary agreement as to the amount of damages and the compensation method. If the person disputes liability or the damage amount, the department will make a demand for payment and the person may appeal and demand contested case procedures under </w:t>
      </w:r>
      <w:hyperlink r:id="rId36">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The method of compensation shall be solely in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Direct monetary payment. </w:t>
      </w:r>
      <w:r>
        <w:rPr>
          <w:rFonts w:ascii="Times New Roman" w:hAnsi="Times New Roman"/>
          <w:b w:val="false"/>
          <w:i w:val="false"/>
          <w:color w:val="000000"/>
          <w:sz w:val="22"/>
        </w:rPr>
        <w:t>Compensation will normally be by direct monetary payment to the department. The money received will be used to replace, restore or rehabilitate the lost or damaged resources. Resource enhancement projects, support of educational programs relating to resource protection or enhancement, or resource acquisition of equal or greater value also may be funded. If practical, such alternatives should provide similar services to the public and should be in the vicinity of the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Indirect monetary payment. </w:t>
      </w:r>
      <w:r>
        <w:rPr>
          <w:rFonts w:ascii="Times New Roman" w:hAnsi="Times New Roman"/>
          <w:b w:val="false"/>
          <w:i w:val="false"/>
          <w:color w:val="000000"/>
          <w:sz w:val="22"/>
        </w:rPr>
        <w:t xml:space="preserve">In appropriate cases, an equal or greater amount of compensation may be made by monetary payment to another government agency or private nonprofit group in the natural resource field for the same purposes as provided in </w:t>
      </w:r>
      <w:hyperlink r:id="rId38">
        <w:r>
          <w:rPr>
            <w:rStyle w:val="Hyperlink"/>
            <w:rFonts w:ascii="Times New Roman" w:hAnsi="Times New Roman"/>
            <w:b w:val="false"/>
            <w:i w:val="false"/>
            <w:color w:val="000000"/>
            <w:sz w:val="22"/>
          </w:rPr>
          <w:t>105.106(4)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 funding of projects. </w:t>
      </w:r>
      <w:r>
        <w:rPr>
          <w:rFonts w:ascii="Times New Roman" w:hAnsi="Times New Roman"/>
          <w:b w:val="false"/>
          <w:i w:val="false"/>
          <w:color w:val="000000"/>
          <w:sz w:val="22"/>
        </w:rPr>
        <w:t xml:space="preserve">With the approval and oversight of the department, the person may be allowed to contract directly for the same purposes as provided in </w:t>
      </w:r>
      <w:hyperlink r:id="rId39">
        <w:r>
          <w:rPr>
            <w:rStyle w:val="Hyperlink"/>
            <w:rFonts w:ascii="Times New Roman" w:hAnsi="Times New Roman"/>
            <w:b w:val="false"/>
            <w:i w:val="false"/>
            <w:color w:val="000000"/>
            <w:sz w:val="22"/>
          </w:rPr>
          <w:t>105.106(4)</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567—105.107</w:t>
      </w:r>
      <w:r>
        <w:rPr>
          <w:rFonts w:ascii="Times New Roman" w:hAnsi="Times New Roman"/>
          <w:b w:val="false"/>
          <w:i w:val="false"/>
          <w:color w:val="000000"/>
          <w:sz w:val="22"/>
        </w:rPr>
        <w:t xml:space="preserve"> to </w:t>
      </w:r>
      <w:r>
        <w:rPr>
          <w:rFonts w:ascii="Times New Roman" w:hAnsi="Times New Roman"/>
          <w:b/>
          <w:i w:val="false"/>
          <w:color w:val="000000"/>
          <w:sz w:val="22"/>
        </w:rPr>
        <w:t>105.199</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1, and subchapter IV, part 4, and Iowa Code section </w:t>
      </w:r>
      <w:hyperlink r:id="rId41">
        <w:r>
          <w:rPr>
            <w:rStyle w:val="Hyperlink"/>
            <w:rFonts w:ascii="Times New Roman" w:hAnsi="Times New Roman"/>
            <w:b w:val="false"/>
            <w:i w:val="false"/>
            <w:color w:val="000000"/>
            <w:sz w:val="22"/>
          </w:rPr>
          <w:t>455E.5</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 xml:space="preserve"> IOWA LAND RECYCLING PROGRAM AND </w:t>
      </w:r>
      <w:r>
        <w:br/>
      </w:r>
      <w:r>
        <w:rPr>
          <w:rFonts w:ascii="Times New Roman" w:hAnsi="Times New Roman"/>
          <w:b w:val="false"/>
          <w:i w:val="false"/>
          <w:color w:val="000000"/>
          <w:sz w:val="16"/>
        </w:rPr>
        <w:t>RESPONSE ACTION STANDARDS</w:t>
      </w:r>
    </w:p>
    <w:p>
      <w:pPr>
        <w:spacing w:before="0" w:after="0"/>
        <w:ind w:left="120"/>
        <w:jc w:val="both"/>
      </w:pPr>
      <w:r>
        <w:rPr>
          <w:rFonts w:ascii="Times New Roman" w:hAnsi="Times New Roman"/>
          <w:b/>
          <w:i w:val="false"/>
          <w:color w:val="000000"/>
          <w:sz w:val="22"/>
        </w:rPr>
        <w:t>567—105.200</w:t>
      </w:r>
      <w:r>
        <w:rPr>
          <w:rFonts w:ascii="Times New Roman" w:hAnsi="Times New Roman"/>
          <w:b/>
          <w:i w:val="false"/>
          <w:color w:val="000000"/>
          <w:sz w:val="22"/>
        </w:rPr>
        <w:t xml:space="preserve">(455H)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division is adopted under the authority of Iowa Code chapter </w:t>
      </w:r>
      <w:hyperlink r:id="rId42">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These rules establish the policy and procedures for the voluntary enrollment of contaminated property in the land recycling program. These rules also establish the response action standards that participants must meet in order to qualify for a no further action certificate and the statutory protections and immunities that follow from it. Consistent with the declaration of policy stated in Iowa Code section </w:t>
      </w:r>
      <w:hyperlink r:id="rId43">
        <w:r>
          <w:rPr>
            <w:rStyle w:val="Hyperlink"/>
            <w:rFonts w:ascii="Times New Roman" w:hAnsi="Times New Roman"/>
            <w:b w:val="false"/>
            <w:i w:val="false"/>
            <w:color w:val="000000"/>
            <w:sz w:val="22"/>
          </w:rPr>
          <w:t>455H.104</w:t>
        </w:r>
      </w:hyperlink>
      <w:r>
        <w:rPr>
          <w:rFonts w:ascii="Times New Roman" w:hAnsi="Times New Roman"/>
          <w:b w:val="false"/>
          <w:i w:val="false"/>
          <w:color w:val="000000"/>
          <w:sz w:val="22"/>
        </w:rPr>
        <w:t>, these rules are intended to achieve the dual objective of addressing the current and future risks associated with contaminated property and thereby enhancing the market conditions that can lead to development of these properties into their highest productive use. These objectives can in part be met through a program that encourages voluntary participation by persons who may have a legal duty to address, in whole or in part, the contamination within an affected area, as well as persons who might not have a legal obligation but who have an interest in development of enrolled sites. These rules attempt to provide a degree of certainty in the response action process as an incentive to participants and as a means of assisting participants in quantifying their financial investment.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105.200(1)</w:t>
      </w:r>
      <w:r>
        <w:rPr>
          <w:rFonts w:ascii="Times New Roman" w:hAnsi="Times New Roman"/>
          <w:b w:val="false"/>
          <w:i w:val="false"/>
          <w:color w:val="000000"/>
          <w:sz w:val="22"/>
        </w:rPr>
        <w:t> </w:t>
      </w:r>
      <w:r>
        <w:rPr>
          <w:rFonts w:ascii="Times New Roman" w:hAnsi="Times New Roman"/>
          <w:b w:val="false"/>
          <w:i w:val="false"/>
          <w:color w:val="000000"/>
          <w:sz w:val="22"/>
        </w:rPr>
        <w:t>It is the objective of these rules to establish a collaborative process between the participant(s) and the department as the most effective means of achieving consensus and resolving disputes on issues that are not or cannot be fully defined and anticipated by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105.200(2)</w:t>
      </w:r>
      <w:r>
        <w:rPr>
          <w:rFonts w:ascii="Times New Roman" w:hAnsi="Times New Roman"/>
          <w:b w:val="false"/>
          <w:i w:val="false"/>
          <w:color w:val="000000"/>
          <w:sz w:val="22"/>
        </w:rPr>
        <w:t> </w:t>
      </w:r>
      <w:r>
        <w:rPr>
          <w:rFonts w:ascii="Times New Roman" w:hAnsi="Times New Roman"/>
          <w:b w:val="false"/>
          <w:i w:val="false"/>
          <w:color w:val="000000"/>
          <w:sz w:val="22"/>
        </w:rPr>
        <w:t>Although participation in this program is voluntary, these rules establish minimum standards that must be met in order to obtain regulatory closure from the department through issuance of a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105.200(3)</w:t>
      </w:r>
      <w:r>
        <w:rPr>
          <w:rFonts w:ascii="Times New Roman" w:hAnsi="Times New Roman"/>
          <w:b w:val="false"/>
          <w:i w:val="false"/>
          <w:color w:val="000000"/>
          <w:sz w:val="22"/>
        </w:rPr>
        <w:t> </w:t>
      </w:r>
      <w:r>
        <w:rPr>
          <w:rFonts w:ascii="Times New Roman" w:hAnsi="Times New Roman"/>
          <w:b w:val="false"/>
          <w:i w:val="false"/>
          <w:color w:val="000000"/>
          <w:sz w:val="22"/>
        </w:rPr>
        <w:t>Although the scope of the response actions addressed under these rules may not in every case address all known or unknown releases within an affected area, it should be the objective of both the department and the participant(s) to work together and to use all resources available to address all known releases within an affected area in the interest of protecting public health and safety and the environment as well as achieving regulatory finality.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567—105.201</w:t>
      </w:r>
      <w:r>
        <w:rPr>
          <w:rFonts w:ascii="Times New Roman" w:hAnsi="Times New Roman"/>
          <w:b/>
          <w:i w:val="false"/>
          <w:color w:val="000000"/>
          <w:sz w:val="22"/>
        </w:rPr>
        <w:t xml:space="preserve">(455H)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apply only to releases of contaminants that are being addressed at enrolled sites. The department may in its discretion, to facilitate compliance with other provisions of this chapter, apply the response action requirements of </w:t>
      </w:r>
      <w:hyperlink r:id="rId44">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through </w:t>
      </w:r>
      <w:hyperlink r:id="rId45">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 xml:space="preserve">(455H) to releases of contaminants at sites that are not enrolled. These rules do not in any way limit the statutory liabilities of participants or nonparticipants except as expressly provided within the context of enrollment and Iowa Code chapter </w:t>
      </w:r>
      <w:hyperlink r:id="rId46">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Consistent with Iowa Code section </w:t>
      </w:r>
      <w:hyperlink r:id="rId47">
        <w:r>
          <w:rPr>
            <w:rStyle w:val="Hyperlink"/>
            <w:rFonts w:ascii="Times New Roman" w:hAnsi="Times New Roman"/>
            <w:b w:val="false"/>
            <w:i w:val="false"/>
            <w:color w:val="000000"/>
            <w:sz w:val="22"/>
          </w:rPr>
          <w:t>455H.505</w:t>
        </w:r>
      </w:hyperlink>
      <w:r>
        <w:rPr>
          <w:rFonts w:ascii="Times New Roman" w:hAnsi="Times New Roman"/>
          <w:b w:val="false"/>
          <w:i w:val="false"/>
          <w:color w:val="000000"/>
          <w:sz w:val="22"/>
        </w:rPr>
        <w:t>, these rules do not limit the authority of the department or the responsibility of statutorily responsible persons to provide notice of hazardous conditions under division I of this chapter or to respond to new releases and undertake emergency response actions under division II of this chapter. For sites that are not enrolled, division II of this chapter will remain in effect, and for enrolled sites, division II of this chapter shall apply to the extent it is not inconsistent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105.201(2)</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567—105.202</w:t>
      </w:r>
      <w:r>
        <w:rPr>
          <w:rFonts w:ascii="Times New Roman" w:hAnsi="Times New Roman"/>
          <w:b/>
          <w:i w:val="false"/>
          <w:color w:val="000000"/>
          <w:sz w:val="22"/>
        </w:rPr>
        <w:t xml:space="preserve">(455H)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division, these definitions and the definitions in Iowa Code section </w:t>
      </w:r>
      <w:hyperlink r:id="rId48">
        <w:r>
          <w:rPr>
            <w:rStyle w:val="Hyperlink"/>
            <w:rFonts w:ascii="Times New Roman" w:hAnsi="Times New Roman"/>
            <w:b w:val="false"/>
            <w:i w:val="false"/>
            <w:color w:val="000000"/>
            <w:sz w:val="22"/>
          </w:rPr>
          <w:t>455H.103</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“ASTM standards”</w:t>
      </w:r>
      <w:r>
        <w:rPr>
          <w:rFonts w:ascii="Times New Roman" w:hAnsi="Times New Roman"/>
          <w:b w:val="false"/>
          <w:i w:val="false"/>
          <w:color w:val="000000"/>
          <w:sz w:val="22"/>
        </w:rPr>
        <w:t> </w:t>
      </w:r>
      <w:r>
        <w:rPr>
          <w:rFonts w:ascii="Times New Roman" w:hAnsi="Times New Roman"/>
          <w:b w:val="false"/>
          <w:i w:val="false"/>
          <w:color w:val="000000"/>
          <w:sz w:val="22"/>
        </w:rPr>
        <w:t>means the standards as specified in these rules and most recently adopted by ASTM International as of August 1, 2025, unless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“Background standard”</w:t>
      </w:r>
      <w:r>
        <w:rPr>
          <w:rFonts w:ascii="Times New Roman" w:hAnsi="Times New Roman"/>
          <w:b w:val="false"/>
          <w:i w:val="false"/>
          <w:color w:val="000000"/>
          <w:sz w:val="22"/>
        </w:rPr>
        <w:t> </w:t>
      </w:r>
      <w:r>
        <w:rPr>
          <w:rFonts w:ascii="Times New Roman" w:hAnsi="Times New Roman"/>
          <w:b w:val="false"/>
          <w:i w:val="false"/>
          <w:color w:val="000000"/>
          <w:sz w:val="22"/>
        </w:rPr>
        <w:t>means a standard that represents concentrations of contaminants that are naturally occurring or are generally present and not related to a readily identifiable release.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“Carcinogenic health risk”</w:t>
      </w:r>
      <w:r>
        <w:rPr>
          <w:rFonts w:ascii="Times New Roman" w:hAnsi="Times New Roman"/>
          <w:b w:val="false"/>
          <w:i w:val="false"/>
          <w:color w:val="000000"/>
          <w:sz w:val="22"/>
        </w:rPr>
        <w:t> </w:t>
      </w:r>
      <w:r>
        <w:rPr>
          <w:rFonts w:ascii="Times New Roman" w:hAnsi="Times New Roman"/>
          <w:b w:val="false"/>
          <w:i w:val="false"/>
          <w:color w:val="000000"/>
          <w:sz w:val="22"/>
        </w:rPr>
        <w:t>means the incremental risk of a person developing cancer over a lifetime (70 years) as a result of exposure to a hazardous substance, expressed as a probability such as one in a million (10-6). The contaminant level for the probability value is derived from application of certain designated exposure assumptions and a slope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“Code of Federal Regulations”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“CFR”</w:t>
      </w:r>
      <w:r>
        <w:rPr>
          <w:rFonts w:ascii="Times New Roman" w:hAnsi="Times New Roman"/>
          <w:b w:val="false"/>
          <w:i w:val="false"/>
          <w:color w:val="000000"/>
          <w:sz w:val="22"/>
        </w:rPr>
        <w:t> </w:t>
      </w:r>
      <w:r>
        <w:rPr>
          <w:rFonts w:ascii="Times New Roman" w:hAnsi="Times New Roman"/>
          <w:b w:val="false"/>
          <w:i w:val="false"/>
          <w:color w:val="000000"/>
          <w:sz w:val="22"/>
        </w:rPr>
        <w:t>means the federal administrative rules adopted by the United States as amended through August 1, 2025, unless otherwise noted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“Contaminant”</w:t>
      </w:r>
      <w:r>
        <w:rPr>
          <w:rFonts w:ascii="Times New Roman" w:hAnsi="Times New Roman"/>
          <w:b w:val="false"/>
          <w:i w:val="false"/>
          <w:color w:val="000000"/>
          <w:sz w:val="22"/>
        </w:rPr>
        <w:t> </w:t>
      </w:r>
      <w:r>
        <w:rPr>
          <w:rFonts w:ascii="Times New Roman" w:hAnsi="Times New Roman"/>
          <w:b w:val="false"/>
          <w:i w:val="false"/>
          <w:color w:val="000000"/>
          <w:sz w:val="22"/>
        </w:rPr>
        <w:t>means any hazardous substance found in the various media of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“Contaminant of concern”</w:t>
      </w:r>
      <w:r>
        <w:rPr>
          <w:rFonts w:ascii="Times New Roman" w:hAnsi="Times New Roman"/>
          <w:b w:val="false"/>
          <w:i w:val="false"/>
          <w:color w:val="000000"/>
          <w:sz w:val="22"/>
        </w:rPr>
        <w:t> </w:t>
      </w:r>
      <w:r>
        <w:rPr>
          <w:rFonts w:ascii="Times New Roman" w:hAnsi="Times New Roman"/>
          <w:b w:val="false"/>
          <w:i w:val="false"/>
          <w:color w:val="000000"/>
          <w:sz w:val="22"/>
        </w:rPr>
        <w:t>means specific hazardous substances that are identified for evaluation in the risk assessment process. Identification can be based on their historical and current use at the site, detected concentrations in environmental media and their mobility, toxicity, and persistence in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“Cumulative risk”</w:t>
      </w:r>
      <w:r>
        <w:rPr>
          <w:rFonts w:ascii="Times New Roman" w:hAnsi="Times New Roman"/>
          <w:b w:val="false"/>
          <w:i w:val="false"/>
          <w:color w:val="000000"/>
          <w:sz w:val="22"/>
        </w:rPr>
        <w:t> </w:t>
      </w:r>
      <w:r>
        <w:rPr>
          <w:rFonts w:ascii="Times New Roman" w:hAnsi="Times New Roman"/>
          <w:b w:val="false"/>
          <w:i w:val="false"/>
          <w:color w:val="000000"/>
          <w:sz w:val="22"/>
        </w:rPr>
        <w:t>means a summation of cancer and noncancer risks, determined separately, based on exposure to multiple contaminants from the same medium and exposure of the same individual to contaminants in multiple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“Enrolled site”</w:t>
      </w:r>
      <w:r>
        <w:rPr>
          <w:rFonts w:ascii="Times New Roman" w:hAnsi="Times New Roman"/>
          <w:b w:val="false"/>
          <w:i w:val="false"/>
          <w:color w:val="000000"/>
          <w:sz w:val="22"/>
        </w:rPr>
        <w:t> </w:t>
      </w:r>
      <w:r>
        <w:rPr>
          <w:rFonts w:ascii="Times New Roman" w:hAnsi="Times New Roman"/>
          <w:b w:val="false"/>
          <w:i w:val="false"/>
          <w:color w:val="000000"/>
          <w:sz w:val="22"/>
        </w:rPr>
        <w:t>means any property as defined by a legal description, a parcel number, or similar description that sufficiently defines the property in question, that has been or is suspected to be the site of or affected by a release and that has been enrolled pursuant to this division by a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“Environmental protection easement”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institutional control created under Iowa Code section </w:t>
      </w:r>
      <w:hyperlink r:id="rId49">
        <w:r>
          <w:rPr>
            <w:rStyle w:val="Hyperlink"/>
            <w:rFonts w:ascii="Times New Roman" w:hAnsi="Times New Roman"/>
            <w:b w:val="false"/>
            <w:i w:val="false"/>
            <w:color w:val="000000"/>
            <w:sz w:val="22"/>
          </w:rPr>
          <w:t>455H.206</w:t>
        </w:r>
      </w:hyperlink>
      <w:r>
        <w:rPr>
          <w:rFonts w:ascii="Times New Roman" w:hAnsi="Times New Roman"/>
          <w:b w:val="false"/>
          <w:i w:val="false"/>
          <w:color w:val="000000"/>
          <w:sz w:val="22"/>
        </w:rPr>
        <w:t xml:space="preserve"> that is a statutorily authorized restriction on land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 pathway”</w:t>
      </w:r>
      <w:r>
        <w:rPr>
          <w:rFonts w:ascii="Times New Roman" w:hAnsi="Times New Roman"/>
          <w:b w:val="false"/>
          <w:i w:val="false"/>
          <w:color w:val="000000"/>
          <w:sz w:val="22"/>
        </w:rPr>
        <w:t> </w:t>
      </w:r>
      <w:r>
        <w:rPr>
          <w:rFonts w:ascii="Times New Roman" w:hAnsi="Times New Roman"/>
          <w:b w:val="false"/>
          <w:i w:val="false"/>
          <w:color w:val="000000"/>
          <w:sz w:val="22"/>
        </w:rPr>
        <w:t>means the course a contaminant of concern may take from its source area to an exposed organism. Each exposure pathway includes a source or release from a source, a point of exposure, and an exposure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“Exposure route”</w:t>
      </w:r>
      <w:r>
        <w:rPr>
          <w:rFonts w:ascii="Times New Roman" w:hAnsi="Times New Roman"/>
          <w:b w:val="false"/>
          <w:i w:val="false"/>
          <w:color w:val="000000"/>
          <w:sz w:val="22"/>
        </w:rPr>
        <w:t> </w:t>
      </w:r>
      <w:r>
        <w:rPr>
          <w:rFonts w:ascii="Times New Roman" w:hAnsi="Times New Roman"/>
          <w:b w:val="false"/>
          <w:i w:val="false"/>
          <w:color w:val="000000"/>
          <w:sz w:val="22"/>
        </w:rPr>
        <w:t>means the manner in which a contaminant of concern comes in contact with an organism (including but not limited to ingestion, inhalation, dermal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product”</w:t>
      </w:r>
      <w:r>
        <w:rPr>
          <w:rFonts w:ascii="Times New Roman" w:hAnsi="Times New Roman"/>
          <w:b w:val="false"/>
          <w:i w:val="false"/>
          <w:color w:val="000000"/>
          <w:sz w:val="22"/>
        </w:rPr>
        <w:t> </w:t>
      </w:r>
      <w:r>
        <w:rPr>
          <w:rFonts w:ascii="Times New Roman" w:hAnsi="Times New Roman"/>
          <w:b w:val="false"/>
          <w:i w:val="false"/>
          <w:color w:val="000000"/>
          <w:sz w:val="22"/>
        </w:rPr>
        <w:t>means a hazardous substance that is present as a nonaqueous phase liquid (e.g., liquid not dissolved in water) or is present as a solid in its original form as a product or waste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“Gross contamination”</w:t>
      </w:r>
      <w:r>
        <w:rPr>
          <w:rFonts w:ascii="Times New Roman" w:hAnsi="Times New Roman"/>
          <w:b w:val="false"/>
          <w:i w:val="false"/>
          <w:color w:val="000000"/>
          <w:sz w:val="22"/>
        </w:rPr>
        <w:t> </w:t>
      </w:r>
      <w:r>
        <w:rPr>
          <w:rFonts w:ascii="Times New Roman" w:hAnsi="Times New Roman"/>
          <w:b w:val="false"/>
          <w:i w:val="false"/>
          <w:color w:val="000000"/>
          <w:sz w:val="22"/>
        </w:rPr>
        <w:t>means contamination present at concentrations in an amount sufficient to reasonably expect that institutional or technological controls will not be adequately protective of human health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“Group A, B, C, D and E chemicals”</w:t>
      </w:r>
      <w:r>
        <w:rPr>
          <w:rFonts w:ascii="Times New Roman" w:hAnsi="Times New Roman"/>
          <w:b w:val="false"/>
          <w:i w:val="false"/>
          <w:color w:val="000000"/>
          <w:sz w:val="22"/>
        </w:rPr>
        <w:t> </w:t>
      </w:r>
      <w:r>
        <w:rPr>
          <w:rFonts w:ascii="Times New Roman" w:hAnsi="Times New Roman"/>
          <w:b w:val="false"/>
          <w:i w:val="false"/>
          <w:color w:val="000000"/>
          <w:sz w:val="22"/>
        </w:rPr>
        <w:t>means hazardous substances that have been classified based on the weight of evidence of human carcinogenicity. Group A substances are carcinogenic to humans. Group B substances are likely to be carcinogenic to humans. Group C substances have suggestive evidence of human carcinogenicity, but not sufficient evidence to assess human carcinogenic potential. Data are inadequate to assess human carcinogenic potential for Group D substances. Group E substances are not likely to be carcinogenic to humans.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“Hydraulic conductivity”</w:t>
      </w:r>
      <w:r>
        <w:rPr>
          <w:rFonts w:ascii="Times New Roman" w:hAnsi="Times New Roman"/>
          <w:b w:val="false"/>
          <w:i w:val="false"/>
          <w:color w:val="000000"/>
          <w:sz w:val="22"/>
        </w:rPr>
        <w:t> </w:t>
      </w:r>
      <w:r>
        <w:rPr>
          <w:rFonts w:ascii="Times New Roman" w:hAnsi="Times New Roman"/>
          <w:b w:val="false"/>
          <w:i w:val="false"/>
          <w:color w:val="000000"/>
          <w:sz w:val="22"/>
        </w:rPr>
        <w:t>means a measure of the capacity of a porous medium (rock or soil) to transmit water. It is expressed as the volume of water that will flow through a unit length of a unit cross-sectional area of the porous medium in a unit time with a unit head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controls”</w:t>
      </w:r>
      <w:r>
        <w:rPr>
          <w:rFonts w:ascii="Times New Roman" w:hAnsi="Times New Roman"/>
          <w:b w:val="false"/>
          <w:i w:val="false"/>
          <w:color w:val="000000"/>
          <w:sz w:val="22"/>
        </w:rPr>
        <w:t> </w:t>
      </w:r>
      <w:r>
        <w:rPr>
          <w:rFonts w:ascii="Times New Roman" w:hAnsi="Times New Roman"/>
          <w:b w:val="false"/>
          <w:i w:val="false"/>
          <w:color w:val="000000"/>
          <w:sz w:val="22"/>
        </w:rPr>
        <w:t>means a nonphysical action that restricts land use to reduce or eliminate exposure to the contaminants of an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“Lifetime health advisory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“HAL”</w:t>
      </w:r>
      <w:r>
        <w:rPr>
          <w:rFonts w:ascii="Times New Roman" w:hAnsi="Times New Roman"/>
          <w:b w:val="false"/>
          <w:i w:val="false"/>
          <w:color w:val="000000"/>
          <w:sz w:val="22"/>
        </w:rPr>
        <w:t> </w:t>
      </w:r>
      <w:r>
        <w:rPr>
          <w:rFonts w:ascii="Times New Roman" w:hAnsi="Times New Roman"/>
          <w:b w:val="false"/>
          <w:i w:val="false"/>
          <w:color w:val="000000"/>
          <w:sz w:val="22"/>
        </w:rPr>
        <w:t>means a lifetime health advisory level for a contaminant, established by the United States Environmental Protection Agency (EPA). Health advisories represent the concentration of a single contaminant, based on current toxicological information, in drinking water that is not expected to cause adverse health effects over lifetime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contaminant level”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“MCL”</w:t>
      </w:r>
      <w:r>
        <w:rPr>
          <w:rFonts w:ascii="Times New Roman" w:hAnsi="Times New Roman"/>
          <w:b w:val="false"/>
          <w:i w:val="false"/>
          <w:color w:val="000000"/>
          <w:sz w:val="22"/>
        </w:rPr>
        <w:t> </w:t>
      </w:r>
      <w:r>
        <w:rPr>
          <w:rFonts w:ascii="Times New Roman" w:hAnsi="Times New Roman"/>
          <w:b w:val="false"/>
          <w:i w:val="false"/>
          <w:color w:val="000000"/>
          <w:sz w:val="22"/>
        </w:rPr>
        <w:t>means the enforceable maximum contaminant level established by the EPA pursuant to the Safe Drinking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 further action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no further action letter as described in Iowa Code section </w:t>
      </w:r>
      <w:hyperlink r:id="rId50">
        <w:r>
          <w:rPr>
            <w:rStyle w:val="Hyperlink"/>
            <w:rFonts w:ascii="Times New Roman" w:hAnsi="Times New Roman"/>
            <w:b w:val="false"/>
            <w:i w:val="false"/>
            <w:color w:val="000000"/>
            <w:sz w:val="22"/>
          </w:rPr>
          <w:t>455H.301</w:t>
        </w:r>
      </w:hyperlink>
      <w:r>
        <w:rPr>
          <w:rFonts w:ascii="Times New Roman" w:hAnsi="Times New Roman"/>
          <w:b w:val="false"/>
          <w:i w:val="false"/>
          <w:color w:val="000000"/>
          <w:sz w:val="22"/>
        </w:rPr>
        <w:t>. It is a document issued by the department to the participant certifying no further response action is required at an enrolled site for those conditions classified as no further action except the monitoring or the maintenance of institutional or technological controls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 further action certification”</w:t>
      </w:r>
      <w:r>
        <w:rPr>
          <w:rFonts w:ascii="Times New Roman" w:hAnsi="Times New Roman"/>
          <w:b w:val="false"/>
          <w:i w:val="false"/>
          <w:color w:val="000000"/>
          <w:sz w:val="22"/>
        </w:rPr>
        <w:t> </w:t>
      </w:r>
      <w:r>
        <w:rPr>
          <w:rFonts w:ascii="Times New Roman" w:hAnsi="Times New Roman"/>
          <w:b w:val="false"/>
          <w:i w:val="false"/>
          <w:color w:val="000000"/>
          <w:sz w:val="22"/>
        </w:rPr>
        <w:t>means the department has determined an enrolled site has met all standards applicable for the identified hazardous substances and no further response action is required except the monitoring or the maintenance of institutional or technological controls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“Nonresidential land-use area”</w:t>
      </w:r>
      <w:r>
        <w:rPr>
          <w:rFonts w:ascii="Times New Roman" w:hAnsi="Times New Roman"/>
          <w:b w:val="false"/>
          <w:i w:val="false"/>
          <w:color w:val="000000"/>
          <w:sz w:val="22"/>
        </w:rPr>
        <w:t> </w:t>
      </w:r>
      <w:r>
        <w:rPr>
          <w:rFonts w:ascii="Times New Roman" w:hAnsi="Times New Roman"/>
          <w:b w:val="false"/>
          <w:i w:val="false"/>
          <w:color w:val="000000"/>
          <w:sz w:val="22"/>
        </w:rPr>
        <w:t>means any area that is not a residential land-use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“Participant”</w:t>
      </w:r>
      <w:r>
        <w:rPr>
          <w:rFonts w:ascii="Times New Roman" w:hAnsi="Times New Roman"/>
          <w:b w:val="false"/>
          <w:i w:val="false"/>
          <w:color w:val="000000"/>
          <w:sz w:val="22"/>
        </w:rPr>
        <w:t> </w:t>
      </w:r>
      <w:r>
        <w:rPr>
          <w:rFonts w:ascii="Times New Roman" w:hAnsi="Times New Roman"/>
          <w:b w:val="false"/>
          <w:i w:val="false"/>
          <w:color w:val="000000"/>
          <w:sz w:val="22"/>
        </w:rPr>
        <w:t>means any person who applies for the program or enrolls property pursuant to this chapter. A participant is a participant only to the extent the participant complies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compliance”</w:t>
      </w:r>
      <w:r>
        <w:rPr>
          <w:rFonts w:ascii="Times New Roman" w:hAnsi="Times New Roman"/>
          <w:b w:val="false"/>
          <w:i w:val="false"/>
          <w:color w:val="000000"/>
          <w:sz w:val="22"/>
        </w:rPr>
        <w:t> </w:t>
      </w:r>
      <w:r>
        <w:rPr>
          <w:rFonts w:ascii="Times New Roman" w:hAnsi="Times New Roman"/>
          <w:b w:val="false"/>
          <w:i w:val="false"/>
          <w:color w:val="000000"/>
          <w:sz w:val="22"/>
        </w:rPr>
        <w:t>means a location selected within the affected area where the concentration of contaminants of concern must be at or below the target levels established for that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“Point of exposure”</w:t>
      </w:r>
      <w:r>
        <w:rPr>
          <w:rFonts w:ascii="Times New Roman" w:hAnsi="Times New Roman"/>
          <w:b w:val="false"/>
          <w:i w:val="false"/>
          <w:color w:val="000000"/>
          <w:sz w:val="22"/>
        </w:rPr>
        <w:t> </w:t>
      </w:r>
      <w:r>
        <w:rPr>
          <w:rFonts w:ascii="Times New Roman" w:hAnsi="Times New Roman"/>
          <w:b w:val="false"/>
          <w:i w:val="false"/>
          <w:color w:val="000000"/>
          <w:sz w:val="22"/>
        </w:rPr>
        <w:t>means the location at which an individual or population may come in contact with a contaminant of concern from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“Receptor”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population that is or may be affected by a release from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“Reference dose,”</w:t>
      </w:r>
      <w:r>
        <w:rPr>
          <w:rFonts w:ascii="Times New Roman" w:hAnsi="Times New Roman"/>
          <w:b w:val="false"/>
          <w:i w:val="false"/>
          <w:color w:val="000000"/>
          <w:sz w:val="22"/>
        </w:rPr>
        <w:t> </w:t>
      </w:r>
      <w:r>
        <w:rPr>
          <w:rFonts w:ascii="Times New Roman" w:hAnsi="Times New Roman"/>
          <w:b w:val="false"/>
          <w:i w:val="false"/>
          <w:color w:val="000000"/>
          <w:sz w:val="22"/>
        </w:rPr>
        <w:t>expressed in units of milligrams per day exposure to the contaminant per kilogram of body weight of the exposed individual, means the amount of contaminant that an individual can ingest on a daily basis for a lifetime that is not likely to result in adverse noncancer health effects. A reference dose is protective of the entire human population, including sensitive subpopulations.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land-use area”</w:t>
      </w:r>
      <w:r>
        <w:rPr>
          <w:rFonts w:ascii="Times New Roman" w:hAnsi="Times New Roman"/>
          <w:b w:val="false"/>
          <w:i w:val="false"/>
          <w:color w:val="000000"/>
          <w:sz w:val="22"/>
        </w:rPr>
        <w:t> </w:t>
      </w:r>
      <w:r>
        <w:rPr>
          <w:rFonts w:ascii="Times New Roman" w:hAnsi="Times New Roman"/>
          <w:b w:val="false"/>
          <w:i w:val="false"/>
          <w:color w:val="000000"/>
          <w:sz w:val="22"/>
        </w:rPr>
        <w:t>means an area zoned for residential use or an area where residential use currently exists, is planned, or is not otherwise precluded. In addition, a residential land-use area includes other areas where frequent, long-term, close contact with soils is likely to occur (e.g., playgrounds, sport fields, gardens, child care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 evaluation/response action document”</w:t>
      </w:r>
      <w:r>
        <w:rPr>
          <w:rFonts w:ascii="Times New Roman" w:hAnsi="Times New Roman"/>
          <w:b w:val="false"/>
          <w:i w:val="false"/>
          <w:color w:val="000000"/>
          <w:sz w:val="22"/>
        </w:rPr>
        <w:t> </w:t>
      </w:r>
      <w:r>
        <w:rPr>
          <w:rFonts w:ascii="Times New Roman" w:hAnsi="Times New Roman"/>
          <w:b w:val="false"/>
          <w:i w:val="false"/>
          <w:color w:val="000000"/>
          <w:sz w:val="22"/>
        </w:rPr>
        <w:t>means a document based on the site assessment for the enrolled site that includes a risk evaluation, proposed response action, and proposed compliance verification strategy for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plan”</w:t>
      </w:r>
      <w:r>
        <w:rPr>
          <w:rFonts w:ascii="Times New Roman" w:hAnsi="Times New Roman"/>
          <w:b w:val="false"/>
          <w:i w:val="false"/>
          <w:color w:val="000000"/>
          <w:sz w:val="22"/>
        </w:rPr>
        <w:t> </w:t>
      </w:r>
      <w:r>
        <w:rPr>
          <w:rFonts w:ascii="Times New Roman" w:hAnsi="Times New Roman"/>
          <w:b w:val="false"/>
          <w:i w:val="false"/>
          <w:color w:val="000000"/>
          <w:sz w:val="22"/>
        </w:rPr>
        <w:t>means the optional plan submitted to the department that lays out the rationale and the steps to be followed in the conduct of a site assessment for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 assessment report”</w:t>
      </w:r>
      <w:r>
        <w:rPr>
          <w:rFonts w:ascii="Times New Roman" w:hAnsi="Times New Roman"/>
          <w:b w:val="false"/>
          <w:i w:val="false"/>
          <w:color w:val="000000"/>
          <w:sz w:val="22"/>
        </w:rPr>
        <w:t> </w:t>
      </w:r>
      <w:r>
        <w:rPr>
          <w:rFonts w:ascii="Times New Roman" w:hAnsi="Times New Roman"/>
          <w:b w:val="false"/>
          <w:i w:val="false"/>
          <w:color w:val="000000"/>
          <w:sz w:val="22"/>
        </w:rPr>
        <w:t>means the report of the site assessment that defines the nature and extent of contamination, identifies likely exposure pathways, and allows for characterizing potential and current exposure risks posed by the enrolled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“Site-specific standard”</w:t>
      </w:r>
      <w:r>
        <w:rPr>
          <w:rFonts w:ascii="Times New Roman" w:hAnsi="Times New Roman"/>
          <w:b w:val="false"/>
          <w:i w:val="false"/>
          <w:color w:val="000000"/>
          <w:sz w:val="22"/>
        </w:rPr>
        <w:t> </w:t>
      </w:r>
      <w:r>
        <w:rPr>
          <w:rFonts w:ascii="Times New Roman" w:hAnsi="Times New Roman"/>
          <w:b w:val="false"/>
          <w:i w:val="false"/>
          <w:color w:val="000000"/>
          <w:sz w:val="22"/>
        </w:rPr>
        <w:t>means a standard for a specific site that represents a concentration of a contaminant in a media of an affected area at which exposure through a specific pathway is considered unlikely to pose a threat to human health, safety, or the environment given site-specific factors related to contaminant transport and likely exposure.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“Slope factor”</w:t>
      </w:r>
      <w:r>
        <w:rPr>
          <w:rFonts w:ascii="Times New Roman" w:hAnsi="Times New Roman"/>
          <w:b w:val="false"/>
          <w:i w:val="false"/>
          <w:color w:val="000000"/>
          <w:sz w:val="22"/>
        </w:rPr>
        <w:t> </w:t>
      </w:r>
      <w:r>
        <w:rPr>
          <w:rFonts w:ascii="Times New Roman" w:hAnsi="Times New Roman"/>
          <w:b w:val="false"/>
          <w:i w:val="false"/>
          <w:color w:val="000000"/>
          <w:sz w:val="22"/>
        </w:rPr>
        <w:t>means an upper bound estimate that approximates a 95 percent confidence limit of the increased cancer risk from a lifetime exposure to a contaminant. This estimate is expressed in units of the proportion of a population that is affected per milligram per day exposure to the contaminant per kilogram of body weight of the exposed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“Statewide standard”</w:t>
      </w:r>
      <w:r>
        <w:rPr>
          <w:rFonts w:ascii="Times New Roman" w:hAnsi="Times New Roman"/>
          <w:b w:val="false"/>
          <w:i w:val="false"/>
          <w:color w:val="000000"/>
          <w:sz w:val="22"/>
        </w:rPr>
        <w:t> </w:t>
      </w:r>
      <w:r>
        <w:rPr>
          <w:rFonts w:ascii="Times New Roman" w:hAnsi="Times New Roman"/>
          <w:b w:val="false"/>
          <w:i w:val="false"/>
          <w:color w:val="000000"/>
          <w:sz w:val="22"/>
        </w:rPr>
        <w:t>means a standard that represents a concentration of a contaminant in a specific media of an affected area at which normal, unrestricted exposure through a specific exposure pathway is considered unlikely to pose a threat to human health, safety, or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“Surface water”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general use segments as provided in </w:t>
      </w:r>
      <w:hyperlink r:id="rId51">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designated use segments of water bodies as provided in </w:t>
      </w:r>
      <w:hyperlink r:id="rId52">
        <w:r>
          <w:rPr>
            <w:rStyle w:val="Hyperlink"/>
            <w:rFonts w:ascii="Times New Roman" w:hAnsi="Times New Roman"/>
            <w:b w:val="false"/>
            <w:i w:val="false"/>
            <w:color w:val="000000"/>
            <w:sz w:val="22"/>
          </w:rPr>
          <w:t>567—paragraph 61.3(1)</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567—subrule 61.3(5)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level”</w:t>
      </w:r>
      <w:r>
        <w:rPr>
          <w:rFonts w:ascii="Times New Roman" w:hAnsi="Times New Roman"/>
          <w:b w:val="false"/>
          <w:i w:val="false"/>
          <w:color w:val="000000"/>
          <w:sz w:val="22"/>
        </w:rPr>
        <w:t> </w:t>
      </w:r>
      <w:r>
        <w:rPr>
          <w:rFonts w:ascii="Times New Roman" w:hAnsi="Times New Roman"/>
          <w:b w:val="false"/>
          <w:i w:val="false"/>
          <w:color w:val="000000"/>
          <w:sz w:val="22"/>
        </w:rPr>
        <w:t>means a concentration of a contaminant of concern required to establish compliance with background, statewide or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organ”</w:t>
      </w:r>
      <w:r>
        <w:rPr>
          <w:rFonts w:ascii="Times New Roman" w:hAnsi="Times New Roman"/>
          <w:b w:val="false"/>
          <w:i w:val="false"/>
          <w:color w:val="000000"/>
          <w:sz w:val="22"/>
        </w:rPr>
        <w:t> </w:t>
      </w:r>
      <w:r>
        <w:rPr>
          <w:rFonts w:ascii="Times New Roman" w:hAnsi="Times New Roman"/>
          <w:b w:val="false"/>
          <w:i w:val="false"/>
          <w:color w:val="000000"/>
          <w:sz w:val="22"/>
        </w:rPr>
        <w:t>means the biological organ(s) most adversely affected from exposure to the contaminant of concern. A “reference dose” used to calculate noncancer health risk is normally established based on adverse impact to a target organ or organs from exposure to the contaminant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“Technological control”</w:t>
      </w:r>
      <w:r>
        <w:rPr>
          <w:rFonts w:ascii="Times New Roman" w:hAnsi="Times New Roman"/>
          <w:b w:val="false"/>
          <w:i w:val="false"/>
          <w:color w:val="000000"/>
          <w:sz w:val="22"/>
        </w:rPr>
        <w:t> </w:t>
      </w:r>
      <w:r>
        <w:rPr>
          <w:rFonts w:ascii="Times New Roman" w:hAnsi="Times New Roman"/>
          <w:b w:val="false"/>
          <w:i w:val="false"/>
          <w:color w:val="000000"/>
          <w:sz w:val="22"/>
        </w:rPr>
        <w:t>means a physical action whose main purpose is to reduce or eliminate exposure to the contaminants of an affected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567—105.203</w:t>
      </w:r>
      <w:r>
        <w:rPr>
          <w:rFonts w:ascii="Times New Roman" w:hAnsi="Times New Roman"/>
          <w:b/>
          <w:i w:val="false"/>
          <w:color w:val="000000"/>
          <w:sz w:val="22"/>
        </w:rPr>
        <w:t xml:space="preserve">(455H) </w:t>
      </w:r>
      <w:r>
        <w:rPr>
          <w:rFonts w:ascii="Times New Roman" w:hAnsi="Times New Roman"/>
          <w:b/>
          <w:i w:val="false"/>
          <w:color w:val="000000"/>
          <w:sz w:val="22"/>
        </w:rPr>
        <w:t xml:space="preserve">Enrollment in the Iowa land recycling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105.203(1)</w:t>
      </w:r>
      <w:r>
        <w:rPr>
          <w:rFonts w:ascii="Times New Roman" w:hAnsi="Times New Roman"/>
          <w:b w:val="false"/>
          <w:i w:val="false"/>
          <w:color w:val="000000"/>
          <w:sz w:val="22"/>
        </w:rPr>
        <w:t> </w:t>
      </w:r>
      <w:r>
        <w:rPr>
          <w:rFonts w:ascii="Times New Roman" w:hAnsi="Times New Roman"/>
          <w:b w:val="false"/>
          <w:i/>
          <w:color w:val="000000"/>
          <w:sz w:val="22"/>
        </w:rPr>
        <w:t xml:space="preserve">Property eligible for enrollment. </w:t>
      </w:r>
      <w:r>
        <w:rPr>
          <w:rFonts w:ascii="Times New Roman" w:hAnsi="Times New Roman"/>
          <w:b w:val="false"/>
          <w:i w:val="false"/>
          <w:color w:val="000000"/>
          <w:sz w:val="22"/>
        </w:rPr>
        <w:t xml:space="preserve">Unless excluded by statute or this rule and subject to eligibility conditions specified in this division, property that has been or is suspected to be the site of or affected by a release of a hazardous substance as defined in Iowa Code section </w:t>
      </w:r>
      <w:hyperlink r:id="rId54">
        <w:r>
          <w:rPr>
            <w:rStyle w:val="Hyperlink"/>
            <w:rFonts w:ascii="Times New Roman" w:hAnsi="Times New Roman"/>
            <w:b w:val="false"/>
            <w:i w:val="false"/>
            <w:color w:val="000000"/>
            <w:sz w:val="22"/>
          </w:rPr>
          <w:t>455H.103</w:t>
        </w:r>
      </w:hyperlink>
      <w:r>
        <w:rPr>
          <w:rFonts w:ascii="Times New Roman" w:hAnsi="Times New Roman"/>
          <w:b w:val="false"/>
          <w:i w:val="false"/>
          <w:color w:val="000000"/>
          <w:sz w:val="22"/>
        </w:rPr>
        <w:t xml:space="preserve"> is eligible for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105.203(2)</w:t>
      </w:r>
      <w:r>
        <w:rPr>
          <w:rFonts w:ascii="Times New Roman" w:hAnsi="Times New Roman"/>
          <w:b w:val="false"/>
          <w:i w:val="false"/>
          <w:color w:val="000000"/>
          <w:sz w:val="22"/>
        </w:rPr>
        <w:t> </w:t>
      </w:r>
      <w:r>
        <w:rPr>
          <w:rFonts w:ascii="Times New Roman" w:hAnsi="Times New Roman"/>
          <w:b w:val="false"/>
          <w:i/>
          <w:color w:val="000000"/>
          <w:sz w:val="22"/>
        </w:rPr>
        <w:t xml:space="preserve">Property ineligible for enrollment. </w:t>
      </w:r>
      <w:r>
        <w:rPr>
          <w:rFonts w:ascii="Times New Roman" w:hAnsi="Times New Roman"/>
          <w:b w:val="false"/>
          <w:i w:val="false"/>
          <w:color w:val="000000"/>
          <w:sz w:val="22"/>
        </w:rPr>
        <w:t>The following sites shall not be enrolled in the Iowa land recycling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with petroleum releases associated with underground storage tanks subject to regulation under Iowa Code chapter </w:t>
      </w:r>
      <w:hyperlink r:id="rId5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and </w:t>
      </w:r>
      <w:hyperlink r:id="rId56">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However, property affected by releases of regulated substances from underground storage tanks other than petroleum as defined in </w:t>
      </w:r>
      <w:hyperlink r:id="rId57">
        <w:r>
          <w:rPr>
            <w:rStyle w:val="Hyperlink"/>
            <w:rFonts w:ascii="Times New Roman" w:hAnsi="Times New Roman"/>
            <w:b w:val="false"/>
            <w:i w:val="false"/>
            <w:color w:val="000000"/>
            <w:sz w:val="22"/>
          </w:rPr>
          <w:t>567—135.2</w:t>
        </w:r>
      </w:hyperlink>
      <w:r>
        <w:rPr>
          <w:rFonts w:ascii="Times New Roman" w:hAnsi="Times New Roman"/>
          <w:b w:val="false"/>
          <w:i w:val="false"/>
          <w:color w:val="000000"/>
          <w:sz w:val="22"/>
        </w:rPr>
        <w:t xml:space="preserve">(455B) subject to regulation under </w:t>
      </w:r>
      <w:hyperlink r:id="rId5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may be enrolled under this division. Property enrolled and affected by a release from underground storage tanks of regulated substances other than petroleum will be subject to the response action standards in this division in lieu of those in </w:t>
      </w:r>
      <w:hyperlink r:id="rId59">
        <w:r>
          <w:rPr>
            <w:rStyle w:val="Hyperlink"/>
            <w:rFonts w:ascii="Times New Roman" w:hAnsi="Times New Roman"/>
            <w:b w:val="false"/>
            <w:i w:val="false"/>
            <w:color w:val="000000"/>
            <w:sz w:val="22"/>
          </w:rPr>
          <w:t>567—135.8</w:t>
        </w:r>
      </w:hyperlink>
      <w:r>
        <w:rPr>
          <w:rFonts w:ascii="Times New Roman" w:hAnsi="Times New Roman"/>
          <w:b w:val="false"/>
          <w:i w:val="false"/>
          <w:color w:val="000000"/>
          <w:sz w:val="22"/>
        </w:rPr>
        <w:t xml:space="preserve">(455B) through </w:t>
      </w:r>
      <w:hyperlink r:id="rId60">
        <w:r>
          <w:rPr>
            <w:rStyle w:val="Hyperlink"/>
            <w:rFonts w:ascii="Times New Roman" w:hAnsi="Times New Roman"/>
            <w:b w:val="false"/>
            <w:i w:val="false"/>
            <w:color w:val="000000"/>
            <w:sz w:val="22"/>
          </w:rPr>
          <w:t>567—135.12</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that has been placed or is proposed to be included on the national priorities list established pursuant to the federal Comprehensive Environmental Response, Compensation, and Liability Act (CERCLA),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9601 et seq. A property will be considered proposed at the time that a public notice of intent to list the property on the national priorities list is published in the Federal Register in accordance with </w:t>
      </w:r>
      <w:r>
        <w:rPr>
          <w:rFonts w:ascii="Times New Roman" w:hAnsi="Times New Roman"/>
          <w:b w:val="false"/>
          <w:i w:val="false"/>
          <w:color w:val="000000"/>
          <w:sz w:val="22"/>
        </w:rPr>
        <w:t>40 CFR 300.425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animal feeding operation structure as defined in Iowa Code section </w:t>
      </w:r>
      <w:hyperlink r:id="rId61">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Properties subject to administrative or judicial enforcement action by the department or the EPA or subject to an administrative or judicial consent order addressing environmental conditions. These properties may be eligible for enrollment only with the written approval of and under such terms as determined by the enforcing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properties that are or may be affected by or commingled with ineligible releases or conditions will be evaluated on a case-by-case basis to determine their appropriateness for enrollment. Only the eligible property and participant(s) will be afforded the benefits and immunities available under Iowa Code chapter </w:t>
      </w:r>
      <w:hyperlink r:id="rId62">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Any protections provided by issuance of a no further action certificate will be limited by and may be subject to reopening due to future conditions associated with the ineligible release. Considerations for enrollment or exclusion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eligible releases and site conditions can be assessed and response action(s) designed and implemented independent of the ineligible releases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liability and other protections offered by Iowa Code chapter </w:t>
      </w:r>
      <w:hyperlink r:id="rId63">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and the conditions of a no further action certificate can reasonably be defined to apply to the eligible site without consideration of or dependence on future conditions associated with the ineligible release and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a participant is willing to conduct all response action(s) necessary to address the health, safety and environmental conditions implicated by both eligible and ineligible releases and conditions. The extent to which a nonparticipant responsible for the ineligible release and property can establish an intention and ability to cooperatively address and share costs associated with the commingled conditions and satisfy both the standards in this division and any other regulatory standards applicable to the ineligible release or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105.203(3)</w:t>
      </w:r>
      <w:r>
        <w:rPr>
          <w:rFonts w:ascii="Times New Roman" w:hAnsi="Times New Roman"/>
          <w:b w:val="false"/>
          <w:i w:val="false"/>
          <w:color w:val="000000"/>
          <w:sz w:val="22"/>
        </w:rPr>
        <w:t> </w:t>
      </w:r>
      <w:r>
        <w:rPr>
          <w:rFonts w:ascii="Times New Roman" w:hAnsi="Times New Roman"/>
          <w:b w:val="false"/>
          <w:i/>
          <w:color w:val="000000"/>
          <w:sz w:val="22"/>
        </w:rPr>
        <w:t xml:space="preserve">Enrollment policy and procedures. </w:t>
      </w:r>
      <w:r>
        <w:rPr>
          <w:rFonts w:ascii="Times New Roman" w:hAnsi="Times New Roman"/>
          <w:b w:val="false"/>
          <w:i w:val="false"/>
          <w:color w:val="000000"/>
          <w:sz w:val="22"/>
        </w:rPr>
        <w:t>Prior to enrollment, the participant may conduct a sufficient preliminary site investigation and project planning to be prepared to show that a site is eligible for enrollment and the participant(s) is ready and capable of initiating and completing a response action in accordance with these rules. The participant(s) must submit a completed program application and participation agreement on a form prescribed by the department. The program application shall contain at least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acknowledgment of accessor control of the site signed by the fee titleholder in the affected property. If acknowledgment of access cannot be obtained, the participant must describe efforts to obtain access and reasons why it has been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other relevant information of each current and anticipated participant(s). The description should include a brief statement of the reasons for each person’s participation including but not limited to that person’s interest in and legal relationship to the property enrolled and the expected role and scope of any participation. Other persons who are not participants but who may have an interest in the project should be identified, such as state and local development agencies, community groups, and financing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participant(s) must demonstrate the presence of hazardous substances at concentrations that warrant response action(s) under the standards in this division. At a minimum, the environmental condition to be addressed must be documented by the submission of a report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Analyses for a contaminant regulated under this division must be performed by a laboratory certified for the analyte(s) and applicable method pursuant to </w:t>
      </w:r>
      <w:hyperlink r:id="rId64">
        <w:r>
          <w:rPr>
            <w:rStyle w:val="Hyperlink"/>
            <w:rFonts w:ascii="Times New Roman" w:hAnsi="Times New Roman"/>
            <w:b w:val="false"/>
            <w:i w:val="false"/>
            <w:color w:val="000000"/>
            <w:sz w:val="22"/>
          </w:rPr>
          <w:t>567—Chapter 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of the current and historical uses of the property based on a reasonable and diligent inquiry. This must include a description of the following: known sources and probable locations of hazardous substances and probable location of the sources at the property that the participant proposes to address as part of the project; a general description of the historical uses of the property and probable hazardous substances that could reasonably be associated with past land use; and a general description of the surface characteristics of the property and surrounding areas such as current zoning, residential, commercial and industrial uses, and current uses of adjoining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Any assessments or other reports relating to contamination at the property in excess of a statewide standard or reportable under division I of this chapter that are known to and within the control of the participant shall be submitted. If the participant intends to claim that information constitutes a privileged environmental audit as provided in Iowa Code chapter </w:t>
      </w:r>
      <w:hyperlink r:id="rId65">
        <w:r>
          <w:rPr>
            <w:rStyle w:val="Hyperlink"/>
            <w:rFonts w:ascii="Times New Roman" w:hAnsi="Times New Roman"/>
            <w:b w:val="false"/>
            <w:i w:val="false"/>
            <w:color w:val="000000"/>
            <w:sz w:val="22"/>
          </w:rPr>
          <w:t>455K</w:t>
        </w:r>
      </w:hyperlink>
      <w:r>
        <w:rPr>
          <w:rFonts w:ascii="Times New Roman" w:hAnsi="Times New Roman"/>
          <w:b w:val="false"/>
          <w:i w:val="false"/>
          <w:color w:val="000000"/>
          <w:sz w:val="22"/>
        </w:rPr>
        <w:t xml:space="preserve">, the participant must notify the department of the claim and resolve the issue of privilege prior to submittal. The participant shall not submit to the department a report or any part of a report that it claims to be privileged and any information submitted under this paragraph shall be deemed a nonprivileged submittal as provided in Iowa Code section </w:t>
      </w:r>
      <w:hyperlink r:id="rId66">
        <w:r>
          <w:rPr>
            <w:rStyle w:val="Hyperlink"/>
            <w:rFonts w:ascii="Times New Roman" w:hAnsi="Times New Roman"/>
            <w:b w:val="false"/>
            <w:i w:val="false"/>
            <w:color w:val="000000"/>
            <w:sz w:val="22"/>
          </w:rPr>
          <w:t>455K.6(1)</w:t>
        </w:r>
      </w:hyperlink>
      <w:r>
        <w:rPr>
          <w:rFonts w:ascii="Times New Roman" w:hAnsi="Times New Roman"/>
          <w:b w:val="false"/>
          <w:i/>
          <w:color w:val="000000"/>
          <w:sz w:val="22"/>
        </w:rPr>
        <w:t>“a.”</w:t>
      </w:r>
      <w:r>
        <w:rPr>
          <w:rFonts w:ascii="Times New Roman" w:hAnsi="Times New Roman"/>
          <w:b w:val="false"/>
          <w:i w:val="false"/>
          <w:color w:val="000000"/>
          <w:sz w:val="22"/>
        </w:rPr>
        <w:t xml:space="preserve"> This provision does not relieve the participant of any obligation to notify the department of a hazardous condition as provided in Iowa Code section </w:t>
      </w:r>
      <w:hyperlink r:id="rId67">
        <w:r>
          <w:rPr>
            <w:rStyle w:val="Hyperlink"/>
            <w:rFonts w:ascii="Times New Roman" w:hAnsi="Times New Roman"/>
            <w:b w:val="false"/>
            <w:i w:val="false"/>
            <w:color w:val="000000"/>
            <w:sz w:val="22"/>
          </w:rPr>
          <w:t>455B.386</w:t>
        </w:r>
      </w:hyperlink>
      <w:r>
        <w:rPr>
          <w:rFonts w:ascii="Times New Roman" w:hAnsi="Times New Roman"/>
          <w:b w:val="false"/>
          <w:i w:val="false"/>
          <w:color w:val="000000"/>
          <w:sz w:val="22"/>
        </w:rPr>
        <w:t xml:space="preserve"> and rules under division 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of the project objectives that includes the current use of the property, proposed development activities, and an expected time frame for meeting these objectives. The statement should include a general description of the scope of the proposed environmental condition to be addressed and a proposed schedule for initiation and submittal of site assessment activities pursuant to </w:t>
      </w:r>
      <w:hyperlink r:id="rId68">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(455H). The statement should describe any foreseeable barriers toward achieving project objectives such as access to property, financing uncertainties, legal actions, and allocation of responsibility amongst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all known permits and regulatory actions and directives associated with an environmental condition at the site. If any parcel of the proposed enrolled site is subject to any federal regulatory corrective action directives, administrative orders or judicial actions, these must be explained. The participant must submit written proof that the appropriate federal regulatory agency has been notified of the participant’s desire to participate in the Iowa land recycling program. Objections, concerns or issues that could lead to disputes regarding dual or conflicting jurisdiction should be resolved prior to application, if possible, and before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department will respond in writing within 60 days of receipt of the enrollment application. The department will notify the participant(s) whether the site has been accepted and an expected time line for assignment of the project to a manager. If the site is not accepted, the department will notify the participant of the reason(s). Upon notification of admission, the property shall be considered enrolled. Once the department has assigned the enrolled site to a project manager, the department will enter into a participation agreement with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105.203(4)</w:t>
      </w:r>
      <w:r>
        <w:rPr>
          <w:rFonts w:ascii="Times New Roman" w:hAnsi="Times New Roman"/>
          <w:b w:val="false"/>
          <w:i w:val="false"/>
          <w:color w:val="000000"/>
          <w:sz w:val="22"/>
        </w:rPr>
        <w:t> </w:t>
      </w:r>
      <w:r>
        <w:rPr>
          <w:rFonts w:ascii="Times New Roman" w:hAnsi="Times New Roman"/>
          <w:b w:val="false"/>
          <w:i/>
          <w:color w:val="000000"/>
          <w:sz w:val="22"/>
        </w:rPr>
        <w:t xml:space="preserve">Enrollment fees and oversight costs. </w:t>
      </w:r>
      <w:r>
        <w:rPr>
          <w:rFonts w:ascii="Times New Roman" w:hAnsi="Times New Roman"/>
          <w:b w:val="false"/>
          <w:i w:val="false"/>
          <w:color w:val="000000"/>
          <w:sz w:val="22"/>
        </w:rPr>
        <w:t>A nonrefundable enrollment fee of $750 must be submitted with the program application. This fee is intended to cover the department’s cost of reviewing the program application and a minimum amount of subsequent oversight costs. Subsequent fees in excess of the minimum $750 may be assessed for actual oversight costs incurred by the department as provided in this division. Department oversight activities may include but are not limited to review of documents, meetings with the participant(s), site visits, sampling, and laboratory costs related to verification of submitted materials. The total fees for oversight costs shall not exceed $7,500 per enrolled site enrolled prior to July 1, 2018. For sites enrolled on or after July 1, 2018, the fee shall not exceed $25,000 per enrolled site. Fees shall be assessed and collected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Hourly billing rate. </w:t>
      </w:r>
      <w:r>
        <w:rPr>
          <w:rFonts w:ascii="Times New Roman" w:hAnsi="Times New Roman"/>
          <w:b w:val="false"/>
          <w:i w:val="false"/>
          <w:color w:val="000000"/>
          <w:sz w:val="22"/>
        </w:rPr>
        <w:t>Project oversight fees shall be based on an hourly rate to cover wages and overhead costs of personnel employed by the department in the Iowa land recycling program. The department shall calculate and publish on an annual basis an hourly billing rate at which oversight fees shall be calculated.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Quarterly payments. </w:t>
      </w:r>
      <w:r>
        <w:rPr>
          <w:rFonts w:ascii="Times New Roman" w:hAnsi="Times New Roman"/>
          <w:b w:val="false"/>
          <w:i w:val="false"/>
          <w:color w:val="000000"/>
          <w:sz w:val="22"/>
        </w:rPr>
        <w:t>The department shall bill the participant(s) on a quarterly basis for additional oversight costs beyond the review of the application incurred by the department. The participant(s) shall pay the department within 30 days after receiving the department’s quarterly fee statement. If there is more than one participant, each shall be jointly and severally responsible for payment. The department will provide split billings if provided with an enforceable written contract allocating the fees amongst the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Failure to pay required fees. </w:t>
      </w:r>
      <w:r>
        <w:rPr>
          <w:rFonts w:ascii="Times New Roman" w:hAnsi="Times New Roman"/>
          <w:b w:val="false"/>
          <w:i w:val="false"/>
          <w:color w:val="000000"/>
          <w:sz w:val="22"/>
        </w:rPr>
        <w:t xml:space="preserve">If the participant(s) fails to pay department oversight fees that are required under this subrule, the department shall cease to provide oversight to the participant(s) and terminate enrollment of the site as described in </w:t>
      </w:r>
      <w:hyperlink r:id="rId69">
        <w:r>
          <w:rPr>
            <w:rStyle w:val="Hyperlink"/>
            <w:rFonts w:ascii="Times New Roman" w:hAnsi="Times New Roman"/>
            <w:b w:val="false"/>
            <w:i w:val="false"/>
            <w:color w:val="000000"/>
            <w:sz w:val="22"/>
          </w:rPr>
          <w:t>105.203(7)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105.203(5)</w:t>
      </w:r>
      <w:r>
        <w:rPr>
          <w:rFonts w:ascii="Times New Roman" w:hAnsi="Times New Roman"/>
          <w:b w:val="false"/>
          <w:i w:val="false"/>
          <w:color w:val="000000"/>
          <w:sz w:val="22"/>
        </w:rPr>
        <w:t> </w:t>
      </w:r>
      <w:r>
        <w:rPr>
          <w:rFonts w:ascii="Times New Roman" w:hAnsi="Times New Roman"/>
          <w:b w:val="false"/>
          <w:i/>
          <w:color w:val="000000"/>
          <w:sz w:val="22"/>
        </w:rPr>
        <w:t xml:space="preserve">Participation agreement. </w:t>
      </w:r>
      <w:r>
        <w:rPr>
          <w:rFonts w:ascii="Times New Roman" w:hAnsi="Times New Roman"/>
          <w:b w:val="false"/>
          <w:i w:val="false"/>
          <w:color w:val="000000"/>
          <w:sz w:val="22"/>
        </w:rPr>
        <w:t>All participants shall enter into a participation agreement. This agreement shall be executed at the time the project is assigned to a project manager. At a minimum, the agreement shall establish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participant(s) agree and provide necessary documentation to ensure reasonable access to the affected property by department staff and other authorized representatives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requirement that the participant(s) reimburse the department for the actual costs assessed as provided in </w:t>
      </w:r>
      <w:hyperlink r:id="rId70">
        <w:r>
          <w:rPr>
            <w:rStyle w:val="Hyperlink"/>
            <w:rFonts w:ascii="Times New Roman" w:hAnsi="Times New Roman"/>
            <w:b w:val="false"/>
            <w:i w:val="false"/>
            <w:color w:val="000000"/>
            <w:sz w:val="22"/>
          </w:rPr>
          <w:t>105.203(3)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participant(s) certify that they have the financial means to complete the project based on an initial estimate of completion costs. The department may require modification and amendment of the financial certification at any stage in the project and may require the participant(s) to provide financial documentation as necessary to support the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requirement that the participation agreement include a general description of the scope of the project and the goals to be achieved, a general time frame for submission and review of documents in accordance with this division, allocation of responsibility amongst multiple participants and other appropriate milestones. Either the participant(s) or the department may request a meeting to develop a statement describing the scope, goals, and time frames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105.203(6)</w:t>
      </w:r>
      <w:r>
        <w:rPr>
          <w:rFonts w:ascii="Times New Roman" w:hAnsi="Times New Roman"/>
          <w:b w:val="false"/>
          <w:i w:val="false"/>
          <w:color w:val="000000"/>
          <w:sz w:val="22"/>
        </w:rPr>
        <w:t> </w:t>
      </w:r>
      <w:r>
        <w:rPr>
          <w:rFonts w:ascii="Times New Roman" w:hAnsi="Times New Roman"/>
          <w:b w:val="false"/>
          <w:i/>
          <w:color w:val="000000"/>
          <w:sz w:val="22"/>
        </w:rPr>
        <w:t xml:space="preserve">Prioritization. </w:t>
      </w:r>
      <w:r>
        <w:rPr>
          <w:rFonts w:ascii="Times New Roman" w:hAnsi="Times New Roman"/>
          <w:b w:val="false"/>
          <w:i w:val="false"/>
          <w:color w:val="000000"/>
          <w:sz w:val="22"/>
        </w:rPr>
        <w:t xml:space="preserve">Eligible sites will be enrolled in the order in which they are received. The department reserves the right to elevate the priority of a given site if it determines the public health and safety and the environment or environmental conditions in combination with the development objectives consistent with Iowa Code section </w:t>
      </w:r>
      <w:hyperlink r:id="rId71">
        <w:r>
          <w:rPr>
            <w:rStyle w:val="Hyperlink"/>
            <w:rFonts w:ascii="Times New Roman" w:hAnsi="Times New Roman"/>
            <w:b w:val="false"/>
            <w:i w:val="false"/>
            <w:color w:val="000000"/>
            <w:sz w:val="22"/>
          </w:rPr>
          <w:t>455H.104</w:t>
        </w:r>
      </w:hyperlink>
      <w:r>
        <w:rPr>
          <w:rFonts w:ascii="Times New Roman" w:hAnsi="Times New Roman"/>
          <w:b w:val="false"/>
          <w:i w:val="false"/>
          <w:color w:val="000000"/>
          <w:sz w:val="22"/>
        </w:rPr>
        <w:t xml:space="preserve"> is significantly greater than those of sites with an earlier enrollment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105.203(7)</w:t>
      </w:r>
      <w:r>
        <w:rPr>
          <w:rFonts w:ascii="Times New Roman" w:hAnsi="Times New Roman"/>
          <w:b w:val="false"/>
          <w:i w:val="false"/>
          <w:color w:val="000000"/>
          <w:sz w:val="22"/>
        </w:rPr>
        <w:t> </w:t>
      </w:r>
      <w:r>
        <w:rPr>
          <w:rFonts w:ascii="Times New Roman" w:hAnsi="Times New Roman"/>
          <w:b w:val="false"/>
          <w:i/>
          <w:color w:val="000000"/>
          <w:sz w:val="22"/>
        </w:rPr>
        <w:t xml:space="preserve">Withdrawal procedures. </w:t>
      </w:r>
      <w:r>
        <w:rPr>
          <w:rFonts w:ascii="Times New Roman" w:hAnsi="Times New Roman"/>
          <w:b w:val="false"/>
          <w:i w:val="false"/>
          <w:color w:val="000000"/>
          <w:sz w:val="22"/>
        </w:rPr>
        <w:t xml:space="preserve">Enrollment and continued participation in the program are voluntary. The participant(s) may withdraw the enrolled site and individual participants may withdraw from further participation in the Iowa land recycling program at any time upon written notice to the department. Any participant who withdraws an enrolled site from further participation in the program shall not be entitled to any refund or credit for the $750 enrollment fee and shall be liable for any oversight costs actually incurred by the department up to the cap of $7,500 per enrolled site enrolled prior to July 1, 2018, and $25,000 per enrolled site enrolled after July 1, 2018. A participant who withdraws a site prior to completion of all response action(s) required by this division and issuance of a no further action certificate in accordance with </w:t>
      </w:r>
      <w:hyperlink r:id="rId72">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 xml:space="preserve">(455H) forfeits all benefits and immunities provided by this division and Iowa Code chapter </w:t>
      </w:r>
      <w:hyperlink r:id="rId73">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Prior to withdrawal, the participant(s) shall submit a plan, which must be approved by the department, for stabilization of conditions at the site or a justification for why further action to stabilize the site is not necessary. Participants shall be required to take such actions as the department determines necessary to stabilize conditions at the site, including but not limited to securing or properly abandoning monitoring wells, removing or otherwise properly disposing of all contaminated soil excavations, removing or properly disposing of exposed or exhumed contaminants, filling or properly fencing open excavations, and posting safety notices.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105.203(8)</w:t>
      </w:r>
      <w:r>
        <w:rPr>
          <w:rFonts w:ascii="Times New Roman" w:hAnsi="Times New Roman"/>
          <w:b w:val="false"/>
          <w:i w:val="false"/>
          <w:color w:val="000000"/>
          <w:sz w:val="22"/>
        </w:rPr>
        <w:t> </w:t>
      </w:r>
      <w:r>
        <w:rPr>
          <w:rFonts w:ascii="Times New Roman" w:hAnsi="Times New Roman"/>
          <w:b w:val="false"/>
          <w:i/>
          <w:color w:val="000000"/>
          <w:sz w:val="22"/>
        </w:rPr>
        <w:t xml:space="preserve">Termination of enrollment. </w:t>
      </w:r>
      <w:r>
        <w:rPr>
          <w:rFonts w:ascii="Times New Roman" w:hAnsi="Times New Roman"/>
          <w:b w:val="false"/>
          <w:i w:val="false"/>
          <w:color w:val="000000"/>
          <w:sz w:val="22"/>
        </w:rPr>
        <w:t>Enrollment of the participant(s) may be terminated based on a finding of material noncompliance with department rules and statutory requirements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Significant failure, after written notice, to comply with schedules for completion and submission of reports and implementation of response action(s) required by these rules or otherwise agreed upon in writing by the department and participants. Written requests for reasonable schedule extensions may be granted upon a showing of extenuating circumstances beyond the control of the participant(s) and the participant(s) agent or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proceed in a timely manner after written notice in performing the additional response action required due to a failure of technological and institutional controls pursuant to </w:t>
      </w:r>
      <w:hyperlink r:id="rId74">
        <w:r>
          <w:rPr>
            <w:rStyle w:val="Hyperlink"/>
            <w:rFonts w:ascii="Times New Roman" w:hAnsi="Times New Roman"/>
            <w:b w:val="false"/>
            <w:i w:val="false"/>
            <w:color w:val="000000"/>
            <w:sz w:val="22"/>
          </w:rPr>
          <w:t>567—105.207</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Material misstatement or omission of fact in reports submitted to the department by the participant or agents of the participant.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site falls under one of the exclusion categories in </w:t>
      </w:r>
      <w:hyperlink r:id="rId75">
        <w:r>
          <w:rPr>
            <w:rStyle w:val="Hyperlink"/>
            <w:rFonts w:ascii="Times New Roman" w:hAnsi="Times New Roman"/>
            <w:b w:val="false"/>
            <w:i w:val="false"/>
            <w:color w:val="000000"/>
            <w:sz w:val="22"/>
          </w:rPr>
          <w:t>105.203(2)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pay required fees to the department as required in </w:t>
      </w:r>
      <w:hyperlink r:id="rId76">
        <w:r>
          <w:rPr>
            <w:rStyle w:val="Hyperlink"/>
            <w:rFonts w:ascii="Times New Roman" w:hAnsi="Times New Roman"/>
            <w:b w:val="false"/>
            <w:i w:val="false"/>
            <w:color w:val="000000"/>
            <w:sz w:val="22"/>
          </w:rPr>
          <w:t>105.203(3)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105.203(9)</w:t>
      </w:r>
      <w:r>
        <w:rPr>
          <w:rFonts w:ascii="Times New Roman" w:hAnsi="Times New Roman"/>
          <w:b w:val="false"/>
          <w:i w:val="false"/>
          <w:color w:val="000000"/>
          <w:sz w:val="22"/>
        </w:rPr>
        <w:t> </w:t>
      </w:r>
      <w:r>
        <w:rPr>
          <w:rFonts w:ascii="Times New Roman" w:hAnsi="Times New Roman"/>
          <w:b w:val="false"/>
          <w:i/>
          <w:color w:val="000000"/>
          <w:sz w:val="22"/>
        </w:rPr>
        <w:t xml:space="preserve">Appeal rights. </w:t>
      </w:r>
      <w:r>
        <w:rPr>
          <w:rFonts w:ascii="Times New Roman" w:hAnsi="Times New Roman"/>
          <w:b w:val="false"/>
          <w:i w:val="false"/>
          <w:color w:val="000000"/>
          <w:sz w:val="22"/>
        </w:rPr>
        <w:t xml:space="preserve">The department will notify participant(s) of a denial of enrollment or of an intent to terminate enrollment and provide a statement of reasons. The participant(s) shall have a right to appeal the decision to deny enrollment or to terminate enrollment. Upon timely appeal, contested case procedures shall be initiated pursuant to </w:t>
      </w:r>
      <w:hyperlink r:id="rId7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78">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567—105.204</w:t>
      </w:r>
      <w:r>
        <w:rPr>
          <w:rFonts w:ascii="Times New Roman" w:hAnsi="Times New Roman"/>
          <w:b/>
          <w:i w:val="false"/>
          <w:color w:val="000000"/>
          <w:sz w:val="22"/>
        </w:rPr>
        <w:t xml:space="preserve">(455H) </w:t>
      </w:r>
      <w:r>
        <w:rPr>
          <w:rFonts w:ascii="Times New Roman" w:hAnsi="Times New Roman"/>
          <w:b/>
          <w:i w:val="false"/>
          <w:color w:val="000000"/>
          <w:sz w:val="22"/>
        </w:rPr>
        <w:t xml:space="preserve">Background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105.204(1)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defines the basis and procedure for establishing background standards in groundwater, soil, surface water and air. Background standards represent concentrations of contaminants that are naturally occurring or generally present and not related to a readily identifiable release. Background standards provide a baseline for assessing impacts of contaminant releases from within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105.204(2)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background standards. </w:t>
      </w:r>
      <w:r>
        <w:rPr>
          <w:rFonts w:ascii="Times New Roman" w:hAnsi="Times New Roman"/>
          <w:b w:val="false"/>
          <w:i w:val="false"/>
          <w:color w:val="000000"/>
          <w:sz w:val="22"/>
        </w:rPr>
        <w:t>Background standards shall be based on sampling at appropriate site-specific background locations. Background sampling locations shall be outside the influence of any possible contamination associated with releases occurring on the property in which the enrolled site is located. Sufficient supporting information shall be provided to demonstrate the appropriateness of background sampling locations. Appropriateness for background sampling locations has two aspects that shall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Background samples shall be collected from a location that represents a true background condition with respect to the enrolled site.  A background groundwater sample shall be collected from an upgradient location relative to groundwater movement.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Background samples will represent conditions that are comparable to the contaminated media being addressed. In the case of soils, samples from the affected area and the background areas will be comparable in physical, chemical, and biological attributes.</w:t>
      </w:r>
    </w:p>
    <w:p>
      <w:pPr>
        <w:spacing w:before="0" w:after="0"/>
        <w:ind w:left="120"/>
        <w:jc w:val="both"/>
      </w:pPr>
      <w:r>
        <w:rPr>
          <w:rFonts w:ascii="Times New Roman" w:hAnsi="Times New Roman"/>
          <w:b w:val="false"/>
          <w:i w:val="false"/>
          <w:color w:val="000000"/>
          <w:sz w:val="22"/>
        </w:rPr>
        <w:t xml:space="preserve">Sampling conducted for the purpose of establishing a background standard shall meet quality criteria specified for the site assessment, </w:t>
      </w:r>
      <w:hyperlink r:id="rId79">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 xml:space="preserve">(455H). The minimum number of samples to be collected from the medium of concern for which a background standard is being established shall be consistent with </w:t>
      </w:r>
      <w:hyperlink r:id="rId80">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 regarding demonstration of compliance.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567—105.205</w:t>
      </w:r>
      <w:r>
        <w:rPr>
          <w:rFonts w:ascii="Times New Roman" w:hAnsi="Times New Roman"/>
          <w:b/>
          <w:i w:val="false"/>
          <w:color w:val="000000"/>
          <w:sz w:val="22"/>
        </w:rPr>
        <w:t xml:space="preserve">(455H) </w:t>
      </w:r>
      <w:r>
        <w:rPr>
          <w:rFonts w:ascii="Times New Roman" w:hAnsi="Times New Roman"/>
          <w:b/>
          <w:i w:val="false"/>
          <w:color w:val="000000"/>
          <w:sz w:val="22"/>
        </w:rPr>
        <w:t xml:space="preserve">Statewide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This rule defines the basis and procedure for establishing statewide standards for contaminants in groundwater, soil, and surface water. Statewide standards for groundwater and soil represent concentrations of contaminants in these media at which normal exposure via ingestion and dermal contact with soil is considered unlikely to pose a threat to human health. Statewide standards for surface water are based on protection of aquatic life and protection of human health. This rule also describes how air standards are to be addressed.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Statewide standards described herein address what are considered to be the most likely, normal exposure situations within the state of Iowa. Statewide standards for groundwater address direct exposure via ingestion to individual contaminants in the media of concern only. Statewide standards for soil address direct exposure to individual contaminants via ingestion and dermal contact in the media of concern only. In the event exposure to multiple contaminants may occur or exposure from more than one medium may occur, statewide standards alone may not be protective of human health; therefore, cumulative risk standards must be met in accordance with </w:t>
      </w:r>
      <w:hyperlink r:id="rId81">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xml:space="preserve">. In addition, the department may deny the use of the statewide standards prescribed herein and require the use of site-specific standards based on site-specific conditions pursuant to </w:t>
      </w:r>
      <w:hyperlink r:id="rId82">
        <w:r>
          <w:rPr>
            <w:rStyle w:val="Hyperlink"/>
            <w:rFonts w:ascii="Times New Roman" w:hAnsi="Times New Roman"/>
            <w:b w:val="false"/>
            <w:i w:val="false"/>
            <w:color w:val="000000"/>
            <w:sz w:val="22"/>
          </w:rPr>
          <w:t>105.206(10)</w:t>
        </w:r>
      </w:hyperlink>
      <w:r>
        <w:rPr>
          <w:rFonts w:ascii="Times New Roman" w:hAnsi="Times New Roman"/>
          <w:b w:val="false"/>
          <w:i w:val="false"/>
          <w:color w:val="000000"/>
          <w:sz w:val="22"/>
        </w:rPr>
        <w:t>. Examples of exposure concerns not anticipated by the statewide standards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Significant plant uptake of contaminants from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Contaminants entering drinking water lines from contact with soil or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Ecological concerns, other than for surface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Groundwater in a nonprotected groundwater source that is used or likely to be used for drinking water or other use.</w:t>
      </w:r>
    </w:p>
    <w:p>
      <w:pPr>
        <w:spacing w:before="0" w:after="0"/>
        <w:ind w:left="120"/>
        <w:jc w:val="both"/>
      </w:pPr>
      <w:r>
        <w:rPr>
          <w:rFonts w:ascii="Times New Roman" w:hAnsi="Times New Roman"/>
          <w:b/>
          <w:i w:val="false"/>
          <w:color w:val="000000"/>
          <w:sz w:val="22"/>
        </w:rPr>
        <w:t>105.205(3)</w:t>
      </w:r>
      <w:r>
        <w:rPr>
          <w:rFonts w:ascii="Times New Roman" w:hAnsi="Times New Roman"/>
          <w:b w:val="false"/>
          <w:i w:val="false"/>
          <w:color w:val="000000"/>
          <w:sz w:val="22"/>
        </w:rPr>
        <w:t> </w:t>
      </w:r>
      <w:r>
        <w:rPr>
          <w:rFonts w:ascii="Times New Roman" w:hAnsi="Times New Roman"/>
          <w:b w:val="false"/>
          <w:i/>
          <w:color w:val="000000"/>
          <w:sz w:val="22"/>
        </w:rPr>
        <w:t xml:space="preserve">Establishment of risk-based contaminant concentrations.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Risk-based concentration formula. </w:t>
      </w:r>
      <w:r>
        <w:rPr>
          <w:rFonts w:ascii="Times New Roman" w:hAnsi="Times New Roman"/>
          <w:b w:val="false"/>
          <w:i w:val="false"/>
          <w:color w:val="000000"/>
          <w:sz w:val="22"/>
        </w:rPr>
        <w:t>Risk-based contaminant concentrations for soil and groundwater, except lead, shall be computed using the following formula, where appropriate:</w:t>
      </w:r>
    </w:p>
    <w:p>
      <w:pPr>
        <w:spacing w:before="60" w:after="0"/>
        <w:ind w:left="120"/>
        <w:jc w:val="left"/>
      </w:pPr>
      <w:r>
        <w:rPr>
          <w:rFonts w:ascii="Times New Roman" w:hAnsi="Times New Roman"/>
          <w:b w:val="false"/>
          <w:i w:val="false"/>
          <w:color w:val="000000"/>
          <w:sz w:val="22"/>
        </w:rPr>
        <w:t>(Formula I)</w:t>
      </w:r>
    </w:p>
    <w:tbl>
      <w:tblPr>
        <w:tblW w:w="0" w:type="auto"/>
        <w:tblCellSpacing w:w="0" w:type="auto"/>
        <w:tblBorders>
          <w:top w:val="none"/>
          <w:left w:val="none"/>
          <w:bottom w:val="none"/>
          <w:right w:val="none"/>
          <w:insideH w:val="none"/>
          <w:insideV w:val="none"/>
        </w:tblBorders>
        <w:tblLayout w:type="fixed"/>
      </w:tblPr>
      <w:tblGrid>
        <w:gridCol w:w="892"/>
        <w:gridCol w:w="891"/>
        <w:gridCol w:w="7169"/>
      </w:tblGrid>
      <w:tr>
        <w:trPr>
          <w:trHeight w:val="195" w:hRule="atLeast"/>
        </w:trPr>
        <w:tc>
          <w:tcPr>
            <w:tcW w:w="892"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 xml:space="preserve">C </w:t>
            </w:r>
          </w:p>
        </w:tc>
        <w:tc>
          <w:tcPr>
            <w:tcW w:w="891" w:type="dxa"/>
            <w:vMerge w:val="restart"/>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w:t>
            </w:r>
          </w:p>
        </w:tc>
        <w:tc>
          <w:tcPr>
            <w:tcW w:w="7169"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RF×AT×365 days/year</w:t>
            </w:r>
          </w:p>
        </w:tc>
      </w:tr>
      <w:tr>
        <w:trPr>
          <w:trHeight w:val="255" w:hRule="atLeast"/>
        </w:trPr>
        <w:tc>
          <w:tcPr>
            <w:tcW w:w="0" w:type="auto"/>
            <w:vMerge/>
            <w:tcBorders>
              <w:top w:val="nil"/>
            </w:tcBorders>
          </w:tcPr>
          <w:p/>
        </w:tc>
        <w:tc>
          <w:tcPr>
            <w:tcW w:w="0" w:type="auto"/>
            <w:vMerge/>
            <w:tcBorders>
              <w:top w:val="nil"/>
            </w:tcBorders>
          </w:tcPr>
          <w:p/>
        </w:tc>
        <w:tc>
          <w:tcPr>
            <w:tcW w:w="7169"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Abs×[(ER</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r>
              <w:rPr>
                <w:rFonts w:ascii="Times New Roman" w:hAnsi="Times New Roman"/>
                <w:b w:val="false"/>
                <w:i w:val="false"/>
                <w:color w:val="000000"/>
                <w:sz w:val="14"/>
              </w:rPr>
              <w:t>]×CF</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When a risk-based concentration is computed for two routes of exposure to the same medium (e.g., soil oral exposure and soil dermal exposure), the composite risk-based concentration equals the multiple of the risk-based concentration for each route of exposure divided by the sum of the risk-based concentration for each route of exposure.</w:t>
      </w:r>
    </w:p>
    <w:p>
      <w:pPr>
        <w:spacing w:before="0" w:after="0"/>
        <w:ind w:left="120"/>
        <w:jc w:val="both"/>
      </w:pPr>
      <w:r>
        <w:rPr>
          <w:rFonts w:ascii="Times New Roman" w:hAnsi="Times New Roman"/>
          <w:b w:val="false"/>
          <w:i w:val="false"/>
          <w:color w:val="000000"/>
          <w:sz w:val="22"/>
        </w:rPr>
        <w:t>Where: C = Concentration of contaminant (soil: mg/kg, water: mg/l)</w:t>
      </w:r>
    </w:p>
    <w:p>
      <w:pPr>
        <w:spacing w:before="0" w:after="0"/>
        <w:ind w:left="120"/>
        <w:jc w:val="both"/>
      </w:pPr>
      <w:r>
        <w:rPr>
          <w:rFonts w:ascii="Times New Roman" w:hAnsi="Times New Roman"/>
          <w:b w:val="false"/>
          <w:i w:val="false"/>
          <w:color w:val="000000"/>
          <w:sz w:val="22"/>
        </w:rPr>
        <w:t>RF = Risk factor</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protection from cancer health risks:</w:t>
      </w:r>
    </w:p>
    <w:p>
      <w:pPr>
        <w:spacing w:before="0" w:after="0"/>
        <w:ind w:left="120"/>
        <w:jc w:val="both"/>
      </w:pPr>
      <w:r>
        <w:rPr>
          <w:rFonts w:ascii="Times New Roman" w:hAnsi="Times New Roman"/>
          <w:b w:val="false"/>
          <w:i w:val="false"/>
          <w:color w:val="000000"/>
          <w:sz w:val="22"/>
        </w:rPr>
        <w:t>RF = TR ÷ SF</w:t>
      </w:r>
    </w:p>
    <w:p>
      <w:pPr>
        <w:spacing w:before="0" w:after="0"/>
        <w:ind w:left="120"/>
        <w:jc w:val="both"/>
      </w:pPr>
      <w:r>
        <w:rPr>
          <w:rFonts w:ascii="Times New Roman" w:hAnsi="Times New Roman"/>
          <w:b w:val="false"/>
          <w:i w:val="false"/>
          <w:color w:val="000000"/>
          <w:sz w:val="22"/>
        </w:rPr>
        <w:t>Where: TR = Target cancer risk (unitless)</w:t>
      </w:r>
    </w:p>
    <w:p>
      <w:pPr>
        <w:spacing w:before="0" w:after="0"/>
        <w:ind w:left="120"/>
        <w:jc w:val="both"/>
      </w:pPr>
      <w:r>
        <w:rPr>
          <w:rFonts w:ascii="Times New Roman" w:hAnsi="Times New Roman"/>
          <w:b w:val="false"/>
          <w:i w:val="false"/>
          <w:color w:val="000000"/>
          <w:sz w:val="22"/>
        </w:rPr>
        <w:t>SF = Slope factor [(mg/kg)/day]</w:t>
      </w:r>
      <w:r>
        <w:rPr>
          <w:rFonts w:ascii="Times New Roman" w:hAnsi="Times New Roman"/>
          <w:b w:val="false"/>
          <w:i w:val="false"/>
          <w:color w:val="000000"/>
          <w:sz w:val="11"/>
          <w:vertAlign w:val="superscript"/>
        </w:rPr>
        <w:t>-1</w:t>
      </w:r>
      <w:r>
        <w:rPr>
          <w:rFonts w:ascii="Times New Roman" w:hAnsi="Times New Roman"/>
          <w:b w:val="false"/>
          <w:i w:val="false"/>
          <w:color w:val="000000"/>
          <w:sz w:val="22"/>
        </w:rPr>
        <w:t xml:space="preserve"> for a route of exposure; see </w:t>
      </w:r>
      <w:hyperlink r:id="rId83">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source.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protection from noncancer health risks:</w:t>
      </w:r>
    </w:p>
    <w:p>
      <w:pPr>
        <w:spacing w:before="0" w:after="0"/>
        <w:ind w:left="120"/>
        <w:jc w:val="both"/>
      </w:pPr>
      <w:r>
        <w:rPr>
          <w:rFonts w:ascii="Times New Roman" w:hAnsi="Times New Roman"/>
          <w:b w:val="false"/>
          <w:i w:val="false"/>
          <w:color w:val="000000"/>
          <w:sz w:val="22"/>
        </w:rPr>
        <w:t>RF = THQ × RfD</w:t>
      </w:r>
    </w:p>
    <w:p>
      <w:pPr>
        <w:spacing w:before="0" w:after="0"/>
        <w:ind w:left="120"/>
        <w:jc w:val="both"/>
      </w:pPr>
      <w:r>
        <w:rPr>
          <w:rFonts w:ascii="Times New Roman" w:hAnsi="Times New Roman"/>
          <w:b w:val="false"/>
          <w:i w:val="false"/>
          <w:color w:val="000000"/>
          <w:sz w:val="22"/>
        </w:rPr>
        <w:t>Where: THQ = Target hazard quotient (unitless)</w:t>
      </w:r>
    </w:p>
    <w:p>
      <w:pPr>
        <w:spacing w:before="0" w:after="0"/>
        <w:ind w:left="120"/>
        <w:jc w:val="both"/>
      </w:pPr>
      <w:r>
        <w:rPr>
          <w:rFonts w:ascii="Times New Roman" w:hAnsi="Times New Roman"/>
          <w:b w:val="false"/>
          <w:i w:val="false"/>
          <w:color w:val="000000"/>
          <w:sz w:val="22"/>
        </w:rPr>
        <w:t xml:space="preserve">RfD = Reference dose (mg/kg)/day for a route of exposure; see </w:t>
      </w:r>
      <w:hyperlink r:id="rId84">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w:t>
      </w:r>
    </w:p>
    <w:p>
      <w:pPr>
        <w:spacing w:before="0" w:after="0"/>
        <w:ind w:left="120"/>
        <w:jc w:val="both"/>
      </w:pPr>
      <w:r>
        <w:rPr>
          <w:rFonts w:ascii="Times New Roman" w:hAnsi="Times New Roman"/>
          <w:b w:val="false"/>
          <w:i w:val="false"/>
          <w:color w:val="000000"/>
          <w:sz w:val="22"/>
        </w:rPr>
        <w:t>source.</w:t>
      </w:r>
    </w:p>
    <w:p>
      <w:pPr>
        <w:spacing w:before="0" w:after="0"/>
        <w:ind w:left="120"/>
        <w:jc w:val="both"/>
      </w:pPr>
      <w:r>
        <w:rPr>
          <w:rFonts w:ascii="Times New Roman" w:hAnsi="Times New Roman"/>
          <w:b w:val="false"/>
          <w:i w:val="false"/>
          <w:color w:val="000000"/>
          <w:sz w:val="22"/>
        </w:rPr>
        <w:t>AT = Averaging time (years); time over which exposure is averaged and potential adverse effects may occur</w:t>
      </w:r>
    </w:p>
    <w:p>
      <w:pPr>
        <w:spacing w:before="0" w:after="0"/>
        <w:ind w:left="120"/>
        <w:jc w:val="both"/>
      </w:pPr>
      <w:r>
        <w:rPr>
          <w:rFonts w:ascii="Times New Roman" w:hAnsi="Times New Roman"/>
          <w:b w:val="false"/>
          <w:i w:val="false"/>
          <w:color w:val="000000"/>
          <w:sz w:val="22"/>
        </w:rPr>
        <w:t>Abs = Absorption factor (unitless); portion of exposed contaminant absorbed by the body</w:t>
      </w:r>
    </w:p>
    <w:p>
      <w:pPr>
        <w:spacing w:before="0" w:after="0"/>
        <w:ind w:left="120"/>
        <w:jc w:val="both"/>
      </w:pPr>
      <w:r>
        <w:rPr>
          <w:rFonts w:ascii="Times New Roman" w:hAnsi="Times New Roman"/>
          <w:b w:val="false"/>
          <w:i w:val="false"/>
          <w:color w:val="000000"/>
          <w:sz w:val="22"/>
        </w:rPr>
        <w:t>ER</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Exposure rate by a child (soil: mg/day, water: l/day)</w:t>
      </w:r>
    </w:p>
    <w:p>
      <w:pPr>
        <w:spacing w:before="0" w:after="0"/>
        <w:ind w:left="120"/>
        <w:jc w:val="both"/>
      </w:pPr>
      <w:r>
        <w:rPr>
          <w:rFonts w:ascii="Times New Roman" w:hAnsi="Times New Roman"/>
          <w:b w:val="false"/>
          <w:i w:val="false"/>
          <w:color w:val="000000"/>
          <w:sz w:val="22"/>
        </w:rPr>
        <w:t>EF</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Exposure frequency by a child (days/year)</w:t>
      </w:r>
    </w:p>
    <w:p>
      <w:pPr>
        <w:spacing w:before="0" w:after="0"/>
        <w:ind w:left="120"/>
        <w:jc w:val="both"/>
      </w:pPr>
      <w:r>
        <w:rPr>
          <w:rFonts w:ascii="Times New Roman" w:hAnsi="Times New Roman"/>
          <w:b w:val="false"/>
          <w:i w:val="false"/>
          <w:color w:val="000000"/>
          <w:sz w:val="22"/>
        </w:rPr>
        <w:t>ED</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Exposure duration by a child (years)</w:t>
      </w:r>
    </w:p>
    <w:p>
      <w:pPr>
        <w:spacing w:before="0" w:after="0"/>
        <w:ind w:left="120"/>
        <w:jc w:val="both"/>
      </w:pPr>
      <w:r>
        <w:rPr>
          <w:rFonts w:ascii="Times New Roman" w:hAnsi="Times New Roman"/>
          <w:b w:val="false"/>
          <w:i w:val="false"/>
          <w:color w:val="000000"/>
          <w:sz w:val="22"/>
        </w:rPr>
        <w:t>BW</w:t>
      </w:r>
      <w:r>
        <w:rPr>
          <w:rFonts w:ascii="Times New Roman" w:hAnsi="Times New Roman"/>
          <w:b w:val="false"/>
          <w:i w:val="false"/>
          <w:color w:val="000000"/>
          <w:sz w:val="11"/>
          <w:vertAlign w:val="subscript"/>
        </w:rPr>
        <w:t>c</w:t>
      </w:r>
      <w:r>
        <w:rPr>
          <w:rFonts w:ascii="Times New Roman" w:hAnsi="Times New Roman"/>
          <w:b w:val="false"/>
          <w:i w:val="false"/>
          <w:color w:val="000000"/>
          <w:sz w:val="22"/>
        </w:rPr>
        <w:t xml:space="preserve"> = Body weight of exposed child (kg)</w:t>
      </w:r>
    </w:p>
    <w:p>
      <w:pPr>
        <w:spacing w:before="0" w:after="0"/>
        <w:ind w:left="120"/>
        <w:jc w:val="both"/>
      </w:pPr>
      <w:r>
        <w:rPr>
          <w:rFonts w:ascii="Times New Roman" w:hAnsi="Times New Roman"/>
          <w:b w:val="false"/>
          <w:i w:val="false"/>
          <w:color w:val="000000"/>
          <w:sz w:val="22"/>
        </w:rPr>
        <w:t>ER</w:t>
      </w:r>
      <w:r>
        <w:rPr>
          <w:rFonts w:ascii="Times New Roman" w:hAnsi="Times New Roman"/>
          <w:b w:val="false"/>
          <w:i w:val="false"/>
          <w:color w:val="000000"/>
          <w:sz w:val="11"/>
          <w:vertAlign w:val="subscript"/>
        </w:rPr>
        <w:t xml:space="preserve">a </w:t>
      </w:r>
      <w:r>
        <w:rPr>
          <w:rFonts w:ascii="Times New Roman" w:hAnsi="Times New Roman"/>
          <w:b w:val="false"/>
          <w:i w:val="false"/>
          <w:color w:val="000000"/>
          <w:sz w:val="22"/>
        </w:rPr>
        <w:t>= Exposure rate by an adult (soil: mg/day, water: l/day)</w:t>
      </w:r>
    </w:p>
    <w:p>
      <w:pPr>
        <w:spacing w:before="0" w:after="0"/>
        <w:ind w:left="120"/>
        <w:jc w:val="both"/>
      </w:pPr>
      <w:r>
        <w:rPr>
          <w:rFonts w:ascii="Times New Roman" w:hAnsi="Times New Roman"/>
          <w:b w:val="false"/>
          <w:i w:val="false"/>
          <w:color w:val="000000"/>
          <w:sz w:val="22"/>
        </w:rPr>
        <w:t>EF</w:t>
      </w:r>
      <w:r>
        <w:rPr>
          <w:rFonts w:ascii="Times New Roman" w:hAnsi="Times New Roman"/>
          <w:b w:val="false"/>
          <w:i w:val="false"/>
          <w:color w:val="000000"/>
          <w:sz w:val="11"/>
          <w:vertAlign w:val="subscript"/>
        </w:rPr>
        <w:t>a</w:t>
      </w:r>
      <w:r>
        <w:rPr>
          <w:rFonts w:ascii="Times New Roman" w:hAnsi="Times New Roman"/>
          <w:b w:val="false"/>
          <w:i w:val="false"/>
          <w:color w:val="000000"/>
          <w:sz w:val="22"/>
        </w:rPr>
        <w:t xml:space="preserve"> = Exposure frequency by an adult (days/year)</w:t>
      </w:r>
    </w:p>
    <w:p>
      <w:pPr>
        <w:spacing w:before="0" w:after="0"/>
        <w:ind w:left="120"/>
        <w:jc w:val="both"/>
      </w:pPr>
      <w:r>
        <w:rPr>
          <w:rFonts w:ascii="Times New Roman" w:hAnsi="Times New Roman"/>
          <w:b w:val="false"/>
          <w:i w:val="false"/>
          <w:color w:val="000000"/>
          <w:sz w:val="22"/>
        </w:rPr>
        <w:t>ED</w:t>
      </w:r>
      <w:r>
        <w:rPr>
          <w:rFonts w:ascii="Times New Roman" w:hAnsi="Times New Roman"/>
          <w:b w:val="false"/>
          <w:i w:val="false"/>
          <w:color w:val="000000"/>
          <w:sz w:val="11"/>
          <w:vertAlign w:val="subscript"/>
        </w:rPr>
        <w:t>a</w:t>
      </w:r>
      <w:r>
        <w:rPr>
          <w:rFonts w:ascii="Times New Roman" w:hAnsi="Times New Roman"/>
          <w:b w:val="false"/>
          <w:i w:val="false"/>
          <w:color w:val="000000"/>
          <w:sz w:val="22"/>
        </w:rPr>
        <w:t xml:space="preserve"> = Exposure duration by an adult (years)</w:t>
      </w:r>
    </w:p>
    <w:p>
      <w:pPr>
        <w:spacing w:before="0" w:after="0"/>
        <w:ind w:left="120"/>
        <w:jc w:val="both"/>
      </w:pPr>
      <w:r>
        <w:rPr>
          <w:rFonts w:ascii="Times New Roman" w:hAnsi="Times New Roman"/>
          <w:b w:val="false"/>
          <w:i w:val="false"/>
          <w:color w:val="000000"/>
          <w:sz w:val="22"/>
        </w:rPr>
        <w:t>BW</w:t>
      </w:r>
      <w:r>
        <w:rPr>
          <w:rFonts w:ascii="Times New Roman" w:hAnsi="Times New Roman"/>
          <w:b w:val="false"/>
          <w:i w:val="false"/>
          <w:color w:val="000000"/>
          <w:sz w:val="11"/>
          <w:vertAlign w:val="subscript"/>
        </w:rPr>
        <w:t>a</w:t>
      </w:r>
      <w:r>
        <w:rPr>
          <w:rFonts w:ascii="Times New Roman" w:hAnsi="Times New Roman"/>
          <w:b w:val="false"/>
          <w:i w:val="false"/>
          <w:color w:val="000000"/>
          <w:sz w:val="22"/>
        </w:rPr>
        <w:t xml:space="preserve"> = Body weight of exposed adult (kg)</w:t>
      </w:r>
    </w:p>
    <w:p>
      <w:pPr>
        <w:spacing w:before="0" w:after="0"/>
        <w:ind w:left="120"/>
        <w:jc w:val="both"/>
      </w:pPr>
      <w:r>
        <w:rPr>
          <w:rFonts w:ascii="Times New Roman" w:hAnsi="Times New Roman"/>
          <w:b w:val="false"/>
          <w:i w:val="false"/>
          <w:color w:val="000000"/>
          <w:sz w:val="22"/>
        </w:rPr>
        <w:t>CF = Conversion factor: 10</w:t>
      </w:r>
      <w:r>
        <w:rPr>
          <w:rFonts w:ascii="Times New Roman" w:hAnsi="Times New Roman"/>
          <w:b w:val="false"/>
          <w:i w:val="false"/>
          <w:color w:val="000000"/>
          <w:sz w:val="11"/>
          <w:vertAlign w:val="superscript"/>
        </w:rPr>
        <w:t>-6</w:t>
      </w:r>
      <w:r>
        <w:rPr>
          <w:rFonts w:ascii="Times New Roman" w:hAnsi="Times New Roman"/>
          <w:b w:val="false"/>
          <w:i w:val="false"/>
          <w:color w:val="000000"/>
          <w:sz w:val="22"/>
        </w:rPr>
        <w:t xml:space="preserve"> kg/mg for soils; 1 (unitless) for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Carcinogenic classification of chemicals. </w:t>
      </w:r>
      <w:r>
        <w:rPr>
          <w:rFonts w:ascii="Times New Roman" w:hAnsi="Times New Roman"/>
          <w:b w:val="false"/>
          <w:i w:val="false"/>
          <w:color w:val="000000"/>
          <w:sz w:val="22"/>
        </w:rPr>
        <w:t xml:space="preserve">The potential carcinogenicity of chemicals will be based on the weight-of-evidence classification system utilized by the EPA. Risk-based concentrations will be based on cancer health effects for individual chemicals that are classified as Group A or Group B. The risk-based concentration for an individual chemical will be based on noncancer health effects for chemicals that are classified as Group C, Group D or Group E. In the absence of such classification for a chemical, the Group D classification will be assumed. Noncancer risks for a Group A or Group B chemical will be included in the determination of cumulative noncancer risk in accordance with </w:t>
      </w:r>
      <w:hyperlink r:id="rId85">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xml:space="preserve">, if a reference dose exists for that chemical. Cancer risk associated with a Group C chemical shall be included in the determination of cumulative cancer risk in accordance with </w:t>
      </w:r>
      <w:hyperlink r:id="rId86">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if a cancer slope factor exists for that chemical.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Source of toxicity values. </w:t>
      </w:r>
      <w:r>
        <w:rPr>
          <w:rFonts w:ascii="Times New Roman" w:hAnsi="Times New Roman"/>
          <w:b w:val="false"/>
          <w:i w:val="false"/>
          <w:color w:val="000000"/>
          <w:sz w:val="22"/>
        </w:rPr>
        <w:t>EPA’s Integrated Risk Information System (IRIS) shall be the primary source of information on toxicity factors (e.g., oral reference doses and oral slope factors), carcinogenic classification for chemicals, and the target organs. Such information that is not available on IRIS shall be obtained from other sources consistent with current EPA guidelines. The Iowa department of health and human services (HHS) shall be consulted regarding toxicity values not available on IRIS. Absorption factors for dermal soil exposure shall be based on best available information, which will usually be obtained from EPA guidance documents.</w:t>
      </w:r>
    </w:p>
    <w:p>
      <w:pPr>
        <w:spacing w:before="0" w:after="0"/>
        <w:ind w:left="120"/>
        <w:jc w:val="both"/>
      </w:pPr>
      <w:r>
        <w:rPr>
          <w:rFonts w:ascii="Times New Roman" w:hAnsi="Times New Roman"/>
          <w:b/>
          <w:i w:val="false"/>
          <w:color w:val="000000"/>
          <w:sz w:val="22"/>
        </w:rPr>
        <w:t>105.205(4)</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groundwater.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Protected groundwater source. </w:t>
      </w:r>
      <w:r>
        <w:rPr>
          <w:rFonts w:ascii="Times New Roman" w:hAnsi="Times New Roman"/>
          <w:b w:val="false"/>
          <w:i w:val="false"/>
          <w:color w:val="000000"/>
          <w:sz w:val="22"/>
        </w:rPr>
        <w:t>Statewide standards for groundwater in a protected groundwater source will be the enforceable MCL established by the EPA pursuant to the Safe Drinking Water Act as amended in 1996, if an MCL exists. If no enforceable MCL exists, the statewide standard for chemicals will be the HAL as provided in the Drinking Water Regulations and Health Advisories by the EPA’s Office of Water. Interim or provisional HALs can also be used. If no MCL or HAL exists, the statewide standard for a chemical will be calculated using Formula I and input variables for groundwater ingestion in accordance with Table I.</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Groundwater in a nonprotected groundwater source. </w:t>
      </w:r>
      <w:r>
        <w:rPr>
          <w:rFonts w:ascii="Times New Roman" w:hAnsi="Times New Roman"/>
          <w:b w:val="false"/>
          <w:i w:val="false"/>
          <w:color w:val="000000"/>
          <w:sz w:val="22"/>
        </w:rPr>
        <w:t>The statewide standard for a chemical in groundwater in a nonprotected groundwater source will be five times the statewide standard for the chemical in a protected groundwater source or a risk-based concentration using Formula I with input variables specified in Table I, whichever is larger. The statewide standards for groundwater in a nonprotected groundwater source are based on groundwater ingestion only.</w:t>
      </w:r>
    </w:p>
    <w:p>
      <w:pPr>
        <w:spacing w:before="60" w:after="0"/>
        <w:ind w:left="120"/>
        <w:jc w:val="center"/>
      </w:pPr>
      <w:r>
        <w:rPr>
          <w:rFonts w:ascii="Times New Roman" w:hAnsi="Times New Roman"/>
          <w:b w:val="false"/>
          <w:i w:val="false"/>
          <w:color w:val="000000"/>
          <w:sz w:val="22"/>
        </w:rPr>
        <w:t>Table I</w:t>
      </w:r>
    </w:p>
    <w:p>
      <w:pPr>
        <w:spacing w:before="60" w:after="0"/>
        <w:ind w:left="120"/>
        <w:jc w:val="center"/>
      </w:pPr>
      <w:r>
        <w:rPr>
          <w:rFonts w:ascii="Times New Roman" w:hAnsi="Times New Roman"/>
          <w:b w:val="false"/>
          <w:i w:val="false"/>
          <w:color w:val="000000"/>
          <w:sz w:val="22"/>
        </w:rPr>
        <w:t>Input Variables for Risk-Based Statewide Standards for Groundwater</w:t>
      </w:r>
    </w:p>
    <w:p>
      <w:pPr>
        <w:spacing w:before="60" w:after="0"/>
        <w:ind w:left="120"/>
        <w:jc w:val="center"/>
      </w:pPr>
      <w:r>
        <w:rPr>
          <w:rFonts w:ascii="Times New Roman" w:hAnsi="Times New Roman"/>
          <w:b w:val="false"/>
          <w:i w:val="false"/>
          <w:color w:val="000000"/>
          <w:sz w:val="22"/>
        </w:rPr>
        <w:t>from Protected and Nonprotected Groundwater Sources</w:t>
      </w:r>
    </w:p>
    <w:tbl>
      <w:tblPr>
        <w:tblW w:w="0" w:type="auto"/>
        <w:tblCellSpacing w:w="0" w:type="auto"/>
        <w:tblBorders>
          <w:top w:val="none"/>
          <w:left w:val="none"/>
          <w:bottom w:val="none"/>
          <w:right w:val="none"/>
          <w:insideH w:val="none"/>
          <w:insideV w:val="none"/>
        </w:tblBorders>
        <w:tblLayout w:type="fixed"/>
      </w:tblPr>
      <w:tblGrid>
        <w:gridCol w:w="1920"/>
        <w:gridCol w:w="1920"/>
        <w:gridCol w:w="1920"/>
        <w:gridCol w:w="1920"/>
        <w:gridCol w:w="1920"/>
      </w:tblGrid>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Parameter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Units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Cancer Group</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Protected</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Nonprotected</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0.02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365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8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bl>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w:t>
      </w:r>
      <w:hyperlink r:id="rId87">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88">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i w:val="false"/>
          <w:color w:val="000000"/>
          <w:sz w:val="22"/>
        </w:rPr>
        <w:t>105.205(5)</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soil. </w:t>
      </w:r>
      <w:r>
        <w:rPr>
          <w:rFonts w:ascii="Times New Roman" w:hAnsi="Times New Roman"/>
          <w:b w:val="false"/>
          <w:i w:val="false"/>
          <w:color w:val="000000"/>
          <w:sz w:val="22"/>
        </w:rPr>
        <w:t>Statewide standards for chemicals in soil, except lead, will be calculated using Formula I based on incidental ingestion of soil and dust and dermal contact with soil with input variables in accordance with Table II. The statewide standard for lead in soil shall be 400 mg/kg.</w:t>
      </w:r>
    </w:p>
    <w:p>
      <w:pPr>
        <w:spacing w:before="60" w:after="0"/>
        <w:ind w:left="120"/>
        <w:jc w:val="center"/>
      </w:pPr>
      <w:r>
        <w:rPr>
          <w:rFonts w:ascii="Times New Roman" w:hAnsi="Times New Roman"/>
          <w:b w:val="false"/>
          <w:i w:val="false"/>
          <w:color w:val="000000"/>
          <w:sz w:val="22"/>
        </w:rPr>
        <w:t>Table II</w:t>
      </w:r>
    </w:p>
    <w:p>
      <w:pPr>
        <w:spacing w:before="60" w:after="0"/>
        <w:ind w:left="120"/>
        <w:jc w:val="center"/>
      </w:pPr>
      <w:r>
        <w:rPr>
          <w:rFonts w:ascii="Times New Roman" w:hAnsi="Times New Roman"/>
          <w:b w:val="false"/>
          <w:i w:val="false"/>
          <w:color w:val="000000"/>
          <w:sz w:val="22"/>
        </w:rPr>
        <w:t>Input Variables for Statewide Soil Standards</w:t>
      </w:r>
    </w:p>
    <w:tbl>
      <w:tblPr>
        <w:tblW w:w="0" w:type="auto"/>
        <w:tblCellSpacing w:w="0" w:type="auto"/>
        <w:tblBorders>
          <w:top w:val="none"/>
          <w:left w:val="none"/>
          <w:bottom w:val="none"/>
          <w:right w:val="none"/>
          <w:insideH w:val="none"/>
          <w:insideV w:val="none"/>
        </w:tblBorders>
        <w:tblLayout w:type="fixed"/>
      </w:tblPr>
      <w:tblGrid>
        <w:gridCol w:w="2112"/>
        <w:gridCol w:w="2112"/>
        <w:gridCol w:w="2112"/>
        <w:gridCol w:w="1632"/>
        <w:gridCol w:w="1632"/>
      </w:tblGrid>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0" w:type="auto"/>
            <w:gridSpan w:val="2"/>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u w:val="single"/>
              </w:rPr>
              <w:t>Route of Exposure</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Parameter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Units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Cancer Group</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Oral</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Dermal</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 × 10</w:t>
            </w:r>
            <w:r>
              <w:rPr>
                <w:rFonts w:ascii="Times New Roman" w:hAnsi="Times New Roman"/>
                <w:b w:val="false"/>
                <w:i w:val="false"/>
                <w:color w:val="000000"/>
                <w:sz w:val="14"/>
                <w:vertAlign w:val="superscript"/>
              </w:rPr>
              <w:t>-6</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AT</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560**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400**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350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24</w:t>
            </w:r>
          </w:p>
        </w:tc>
      </w:tr>
      <w:tr>
        <w:trPr>
          <w:trHeight w:val="180"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kg/mg</w:t>
            </w:r>
          </w:p>
        </w:tc>
        <w:tc>
          <w:tcPr>
            <w:tcW w:w="211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c>
          <w:tcPr>
            <w:tcW w:w="1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r>
    </w:tbl>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w:t>
      </w:r>
      <w:hyperlink r:id="rId89">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90">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val="false"/>
          <w:i w:val="false"/>
          <w:color w:val="000000"/>
          <w:sz w:val="22"/>
        </w:rPr>
        <w:t>**Dermal exposure rate is based on 2,800 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exposed skin on a child with 0.2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soil adhering to the child’s skin and 5,700 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exposed skin on an adult with 0.07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soil adhering to the adult’s skin per each dermal exposure event. A dermal exposure event is assumed to be one event per day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105.205(6)</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surface water. </w:t>
      </w:r>
      <w:r>
        <w:rPr>
          <w:rFonts w:ascii="Times New Roman" w:hAnsi="Times New Roman"/>
          <w:b w:val="false"/>
          <w:i w:val="false"/>
          <w:color w:val="000000"/>
          <w:sz w:val="22"/>
        </w:rPr>
        <w:t xml:space="preserve">Water quality standards pursuant to </w:t>
      </w:r>
      <w:hyperlink r:id="rId91">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 xml:space="preserve"> shall be considered statewide standards for surface water. If a promulgated water quality standard does not exist for a contaminant of concern, the department may establish an appropriate standard in a manner consistent with </w:t>
      </w:r>
      <w:hyperlink r:id="rId92">
        <w:r>
          <w:rPr>
            <w:rStyle w:val="Hyperlink"/>
            <w:rFonts w:ascii="Times New Roman" w:hAnsi="Times New Roman"/>
            <w:b w:val="false"/>
            <w:i w:val="false"/>
            <w:color w:val="000000"/>
            <w:sz w:val="22"/>
          </w:rPr>
          <w:t>567—Chapter 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105.205(7)</w:t>
      </w:r>
      <w:r>
        <w:rPr>
          <w:rFonts w:ascii="Times New Roman" w:hAnsi="Times New Roman"/>
          <w:b w:val="false"/>
          <w:i w:val="false"/>
          <w:color w:val="000000"/>
          <w:sz w:val="22"/>
        </w:rPr>
        <w:t> </w:t>
      </w:r>
      <w:r>
        <w:rPr>
          <w:rFonts w:ascii="Times New Roman" w:hAnsi="Times New Roman"/>
          <w:b w:val="false"/>
          <w:i/>
          <w:color w:val="000000"/>
          <w:sz w:val="22"/>
        </w:rPr>
        <w:t xml:space="preserve">Statewide standards for air. </w:t>
      </w:r>
      <w:r>
        <w:rPr>
          <w:rFonts w:ascii="Times New Roman" w:hAnsi="Times New Roman"/>
          <w:b w:val="false"/>
          <w:i w:val="false"/>
          <w:color w:val="000000"/>
          <w:sz w:val="22"/>
        </w:rPr>
        <w:t xml:space="preserve">Ambient air quality standards pursuant to </w:t>
      </w:r>
      <w:hyperlink r:id="rId93">
        <w:r>
          <w:rPr>
            <w:rStyle w:val="Hyperlink"/>
            <w:rFonts w:ascii="Times New Roman" w:hAnsi="Times New Roman"/>
            <w:b w:val="false"/>
            <w:i w:val="false"/>
            <w:color w:val="000000"/>
            <w:sz w:val="22"/>
          </w:rPr>
          <w:t>567—Chapter 22</w:t>
        </w:r>
      </w:hyperlink>
      <w:r>
        <w:rPr>
          <w:rFonts w:ascii="Times New Roman" w:hAnsi="Times New Roman"/>
          <w:b w:val="false"/>
          <w:i w:val="false"/>
          <w:color w:val="000000"/>
          <w:sz w:val="22"/>
        </w:rPr>
        <w:t xml:space="preserve"> constitute statewide standards for air. Air emission sources must meet air quality emission standards as set forth in </w:t>
      </w:r>
      <w:hyperlink r:id="rId94">
        <w:r>
          <w:rPr>
            <w:rStyle w:val="Hyperlink"/>
            <w:rFonts w:ascii="Times New Roman" w:hAnsi="Times New Roman"/>
            <w:b w:val="false"/>
            <w:i w:val="false"/>
            <w:color w:val="000000"/>
            <w:sz w:val="22"/>
          </w:rPr>
          <w:t>567—Chapters 21</w:t>
        </w:r>
      </w:hyperlink>
      <w:r>
        <w:rPr>
          <w:rFonts w:ascii="Times New Roman" w:hAnsi="Times New Roman"/>
          <w:b w:val="false"/>
          <w:i w:val="false"/>
          <w:color w:val="000000"/>
          <w:sz w:val="22"/>
        </w:rPr>
        <w:t xml:space="preserve"> through </w:t>
      </w:r>
      <w:hyperlink r:id="rId95">
        <w:r>
          <w:rPr>
            <w:rStyle w:val="Hyperlink"/>
            <w:rFonts w:ascii="Times New Roman" w:hAnsi="Times New Roman"/>
            <w:b w:val="false"/>
            <w:i w:val="false"/>
            <w:color w:val="000000"/>
            <w:sz w:val="22"/>
          </w:rPr>
          <w:t>33</w:t>
        </w:r>
      </w:hyperlink>
      <w:r>
        <w:rPr>
          <w:rFonts w:ascii="Times New Roman" w:hAnsi="Times New Roman"/>
          <w:b w:val="false"/>
          <w:i w:val="false"/>
          <w:color w:val="000000"/>
          <w:sz w:val="22"/>
        </w:rPr>
        <w:t xml:space="preserve"> inclusively, as applicable. Any relevant air quality standard that is subsequently promulgated by statute or rule shall become a statewide standard for air upon the effective date of adoption by the state. In the absence of applicable, adopted standards, site-specific air standards must be met, in accordance with </w:t>
      </w:r>
      <w:hyperlink r:id="rId96">
        <w:r>
          <w:rPr>
            <w:rStyle w:val="Hyperlink"/>
            <w:rFonts w:ascii="Times New Roman" w:hAnsi="Times New Roman"/>
            <w:b w:val="false"/>
            <w:i w:val="false"/>
            <w:color w:val="000000"/>
            <w:sz w:val="22"/>
          </w:rPr>
          <w:t>105.206(9)</w:t>
        </w:r>
      </w:hyperlink>
      <w:r>
        <w:rPr>
          <w:rFonts w:ascii="Times New Roman" w:hAnsi="Times New Roman"/>
          <w:b w:val="false"/>
          <w:i w:val="false"/>
          <w:color w:val="000000"/>
          <w:sz w:val="22"/>
        </w:rPr>
        <w:t>, when air quality issues are addressed at a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105.205(8)</w:t>
      </w:r>
      <w:r>
        <w:rPr>
          <w:rFonts w:ascii="Times New Roman" w:hAnsi="Times New Roman"/>
          <w:b w:val="false"/>
          <w:i w:val="false"/>
          <w:color w:val="000000"/>
          <w:sz w:val="22"/>
        </w:rPr>
        <w:t> </w:t>
      </w:r>
      <w:r>
        <w:rPr>
          <w:rFonts w:ascii="Times New Roman" w:hAnsi="Times New Roman"/>
          <w:b w:val="false"/>
          <w:i/>
          <w:color w:val="000000"/>
          <w:sz w:val="22"/>
        </w:rPr>
        <w:t xml:space="preserve">Point of exposure for statewide standards. </w:t>
      </w:r>
      <w:r>
        <w:rPr>
          <w:rFonts w:ascii="Times New Roman" w:hAnsi="Times New Roman"/>
          <w:b w:val="false"/>
          <w:i w:val="false"/>
          <w:color w:val="000000"/>
          <w:sz w:val="22"/>
        </w:rPr>
        <w:t>The point of exposure associated with the use of only statewide standards in the determination of compliance will be assumed to be anywhere and everywhere, except for surface water. The point of exposure associated with the use of statewide standards for surface water will be assumed to be the point of groundwater or other site runoff immediately before it discharges to the surface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105.205(9)</w:t>
      </w:r>
      <w:r>
        <w:rPr>
          <w:rFonts w:ascii="Times New Roman" w:hAnsi="Times New Roman"/>
          <w:b w:val="false"/>
          <w:i w:val="false"/>
          <w:color w:val="000000"/>
          <w:sz w:val="22"/>
        </w:rPr>
        <w:t> </w:t>
      </w:r>
      <w:r>
        <w:rPr>
          <w:rFonts w:ascii="Times New Roman" w:hAnsi="Times New Roman"/>
          <w:b w:val="false"/>
          <w:i/>
          <w:color w:val="000000"/>
          <w:sz w:val="22"/>
        </w:rPr>
        <w:t xml:space="preserve">Practical quantification limits. </w:t>
      </w:r>
      <w:r>
        <w:rPr>
          <w:rFonts w:ascii="Times New Roman" w:hAnsi="Times New Roman"/>
          <w:b w:val="false"/>
          <w:i w:val="false"/>
          <w:color w:val="000000"/>
          <w:sz w:val="22"/>
        </w:rPr>
        <w:t>In no case will the statewide standard be less than the practical quantification limit,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105.205(10)</w:t>
      </w:r>
      <w:r>
        <w:rPr>
          <w:rFonts w:ascii="Times New Roman" w:hAnsi="Times New Roman"/>
          <w:b w:val="false"/>
          <w:i w:val="false"/>
          <w:color w:val="000000"/>
          <w:sz w:val="22"/>
        </w:rPr>
        <w:t> </w:t>
      </w:r>
      <w:r>
        <w:rPr>
          <w:rFonts w:ascii="Times New Roman" w:hAnsi="Times New Roman"/>
          <w:b w:val="false"/>
          <w:i/>
          <w:color w:val="000000"/>
          <w:sz w:val="22"/>
        </w:rPr>
        <w:t xml:space="preserve">Maintenance of statewide standards. </w:t>
      </w:r>
      <w:r>
        <w:rPr>
          <w:rFonts w:ascii="Times New Roman" w:hAnsi="Times New Roman"/>
          <w:b w:val="false"/>
          <w:i w:val="false"/>
          <w:color w:val="000000"/>
          <w:sz w:val="22"/>
        </w:rPr>
        <w:t xml:space="preserve">The toxicity values, absorption factors for dermal exposure to soils, and promulgated standards that are a basis for statewide standards are subject to periodic revision due to actions not governed under this rule. The department in conjunction with the HHS will maintain a current list of toxicity values, absorption factors for dermal exposure to soils, target organs for cumulative noncarcinogenic health risks, promulgated standards, and the resultant statewide standards that will be readily available to the public. This guidance document will reference all the sources of the information. In the absence of a dermal slope factor or a dermal reference dose for a chemical, the oral slope factor or oral reference dose will be used with adjustments made to account for differences in oral and dermal absorption rates in accordance with current EPA guidance. Statewide standards for individual sites will be locked in at the beginning of the site assessment process pursuant to </w:t>
      </w:r>
      <w:hyperlink r:id="rId97">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 xml:space="preserve">(455H). If a statewide standard does not exist for a chemical, it will be the department’s responsibility to establish a statewide standard, pursuant to </w:t>
      </w:r>
      <w:hyperlink r:id="rId98">
        <w:r>
          <w:rPr>
            <w:rStyle w:val="Hyperlink"/>
            <w:rFonts w:ascii="Times New Roman" w:hAnsi="Times New Roman"/>
            <w:b w:val="false"/>
            <w:i w:val="false"/>
            <w:color w:val="000000"/>
            <w:sz w:val="22"/>
          </w:rPr>
          <w:t>105.205(4)</w:t>
        </w:r>
      </w:hyperlink>
      <w:r>
        <w:rPr>
          <w:rFonts w:ascii="Times New Roman" w:hAnsi="Times New Roman"/>
          <w:b w:val="false"/>
          <w:i w:val="false"/>
          <w:color w:val="000000"/>
          <w:sz w:val="22"/>
        </w:rPr>
        <w:t xml:space="preserve"> and </w:t>
      </w:r>
      <w:hyperlink r:id="rId99">
        <w:r>
          <w:rPr>
            <w:rStyle w:val="Hyperlink"/>
            <w:rFonts w:ascii="Times New Roman" w:hAnsi="Times New Roman"/>
            <w:b w:val="false"/>
            <w:i w:val="false"/>
            <w:color w:val="000000"/>
            <w:sz w:val="22"/>
          </w:rPr>
          <w:t>105.205(5)</w:t>
        </w:r>
      </w:hyperlink>
      <w:r>
        <w:rPr>
          <w:rFonts w:ascii="Times New Roman" w:hAnsi="Times New Roman"/>
          <w:b w:val="false"/>
          <w:i w:val="false"/>
          <w:color w:val="000000"/>
          <w:sz w:val="22"/>
        </w:rPr>
        <w:t>, for groundwater and soil, and to add the newly established statewide standard to the comprehensive list of statewide standards in the guidance document maintained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567—105.206</w:t>
      </w:r>
      <w:r>
        <w:rPr>
          <w:rFonts w:ascii="Times New Roman" w:hAnsi="Times New Roman"/>
          <w:b/>
          <w:i w:val="false"/>
          <w:color w:val="000000"/>
          <w:sz w:val="22"/>
        </w:rPr>
        <w:t xml:space="preserve">(455H) </w:t>
      </w:r>
      <w:r>
        <w:rPr>
          <w:rFonts w:ascii="Times New Roman" w:hAnsi="Times New Roman"/>
          <w:b/>
          <w:i w:val="false"/>
          <w:color w:val="000000"/>
          <w:sz w:val="22"/>
        </w:rPr>
        <w:t xml:space="preserve">Site-specific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As opposed to statewide standards, site-specific standards are derived by applying exposure and risk assumptions applicable to the conditions at a particular site. Like statewide standards, site-specific standards must always be shown to be protective of public health and safety and the environment. Statewide standards may be used in combination with site-specific standards to address different exposure pathways. Site-specific standards may be required to address exposure pathways that the department determines must be evaluated to be protective of human health, safety and the environment and for which statewide standards have not been established under </w:t>
      </w:r>
      <w:hyperlink r:id="rId100">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(455H). Site-specific standards may involve development of target levels for contaminants of concern based on site-specific exposure assumptions for use in lieu of background or statewide standards. Site-specific standards may also include consideration of the actual or potential location where exposure to contaminants occurs or may occur, the likelihood of an exposure occurring, and the overall magnitude and extent of contamination. Site-specific standards may involve use of site-specific target levels for contaminants of concern alone or in conjunction with other site-specific criteria, such as the location where the standard is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105.206(2)</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establishes a minimum protocol that must be met at all enrolled sites that have not established compliance by application of background or statewide standards. Groundwater ingestion and soil ingestion pathway standards under this rule must be evaluated. Surface water and air quality standards under </w:t>
      </w:r>
      <w:hyperlink r:id="rId101">
        <w:r>
          <w:rPr>
            <w:rStyle w:val="Hyperlink"/>
            <w:rFonts w:ascii="Times New Roman" w:hAnsi="Times New Roman"/>
            <w:b w:val="false"/>
            <w:i w:val="false"/>
            <w:color w:val="000000"/>
            <w:sz w:val="22"/>
          </w:rPr>
          <w:t>105.206(8)</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105.206(9)</w:t>
        </w:r>
      </w:hyperlink>
      <w:r>
        <w:rPr>
          <w:rFonts w:ascii="Times New Roman" w:hAnsi="Times New Roman"/>
          <w:b w:val="false"/>
          <w:i w:val="false"/>
          <w:color w:val="000000"/>
          <w:sz w:val="22"/>
        </w:rPr>
        <w:t xml:space="preserve"> must be met whenever exposure concerns are evident and the participant or the department determines these pathways may present an unacceptable risk for current or future exposures. This rule is not intended to preclude the department or the participant from addressing other exposure pathways, and the department expressly reserves the right to require evaluation of other exposure pathways and compliance with site-specific standards developed for them, such as dermal contact, ingestion of vegetables containing contaminants from soil or irrigation water, migration of contaminants from groundwater or soil into water distribution lines or into air in a confined space, migration of contaminants from soil to groundwater, and migration of contaminants in a nonprotected groundwater source to a protected groundwater source. Participants must establish compliance with standards applicable to all exposure pathways required by the department under this rule in order to qualify for no further action classification under </w:t>
      </w:r>
      <w:hyperlink r:id="rId103">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 xml:space="preserve">(455H) unless granted a waiver as provided in Iowa Code section </w:t>
      </w:r>
      <w:hyperlink r:id="rId104">
        <w:r>
          <w:rPr>
            <w:rStyle w:val="Hyperlink"/>
            <w:rFonts w:ascii="Times New Roman" w:hAnsi="Times New Roman"/>
            <w:b w:val="false"/>
            <w:i w:val="false"/>
            <w:color w:val="000000"/>
            <w:sz w:val="22"/>
          </w:rPr>
          <w:t>455H.205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Site-specific standards are subject to the approval of the department. Assurances in the form of technological or institutional controls in accordance with </w:t>
      </w:r>
      <w:hyperlink r:id="rId105">
        <w:r>
          <w:rPr>
            <w:rStyle w:val="Hyperlink"/>
            <w:rFonts w:ascii="Times New Roman" w:hAnsi="Times New Roman"/>
            <w:b w:val="false"/>
            <w:i w:val="false"/>
            <w:color w:val="000000"/>
            <w:sz w:val="22"/>
          </w:rPr>
          <w:t>567—105.207</w:t>
        </w:r>
      </w:hyperlink>
      <w:r>
        <w:rPr>
          <w:rFonts w:ascii="Times New Roman" w:hAnsi="Times New Roman"/>
          <w:b w:val="false"/>
          <w:i w:val="false"/>
          <w:color w:val="000000"/>
          <w:sz w:val="22"/>
        </w:rPr>
        <w:t>(455H) will be required, as needed, to ensure continued protectiveness of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hyperlink r:id="rId106">
        <w:r>
          <w:rPr>
            <w:rStyle w:val="Hyperlink"/>
            <w:rFonts w:ascii="Times New Roman" w:hAnsi="Times New Roman"/>
            <w:b w:val="false"/>
            <w:i w:val="false"/>
            <w:color w:val="000000"/>
            <w:sz w:val="22"/>
          </w:rPr>
          <w:t>105.206(3)</w:t>
        </w:r>
      </w:hyperlink>
      <w:r>
        <w:rPr>
          <w:rFonts w:ascii="Times New Roman" w:hAnsi="Times New Roman"/>
          <w:b w:val="false"/>
          <w:i w:val="false"/>
          <w:color w:val="000000"/>
          <w:sz w:val="22"/>
        </w:rPr>
        <w:t xml:space="preserve"> through </w:t>
      </w:r>
      <w:hyperlink r:id="rId107">
        <w:r>
          <w:rPr>
            <w:rStyle w:val="Hyperlink"/>
            <w:rFonts w:ascii="Times New Roman" w:hAnsi="Times New Roman"/>
            <w:b w:val="false"/>
            <w:i w:val="false"/>
            <w:color w:val="000000"/>
            <w:sz w:val="22"/>
          </w:rPr>
          <w:t>105.206(11)</w:t>
        </w:r>
      </w:hyperlink>
      <w:r>
        <w:rPr>
          <w:rFonts w:ascii="Times New Roman" w:hAnsi="Times New Roman"/>
          <w:b w:val="false"/>
          <w:i w:val="false"/>
          <w:color w:val="000000"/>
          <w:sz w:val="22"/>
        </w:rPr>
        <w:t xml:space="preserve"> provide options for site-specific standards. The participant may select any of these options, or combinations thereof, for use as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105.206(3)</w:t>
      </w:r>
      <w:r>
        <w:rPr>
          <w:rFonts w:ascii="Times New Roman" w:hAnsi="Times New Roman"/>
          <w:b w:val="false"/>
          <w:i w:val="false"/>
          <w:color w:val="000000"/>
          <w:sz w:val="22"/>
        </w:rPr>
        <w:t> </w:t>
      </w:r>
      <w:r>
        <w:rPr>
          <w:rFonts w:ascii="Times New Roman" w:hAnsi="Times New Roman"/>
          <w:b w:val="false"/>
          <w:i/>
          <w:color w:val="000000"/>
          <w:sz w:val="22"/>
        </w:rPr>
        <w:t xml:space="preserve">Site-specific groundwater point of exposure. </w:t>
      </w:r>
      <w:r>
        <w:rPr>
          <w:rFonts w:ascii="Times New Roman" w:hAnsi="Times New Roman"/>
          <w:b w:val="false"/>
          <w:i w:val="false"/>
          <w:color w:val="000000"/>
          <w:sz w:val="22"/>
        </w:rPr>
        <w:t>A site-specific groundwater standard may be an appropriate target level applied at groundwater points of exposure that are limited by technological or institutional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point of exposure for groundwater is a location within the affected area where a well exists or could be placed (potential point of exposure). Where technological or institutional controls are determined to effectively restrict the placement of groundwater wells, the points of exposure apply outside the area of restriction. A sufficient number of points of exposure may be established for determining compliance such that compliance with appropriate target levels at these points will ensure compliance at all points of exposure. A compliance point of exposure will be a location at the boundary of the area restricted by an institutional control where a groundwater well could be installed that would have the highest contaminant concentration, unless otherwise approved by the department. More than one compliance point of exposure must be established due to uncertainties within the environment such as spatial and temporal variabilities in groundwater flow and contaminant occurrence, unless the department approves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Target levels. The point of exposure target level for drinking water wells is the statewide standard applicable to groundwater ingestion or an alternative site-specific target level approved under </w:t>
      </w:r>
      <w:hyperlink r:id="rId108">
        <w:r>
          <w:rPr>
            <w:rStyle w:val="Hyperlink"/>
            <w:rFonts w:ascii="Times New Roman" w:hAnsi="Times New Roman"/>
            <w:b w:val="false"/>
            <w:i w:val="false"/>
            <w:color w:val="000000"/>
            <w:sz w:val="22"/>
          </w:rPr>
          <w:t>105.206(10)</w:t>
        </w:r>
      </w:hyperlink>
      <w:r>
        <w:rPr>
          <w:rFonts w:ascii="Times New Roman" w:hAnsi="Times New Roman"/>
          <w:b w:val="false"/>
          <w:i w:val="false"/>
          <w:color w:val="000000"/>
          <w:sz w:val="22"/>
        </w:rPr>
        <w:t xml:space="preserve"> or </w:t>
      </w:r>
      <w:hyperlink r:id="rId109">
        <w:r>
          <w:rPr>
            <w:rStyle w:val="Hyperlink"/>
            <w:rFonts w:ascii="Times New Roman" w:hAnsi="Times New Roman"/>
            <w:b w:val="false"/>
            <w:i w:val="false"/>
            <w:color w:val="000000"/>
            <w:sz w:val="22"/>
          </w:rPr>
          <w:t>105.206(11)</w:t>
        </w:r>
      </w:hyperlink>
      <w:r>
        <w:rPr>
          <w:rFonts w:ascii="Times New Roman" w:hAnsi="Times New Roman"/>
          <w:b w:val="false"/>
          <w:i w:val="false"/>
          <w:color w:val="000000"/>
          <w:sz w:val="22"/>
        </w:rPr>
        <w:t xml:space="preserve">. The point of exposure target level for non-drinking water wells is the statewide standard applicable to nonprotected groundwater or an alternative site-specific target level approved under </w:t>
      </w:r>
      <w:hyperlink r:id="rId110">
        <w:r>
          <w:rPr>
            <w:rStyle w:val="Hyperlink"/>
            <w:rFonts w:ascii="Times New Roman" w:hAnsi="Times New Roman"/>
            <w:b w:val="false"/>
            <w:i w:val="false"/>
            <w:color w:val="000000"/>
            <w:sz w:val="22"/>
          </w:rPr>
          <w:t>105.206(10)</w:t>
        </w:r>
      </w:hyperlink>
      <w:r>
        <w:rPr>
          <w:rFonts w:ascii="Times New Roman" w:hAnsi="Times New Roman"/>
          <w:b w:val="false"/>
          <w:i w:val="false"/>
          <w:color w:val="000000"/>
          <w:sz w:val="22"/>
        </w:rPr>
        <w:t xml:space="preserve"> or </w:t>
      </w:r>
      <w:hyperlink r:id="rId111">
        <w:r>
          <w:rPr>
            <w:rStyle w:val="Hyperlink"/>
            <w:rFonts w:ascii="Times New Roman" w:hAnsi="Times New Roman"/>
            <w:b w:val="false"/>
            <w:i w:val="false"/>
            <w:color w:val="000000"/>
            <w:sz w:val="22"/>
          </w:rPr>
          <w:t>105.206(11)</w:t>
        </w:r>
      </w:hyperlink>
      <w:r>
        <w:rPr>
          <w:rFonts w:ascii="Times New Roman" w:hAnsi="Times New Roman"/>
          <w:b w:val="false"/>
          <w:i w:val="false"/>
          <w:color w:val="000000"/>
          <w:sz w:val="22"/>
        </w:rPr>
        <w:t xml:space="preserve">. The point of exposure target level for nonused groundwater meeting the conditions in </w:t>
      </w:r>
      <w:hyperlink r:id="rId112">
        <w:r>
          <w:rPr>
            <w:rStyle w:val="Hyperlink"/>
            <w:rFonts w:ascii="Times New Roman" w:hAnsi="Times New Roman"/>
            <w:b w:val="false"/>
            <w:i w:val="false"/>
            <w:color w:val="000000"/>
            <w:sz w:val="22"/>
          </w:rPr>
          <w:t>105.206(5)</w:t>
        </w:r>
      </w:hyperlink>
      <w:r>
        <w:rPr>
          <w:rFonts w:ascii="Times New Roman" w:hAnsi="Times New Roman"/>
          <w:b w:val="false"/>
          <w:i w:val="false"/>
          <w:color w:val="000000"/>
          <w:sz w:val="22"/>
        </w:rPr>
        <w:t xml:space="preserve"> is the statewide standard for a nonprotected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Nonprotected groundwater sources. A nonprotected groundwater source that is affecting or likely to affect an existing drinking water well shall be required to meet the same site-specific standards, including point of exposure target level(s), as applied to a protected groundwater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conditions can be demonstrated to be stable, predictive techniques in accordance with </w:t>
      </w:r>
      <w:hyperlink r:id="rId113">
        <w:r>
          <w:rPr>
            <w:rStyle w:val="Hyperlink"/>
            <w:rFonts w:ascii="Times New Roman" w:hAnsi="Times New Roman"/>
            <w:b w:val="false"/>
            <w:i w:val="false"/>
            <w:color w:val="000000"/>
            <w:sz w:val="22"/>
          </w:rPr>
          <w:t>105.209(4)</w:t>
        </w:r>
      </w:hyperlink>
      <w:r>
        <w:rPr>
          <w:rFonts w:ascii="Times New Roman" w:hAnsi="Times New Roman"/>
          <w:b w:val="false"/>
          <w:i w:val="false"/>
          <w:color w:val="000000"/>
          <w:sz w:val="22"/>
        </w:rPr>
        <w:t xml:space="preserve"> must be used to determine the future effects of groundwater contamination on existing drinking and non-drinking water wells and to determine the area predicted to exceed the point of exposure target level(s) where wells could be installed. When using predictive techniques, determining the location(s) where the applicable point of exposure target level is expected to be exceeded may involve comparison of the appropriate numerical standard to the predicted contaminant concentration at a passive monitoring well at the groundwater point of exposure. Alternatively, predictive techniques using site-specific models pursuant to </w:t>
      </w:r>
      <w:hyperlink r:id="rId114">
        <w:r>
          <w:rPr>
            <w:rStyle w:val="Hyperlink"/>
            <w:rFonts w:ascii="Times New Roman" w:hAnsi="Times New Roman"/>
            <w:b w:val="false"/>
            <w:i w:val="false"/>
            <w:color w:val="000000"/>
            <w:sz w:val="22"/>
          </w:rPr>
          <w:t>105.209(4)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involve simulation of pumping at a well located at the point of exposure, in which case the pumping rate used in the simulation shall be the rate that is reasonably possible for the area that yields water with the highest contaminant concentration. In absence of site-specific justification for doing otherwise, long-term pumping will be assumed to be at a rate of 100 gallons per day; the sustainable yield, if less than 100 gallons per day; or a reasonable, higher rate, if such a rate results in higher contaminant concentration.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Institutional controls. For a protected groundwater source or a nonprotected groundwater source as described in </w:t>
      </w:r>
      <w:hyperlink r:id="rId115">
        <w:r>
          <w:rPr>
            <w:rStyle w:val="Hyperlink"/>
            <w:rFonts w:ascii="Times New Roman" w:hAnsi="Times New Roman"/>
            <w:b w:val="false"/>
            <w:i w:val="false"/>
            <w:color w:val="000000"/>
            <w:sz w:val="22"/>
          </w:rPr>
          <w:t>105.206(3)</w:t>
        </w:r>
      </w:hyperlink>
      <w:r>
        <w:rPr>
          <w:rFonts w:ascii="Times New Roman" w:hAnsi="Times New Roman"/>
          <w:b w:val="false"/>
          <w:i/>
          <w:color w:val="000000"/>
          <w:sz w:val="22"/>
        </w:rPr>
        <w:t>“b,”</w:t>
      </w:r>
      <w:r>
        <w:rPr>
          <w:rFonts w:ascii="Times New Roman" w:hAnsi="Times New Roman"/>
          <w:b w:val="false"/>
          <w:i w:val="false"/>
          <w:color w:val="000000"/>
          <w:sz w:val="22"/>
        </w:rPr>
        <w:t xml:space="preserve"> institutional controls must be shown to effectively prohibit the installation of wells for the period of time in which contaminant concentrations might otherwise be expected to result in an exceedance of the appropriate target levels. For a nonprotected groundwater not described in </w:t>
      </w:r>
      <w:hyperlink r:id="rId116">
        <w:r>
          <w:rPr>
            <w:rStyle w:val="Hyperlink"/>
            <w:rFonts w:ascii="Times New Roman" w:hAnsi="Times New Roman"/>
            <w:b w:val="false"/>
            <w:i w:val="false"/>
            <w:color w:val="000000"/>
            <w:sz w:val="22"/>
          </w:rPr>
          <w:t>105.206(3)</w:t>
        </w:r>
      </w:hyperlink>
      <w:r>
        <w:rPr>
          <w:rFonts w:ascii="Times New Roman" w:hAnsi="Times New Roman"/>
          <w:b w:val="false"/>
          <w:i/>
          <w:color w:val="000000"/>
          <w:sz w:val="22"/>
        </w:rPr>
        <w:t>“b,”</w:t>
      </w:r>
      <w:r>
        <w:rPr>
          <w:rFonts w:ascii="Times New Roman" w:hAnsi="Times New Roman"/>
          <w:b w:val="false"/>
          <w:i w:val="false"/>
          <w:color w:val="000000"/>
          <w:sz w:val="22"/>
        </w:rPr>
        <w:t xml:space="preserve"> a less stringent standard of effectiveness as well as the type of future well installation to be restricted may be utilized for those areas of potential concern. Unless there is a history of usage of what might otherwise be considered nonprotected groundwater or there is uncertainty as to the uniformity in the hydraulic characteristics of the nonprotected groundwater source, notice to the authority responsible for permitting private wells under 567—Chapters </w:t>
      </w:r>
      <w:hyperlink r:id="rId117">
        <w:r>
          <w:rPr>
            <w:rStyle w:val="Hyperlink"/>
            <w:rFonts w:ascii="Times New Roman" w:hAnsi="Times New Roman"/>
            <w:b w:val="false"/>
            <w:i w:val="false"/>
            <w:color w:val="000000"/>
            <w:sz w:val="22"/>
          </w:rPr>
          <w:t>39</w:t>
        </w:r>
      </w:hyperlink>
      <w:r>
        <w:rPr>
          <w:rFonts w:ascii="Times New Roman" w:hAnsi="Times New Roman"/>
          <w:b w:val="false"/>
          <w:i w:val="false"/>
          <w:color w:val="000000"/>
          <w:sz w:val="22"/>
        </w:rPr>
        <w:t xml:space="preserve"> and </w:t>
      </w:r>
      <w:hyperlink r:id="rId118">
        <w:r>
          <w:rPr>
            <w:rStyle w:val="Hyperlink"/>
            <w:rFonts w:ascii="Times New Roman" w:hAnsi="Times New Roman"/>
            <w:b w:val="false"/>
            <w:i w:val="false"/>
            <w:color w:val="000000"/>
            <w:sz w:val="22"/>
          </w:rPr>
          <w:t>49</w:t>
        </w:r>
      </w:hyperlink>
      <w:r>
        <w:rPr>
          <w:rFonts w:ascii="Times New Roman" w:hAnsi="Times New Roman"/>
          <w:b w:val="false"/>
          <w:i w:val="false"/>
          <w:color w:val="000000"/>
          <w:sz w:val="22"/>
        </w:rPr>
        <w:t xml:space="preserve"> may be adequate, especially if combined with a municipal or county ordinance prohibiting installation of private wells based on the availability of a public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105.206(4)</w:t>
      </w:r>
      <w:r>
        <w:rPr>
          <w:rFonts w:ascii="Times New Roman" w:hAnsi="Times New Roman"/>
          <w:b w:val="false"/>
          <w:i w:val="false"/>
          <w:color w:val="000000"/>
          <w:sz w:val="22"/>
        </w:rPr>
        <w:t> </w:t>
      </w:r>
      <w:r>
        <w:rPr>
          <w:rFonts w:ascii="Times New Roman" w:hAnsi="Times New Roman"/>
          <w:b w:val="false"/>
          <w:i/>
          <w:color w:val="000000"/>
          <w:sz w:val="22"/>
        </w:rPr>
        <w:t xml:space="preserve">Site-specific groundwater point of compliance. </w:t>
      </w:r>
      <w:r>
        <w:rPr>
          <w:rFonts w:ascii="Times New Roman" w:hAnsi="Times New Roman"/>
          <w:b w:val="false"/>
          <w:i w:val="false"/>
          <w:color w:val="000000"/>
          <w:sz w:val="22"/>
        </w:rPr>
        <w:t xml:space="preserve">A site-specific standard may be established for a site-specific groundwater point of compliance that is different from a compliance point of exposure. A site-specific groundwater point of compliance must be used in conjunction with all groundwater compliance points of exposure pursuant to </w:t>
      </w:r>
      <w:hyperlink r:id="rId119">
        <w:r>
          <w:rPr>
            <w:rStyle w:val="Hyperlink"/>
            <w:rFonts w:ascii="Times New Roman" w:hAnsi="Times New Roman"/>
            <w:b w:val="false"/>
            <w:i w:val="false"/>
            <w:color w:val="000000"/>
            <w:sz w:val="22"/>
          </w:rPr>
          <w:t>105.206(3)</w:t>
        </w:r>
      </w:hyperlink>
      <w:r>
        <w:rPr>
          <w:rFonts w:ascii="Times New Roman" w:hAnsi="Times New Roman"/>
          <w:b w:val="false"/>
          <w:i w:val="false"/>
          <w:color w:val="000000"/>
          <w:sz w:val="22"/>
        </w:rPr>
        <w:t xml:space="preserve"> to provide an alternative monitoring location. Target levels for contaminants of concern at a site-specific groundwater point of compliance must be established using predictive techniques as specified in </w:t>
      </w:r>
      <w:hyperlink r:id="rId120">
        <w:r>
          <w:rPr>
            <w:rStyle w:val="Hyperlink"/>
            <w:rFonts w:ascii="Times New Roman" w:hAnsi="Times New Roman"/>
            <w:b w:val="false"/>
            <w:i w:val="false"/>
            <w:color w:val="000000"/>
            <w:sz w:val="22"/>
          </w:rPr>
          <w:t>105.209(4)</w:t>
        </w:r>
      </w:hyperlink>
      <w:r>
        <w:rPr>
          <w:rFonts w:ascii="Times New Roman" w:hAnsi="Times New Roman"/>
          <w:b w:val="false"/>
          <w:i w:val="false"/>
          <w:color w:val="000000"/>
          <w:sz w:val="22"/>
        </w:rPr>
        <w:t>. A target level established for a groundwater point of compliance must ensure that the appropriate target level at the groundwater compliance points of exposure will be achieved. A groundwater point of compliance shall be located on the contaminant migration path from the contaminant source to the point of exposure to the maximum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105.206(5)</w:t>
      </w:r>
      <w:r>
        <w:rPr>
          <w:rFonts w:ascii="Times New Roman" w:hAnsi="Times New Roman"/>
          <w:b w:val="false"/>
          <w:i w:val="false"/>
          <w:color w:val="000000"/>
          <w:sz w:val="22"/>
        </w:rPr>
        <w:t> </w:t>
      </w:r>
      <w:r>
        <w:rPr>
          <w:rFonts w:ascii="Times New Roman" w:hAnsi="Times New Roman"/>
          <w:b w:val="false"/>
          <w:i/>
          <w:color w:val="000000"/>
          <w:sz w:val="22"/>
        </w:rPr>
        <w:t xml:space="preserve">Nonused groundwater in a protected water source.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Statewide standards for groundwater in a nonprotected groundwater source, pursuant to </w:t>
      </w:r>
      <w:hyperlink r:id="rId121">
        <w:r>
          <w:rPr>
            <w:rStyle w:val="Hyperlink"/>
            <w:rFonts w:ascii="Times New Roman" w:hAnsi="Times New Roman"/>
            <w:b w:val="false"/>
            <w:i w:val="false"/>
            <w:color w:val="000000"/>
            <w:sz w:val="22"/>
          </w:rPr>
          <w:t>105.205(4)</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used as target levels for contaminants in an otherwise protected groundwater source when groundwater in the affected area is not used and is not likely to be used in the future in accordance with the following. It must be demonstrated to the satisfaction of the department that contaminants from the enrolled site do not currently, and likely will not in the future, have an impact on any existing water supply well. Any detection, or predicted detection above the practical quantification limit, of a chemical that can be attributed to a release from the enrolled site will be considered to constitute an impact. In addition, it must be demonstrated to the satisfaction of the department that the impacted or potentially impacted aquifer is not a locally significant water resource. Factors that will go into this determination may include but are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Existence of a nonimpacted public water supply in the potentially affected area;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General availability of other water resources in the vicinity;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Plans for development of public water supplies in the vicinity;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Potential for use of the impacted aquifer as a water supply (e.g., yield, natural water quality); and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Identification of the aquifer(s) commonly used for water supply in the vicinity.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local ordinance prohibiting installation of private drinking water wells or notification to the local water utility and water permitting authority, or both, may constitute acceptable institutional controls for site-specific standards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target levels that may be used in accordance with this subrule are based solely on groundwater ingestion. Compliance with this site-specific standard will not guarantee that contaminants in groundwater may not cause unacceptable exposure via other pathways (e.g., groundwater to air in a confined space, groundwater to surface water, or groundwater to a water distribution line).</w:t>
      </w:r>
    </w:p>
    <w:p>
      <w:pPr>
        <w:spacing w:before="0" w:after="0"/>
        <w:ind w:left="120"/>
        <w:jc w:val="both"/>
      </w:pPr>
      <w:r>
        <w:rPr>
          <w:rFonts w:ascii="Times New Roman" w:hAnsi="Times New Roman"/>
          <w:b/>
          <w:i w:val="false"/>
          <w:color w:val="000000"/>
          <w:sz w:val="22"/>
        </w:rPr>
        <w:t>105.206(6)</w:t>
      </w:r>
      <w:r>
        <w:rPr>
          <w:rFonts w:ascii="Times New Roman" w:hAnsi="Times New Roman"/>
          <w:b w:val="false"/>
          <w:i w:val="false"/>
          <w:color w:val="000000"/>
          <w:sz w:val="22"/>
        </w:rPr>
        <w:t> </w:t>
      </w:r>
      <w:r>
        <w:rPr>
          <w:rFonts w:ascii="Times New Roman" w:hAnsi="Times New Roman"/>
          <w:b w:val="false"/>
          <w:i/>
          <w:color w:val="000000"/>
          <w:sz w:val="22"/>
        </w:rPr>
        <w:t xml:space="preserve">Site-specific soil standards based on land use and soil depth. </w:t>
      </w:r>
      <w:r>
        <w:rPr>
          <w:rFonts w:ascii="Times New Roman" w:hAnsi="Times New Roman"/>
          <w:b w:val="false"/>
          <w:i w:val="false"/>
          <w:color w:val="000000"/>
          <w:sz w:val="22"/>
        </w:rPr>
        <w:t xml:space="preserve">Site-specific soil standards based on land use and soil depth in conjunction with institutional controls may be used. Predetermined site-specific soil exposures based on land use and soil depth are provided in the following paragraphs. Lists of resulting site-specific soil standards for individual contaminants for these land-use and soil-depth categories will be maintained by the department in a guidance document and made readily available to the public. Use of these site-specific soil standards must be supported by appropriate institutional controls. Site-specific soil standards based on land use and soil depth, as described herein, address ingestion of and dermal contact with soil. Compliance with these standards will not guarantee that contaminants in soils may not cause unacceptable exposure via other pathways (e.g., ecological exposure, soil to groundwater, subsurface movement of vapors from soil to indoor air). In addition, the risk factors that form the bases for site-specific soil standards for individual contaminants, with the exception of some Group C chemicals, are the same as acceptable cumulative risk factors allowed for exposure to multiple contaminants in the same medium and multiple media. Therefore, compliance with site-specific soil standards for individual contaminants may not result in compliance with cumulative risk requirements pursuant to </w:t>
      </w:r>
      <w:hyperlink r:id="rId122">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Deep soil in a residential land-use area. </w:t>
      </w:r>
      <w:r>
        <w:rPr>
          <w:rFonts w:ascii="Times New Roman" w:hAnsi="Times New Roman"/>
          <w:b w:val="false"/>
          <w:i w:val="false"/>
          <w:color w:val="000000"/>
          <w:sz w:val="22"/>
        </w:rPr>
        <w:t>Site-specific soil standards for deep soils equaling ten times the statewide standard for soils, except for lead, may be used. The site-specific standard for lead in deep soil in a residential land-use area shall be calculated using the EPA’s Exposure Model for Assessing Risk Associated with Adult Exposures to Lead in Soil (U.S. EPA, 1996). Soils at a depth of ten feet and greater will normally be classified as deep soils. The department may deny the use of a deep soil standard associated with a residential land use or require a modification to the standard due to site-specific considerations including topography, development potential, and actual development plans. The use of a site-specific standard for deep soil in a residential land-use area shall be supported by an institutional control that permanently records the existence of contaminants above statewide standards in deep soils and restricts excavation resulting in deep soils being placed on the surface.</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Nonresidential land use. </w:t>
      </w:r>
      <w:r>
        <w:rPr>
          <w:rFonts w:ascii="Times New Roman" w:hAnsi="Times New Roman"/>
          <w:b w:val="false"/>
          <w:i w:val="false"/>
          <w:color w:val="000000"/>
          <w:sz w:val="22"/>
        </w:rPr>
        <w:t>The nonresidential land-use designation will be applicable to areas that are not classified as residential. Site-specific soil standards, except for lead, for nonresidential areas may be based on Formula I using the risk and exposure factors shown in Table III. A value of 1,100 mg/kg may be used as a site-specific soil standard for lead in soils less than 2 feet deep in a nonresidential land-use area. In lieu of this default site-specific lead standard, a site-specific standard for lead in soil less than 2 feet deep may be calculated using the EPA’s Exposure Model for Assessing Risk Associated with Adult Exposures to Lead in Soil (U.S. EPA, 1996). The site-specific standard for lead in soils greater than 2 feet deep in a nonresidential land-use area shall be calculated using the EPA’s Exposure Model for Assessing Risk Associated with Adult Exposures to Lead in Soil (U.S. EPA, 1996). The use of a nonresidential land-use classification must be supported by an environmental protection easement that prevents a change in land use to residential.</w:t>
      </w:r>
    </w:p>
    <w:p>
      <w:pPr>
        <w:spacing w:before="60" w:after="0"/>
        <w:ind w:left="120"/>
        <w:jc w:val="center"/>
      </w:pPr>
      <w:r>
        <w:rPr>
          <w:rFonts w:ascii="Times New Roman" w:hAnsi="Times New Roman"/>
          <w:b w:val="false"/>
          <w:i w:val="false"/>
          <w:color w:val="000000"/>
          <w:sz w:val="22"/>
        </w:rPr>
        <w:t>Table III</w:t>
      </w:r>
    </w:p>
    <w:p>
      <w:pPr>
        <w:spacing w:before="60" w:after="0"/>
        <w:ind w:left="120"/>
        <w:jc w:val="center"/>
      </w:pPr>
      <w:r>
        <w:rPr>
          <w:rFonts w:ascii="Times New Roman" w:hAnsi="Times New Roman"/>
          <w:b w:val="false"/>
          <w:i w:val="false"/>
          <w:color w:val="000000"/>
          <w:sz w:val="22"/>
        </w:rPr>
        <w:t xml:space="preserve">Input Variables for Site-Specific Soil Standards for Individual </w:t>
      </w:r>
      <w:r>
        <w:br/>
      </w:r>
      <w:r>
        <w:rPr>
          <w:rFonts w:ascii="Times New Roman" w:hAnsi="Times New Roman"/>
          <w:b w:val="false"/>
          <w:i w:val="false"/>
          <w:color w:val="000000"/>
          <w:sz w:val="22"/>
        </w:rPr>
        <w:t>Contaminants for Nonresidential Area Land-Use Designation</w:t>
      </w:r>
    </w:p>
    <w:tbl>
      <w:tblPr>
        <w:tblW w:w="0" w:type="auto"/>
        <w:tblCellSpacing w:w="0" w:type="auto"/>
        <w:tblBorders>
          <w:top w:val="none"/>
          <w:left w:val="none"/>
          <w:bottom w:val="none"/>
          <w:right w:val="none"/>
          <w:insideH w:val="none"/>
          <w:insideV w:val="none"/>
        </w:tblBorders>
        <w:tblLayout w:type="fixed"/>
      </w:tblPr>
      <w:tblGrid>
        <w:gridCol w:w="1920"/>
        <w:gridCol w:w="1920"/>
        <w:gridCol w:w="1920"/>
        <w:gridCol w:w="1920"/>
        <w:gridCol w:w="853"/>
        <w:gridCol w:w="1067"/>
      </w:tblGrid>
      <w:tr>
        <w:trPr>
          <w:trHeight w:val="180" w:hRule="atLeast"/>
        </w:trPr>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Parameter</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Units</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Cancer Group</w:t>
            </w:r>
          </w:p>
        </w:tc>
        <w:tc>
          <w:tcPr>
            <w:tcW w:w="0" w:type="auto"/>
            <w:gridSpan w:val="3"/>
            <w:tcBorders/>
            <w:tcMar>
              <w:top w:w="30" w:type="dxa"/>
              <w:left w:w="30" w:type="dxa"/>
              <w:bottom w:w="15" w:type="dxa"/>
              <w:right w:w="30" w:type="dxa"/>
            </w:tcMar>
            <w:vAlign w:val="bottom"/>
          </w:tcPr>
          <w:p>
            <w:pPr>
              <w:spacing w:before="0" w:after="0" w:line="264"/>
              <w:ind w:left="0"/>
              <w:jc w:val="center"/>
            </w:pPr>
            <w:r>
              <w:rPr>
                <w:rFonts w:ascii="Times New Roman" w:hAnsi="Times New Roman"/>
                <w:b w:val="false"/>
                <w:i w:val="false"/>
                <w:color w:val="000000"/>
                <w:sz w:val="14"/>
                <w:u w:val="single"/>
              </w:rPr>
              <w:t>Soil Depth (ft.)</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&lt;2</w:t>
            </w:r>
          </w:p>
        </w:tc>
        <w:tc>
          <w:tcPr>
            <w:tcW w:w="0" w:type="auto"/>
            <w:gridSpan w:val="2"/>
            <w:tcBorders/>
            <w:tcMar>
              <w:top w:w="30" w:type="dxa"/>
              <w:left w:w="30" w:type="dxa"/>
              <w:bottom w:w="15" w:type="dxa"/>
              <w:right w:w="30" w:type="dxa"/>
            </w:tcMar>
            <w:vAlign w:val="bottom"/>
          </w:tcPr>
          <w:p>
            <w:pPr>
              <w:spacing w:before="0" w:after="0" w:line="264"/>
              <w:ind w:left="0"/>
              <w:jc w:val="left"/>
            </w:pPr>
            <w:r>
              <w:rPr>
                <w:rFonts w:ascii="Times New Roman" w:hAnsi="Times New Roman"/>
                <w:b w:val="false"/>
                <w:i w:val="false"/>
                <w:color w:val="000000"/>
                <w:sz w:val="14"/>
                <w:u w:val="single"/>
              </w:rPr>
              <w:t>&gt;2</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 10</w:t>
            </w:r>
            <w:r>
              <w:rPr>
                <w:rFonts w:ascii="Times New Roman" w:hAnsi="Times New Roman"/>
                <w:b w:val="false"/>
                <w:i w:val="false"/>
                <w:color w:val="000000"/>
                <w:sz w:val="14"/>
                <w:vertAlign w:val="superscript"/>
              </w:rPr>
              <w:t>-4</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SF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r>
              <w:rPr>
                <w:rFonts w:ascii="Times New Roman" w:hAnsi="Times New Roman"/>
                <w:b w:val="false"/>
                <w:i w:val="false"/>
                <w:color w:val="000000"/>
                <w:sz w:val="14"/>
                <w:vertAlign w:val="superscript"/>
              </w:rPr>
              <w:t>-1</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 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THQ</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0.1/1</w:t>
            </w:r>
          </w:p>
        </w:tc>
      </w:tr>
      <w:tr>
        <w:trPr>
          <w:trHeight w:val="31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RfD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(mg/kg)/day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AT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 (oral)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Abs (dermal)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unitless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Chem.-spec.</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c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c</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a </w:t>
            </w:r>
            <w:r>
              <w:rPr>
                <w:rFonts w:ascii="Times New Roman" w:hAnsi="Times New Roman"/>
                <w:b w:val="false"/>
                <w:i w:val="false"/>
                <w:color w:val="000000"/>
                <w:sz w:val="14"/>
              </w:rPr>
              <w:t>(oral)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330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ER</w:t>
            </w:r>
            <w:r>
              <w:rPr>
                <w:rFonts w:ascii="Times New Roman" w:hAnsi="Times New Roman"/>
                <w:b w:val="false"/>
                <w:i w:val="false"/>
                <w:color w:val="000000"/>
                <w:sz w:val="14"/>
                <w:vertAlign w:val="subscript"/>
              </w:rPr>
              <w:t xml:space="preserve">a </w:t>
            </w:r>
            <w:r>
              <w:rPr>
                <w:rFonts w:ascii="Times New Roman" w:hAnsi="Times New Roman"/>
                <w:b w:val="false"/>
                <w:i w:val="false"/>
                <w:color w:val="000000"/>
                <w:sz w:val="14"/>
              </w:rPr>
              <w:t>(dermal)</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mg/day</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990**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660**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990**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EF</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days/yr</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225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200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ED</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years</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B</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25</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180"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 D,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BW</w:t>
            </w:r>
            <w:r>
              <w:rPr>
                <w:rFonts w:ascii="Times New Roman" w:hAnsi="Times New Roman"/>
                <w:b w:val="false"/>
                <w:i w:val="false"/>
                <w:color w:val="000000"/>
                <w:sz w:val="14"/>
                <w:vertAlign w:val="subscript"/>
              </w:rPr>
              <w:t>a</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70</w:t>
            </w:r>
          </w:p>
        </w:tc>
      </w:tr>
      <w:tr>
        <w:trPr>
          <w:trHeight w:val="255" w:hRule="atLeast"/>
        </w:trPr>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CF</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kg/mg</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 - E</w:t>
            </w:r>
          </w:p>
        </w:tc>
        <w:tc>
          <w:tcPr>
            <w:tcW w:w="192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c>
          <w:tcPr>
            <w:tcW w:w="0" w:type="auto"/>
            <w:gridSpan w:val="2"/>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w:t>
            </w:r>
            <w:r>
              <w:rPr>
                <w:rFonts w:ascii="Times New Roman" w:hAnsi="Times New Roman"/>
                <w:b w:val="false"/>
                <w:i w:val="false"/>
                <w:color w:val="000000"/>
                <w:sz w:val="14"/>
                <w:vertAlign w:val="superscript"/>
              </w:rPr>
              <w:t>-6</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Oral and dermal factors are the same unless otherwise noted.</w:t>
      </w:r>
    </w:p>
    <w:p>
      <w:pPr>
        <w:spacing w:before="0" w:after="0"/>
        <w:ind w:left="120"/>
        <w:jc w:val="both"/>
      </w:pPr>
      <w:r>
        <w:rPr>
          <w:rFonts w:ascii="Times New Roman" w:hAnsi="Times New Roman"/>
          <w:b w:val="false"/>
          <w:i w:val="false"/>
          <w:color w:val="000000"/>
          <w:sz w:val="22"/>
        </w:rPr>
        <w:t xml:space="preserve">*The risk-based concentration using Formula I for Cancer Group C chemicals that have an SF value established per </w:t>
      </w:r>
      <w:hyperlink r:id="rId123">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the larger of a value based on the risk factor for protection from noncancer health risks with a THQ = 0.1 or the risk factor for protection from cancer health risks. Risk-based concentrations using Formula I for Cancer Group C chemicals that do not have an SF value established per </w:t>
      </w:r>
      <w:hyperlink r:id="rId124">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will be a value based on the risk factor for protection from noncancer health risks with a THQ = 1.</w:t>
      </w:r>
    </w:p>
    <w:p>
      <w:pPr>
        <w:spacing w:before="0" w:after="0"/>
        <w:ind w:left="120"/>
        <w:jc w:val="both"/>
      </w:pPr>
      <w:r>
        <w:rPr>
          <w:rFonts w:ascii="Times New Roman" w:hAnsi="Times New Roman"/>
          <w:b w:val="false"/>
          <w:i w:val="false"/>
          <w:color w:val="000000"/>
          <w:sz w:val="22"/>
        </w:rPr>
        <w:t>**Dermal exposure rate is based on 3,300 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exposed skin on an adult with 0.2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shallow soil adhering to the skin and 0.3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xml:space="preserve"> of deep soil adhering to the skin per each dermal exposure event. A dermal exposure event is assumed to be one event per day of exposure.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105.206(7)</w:t>
      </w:r>
      <w:r>
        <w:rPr>
          <w:rFonts w:ascii="Times New Roman" w:hAnsi="Times New Roman"/>
          <w:b w:val="false"/>
          <w:i w:val="false"/>
          <w:color w:val="000000"/>
          <w:sz w:val="22"/>
        </w:rPr>
        <w:t> </w:t>
      </w:r>
      <w:r>
        <w:rPr>
          <w:rFonts w:ascii="Times New Roman" w:hAnsi="Times New Roman"/>
          <w:b w:val="false"/>
          <w:i/>
          <w:color w:val="000000"/>
          <w:sz w:val="22"/>
        </w:rPr>
        <w:t xml:space="preserve">Site-specific cumulative risk for residential exposures to soil. </w:t>
      </w:r>
      <w:r>
        <w:rPr>
          <w:rFonts w:ascii="Times New Roman" w:hAnsi="Times New Roman"/>
          <w:b w:val="false"/>
          <w:i w:val="false"/>
          <w:color w:val="000000"/>
          <w:sz w:val="22"/>
        </w:rPr>
        <w:t xml:space="preserve">A cumulative risk standard may be used as a site-specific standard for soil in lieu of statewide standards that are provided in </w:t>
      </w:r>
      <w:hyperlink r:id="rId125">
        <w:r>
          <w:rPr>
            <w:rStyle w:val="Hyperlink"/>
            <w:rFonts w:ascii="Times New Roman" w:hAnsi="Times New Roman"/>
            <w:b w:val="false"/>
            <w:i w:val="false"/>
            <w:color w:val="000000"/>
            <w:sz w:val="22"/>
          </w:rPr>
          <w:t>105.205(5)</w:t>
        </w:r>
      </w:hyperlink>
      <w:r>
        <w:rPr>
          <w:rFonts w:ascii="Times New Roman" w:hAnsi="Times New Roman"/>
          <w:b w:val="false"/>
          <w:i w:val="false"/>
          <w:color w:val="000000"/>
          <w:sz w:val="22"/>
        </w:rPr>
        <w:t xml:space="preserve"> for individual chemicals and soil. Cumulative risk will be determined using the toxicity values and exposure factors (i.e., the input variables less TR and THQ) from Table II in </w:t>
      </w:r>
      <w:hyperlink r:id="rId126">
        <w:r>
          <w:rPr>
            <w:rStyle w:val="Hyperlink"/>
            <w:rFonts w:ascii="Times New Roman" w:hAnsi="Times New Roman"/>
            <w:b w:val="false"/>
            <w:i w:val="false"/>
            <w:color w:val="000000"/>
            <w:sz w:val="22"/>
          </w:rPr>
          <w:t>105.205(5)</w:t>
        </w:r>
      </w:hyperlink>
      <w:r>
        <w:rPr>
          <w:rFonts w:ascii="Times New Roman" w:hAnsi="Times New Roman"/>
          <w:b w:val="false"/>
          <w:i w:val="false"/>
          <w:color w:val="000000"/>
          <w:sz w:val="22"/>
        </w:rPr>
        <w:t xml:space="preserve">. Criteria for compliance with the cumulative risk standard are specified in </w:t>
      </w:r>
      <w:hyperlink r:id="rId127">
        <w:r>
          <w:rPr>
            <w:rStyle w:val="Hyperlink"/>
            <w:rFonts w:ascii="Times New Roman" w:hAnsi="Times New Roman"/>
            <w:b w:val="false"/>
            <w:i w:val="false"/>
            <w:color w:val="000000"/>
            <w:sz w:val="22"/>
          </w:rPr>
          <w:t>105.210(7)</w:t>
        </w:r>
      </w:hyperlink>
      <w:r>
        <w:rPr>
          <w:rFonts w:ascii="Times New Roman" w:hAnsi="Times New Roman"/>
          <w:b w:val="false"/>
          <w:i w:val="false"/>
          <w:color w:val="000000"/>
          <w:sz w:val="22"/>
        </w:rPr>
        <w:t>. No institutional control will be required with the use of this site-specific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105.206(8)</w:t>
      </w:r>
      <w:r>
        <w:rPr>
          <w:rFonts w:ascii="Times New Roman" w:hAnsi="Times New Roman"/>
          <w:b w:val="false"/>
          <w:i w:val="false"/>
          <w:color w:val="000000"/>
          <w:sz w:val="22"/>
        </w:rPr>
        <w:t> </w:t>
      </w:r>
      <w:r>
        <w:rPr>
          <w:rFonts w:ascii="Times New Roman" w:hAnsi="Times New Roman"/>
          <w:b w:val="false"/>
          <w:i/>
          <w:color w:val="000000"/>
          <w:sz w:val="22"/>
        </w:rPr>
        <w:t xml:space="preserve">Site-specific surface water standards. </w:t>
      </w:r>
      <w:r>
        <w:rPr>
          <w:rFonts w:ascii="Times New Roman" w:hAnsi="Times New Roman"/>
          <w:b w:val="false"/>
          <w:i w:val="false"/>
          <w:color w:val="000000"/>
          <w:sz w:val="22"/>
        </w:rPr>
        <w:t xml:space="preserve">The department will establish site-specific surface water standards at the request of the participant. The participant shall provide the department with information necessary to make this determination upon request from the department. Site-specific surface water standards will be generally equivalent to effluent limitations under a National Pollutant Discharge Elimination System (NPDES) permit pursuant to </w:t>
      </w:r>
      <w:hyperlink r:id="rId128">
        <w:r>
          <w:rPr>
            <w:rStyle w:val="Hyperlink"/>
            <w:rFonts w:ascii="Times New Roman" w:hAnsi="Times New Roman"/>
            <w:b w:val="false"/>
            <w:i w:val="false"/>
            <w:color w:val="000000"/>
            <w:sz w:val="22"/>
          </w:rPr>
          <w:t>567—Chapter 62</w:t>
        </w:r>
      </w:hyperlink>
      <w:r>
        <w:rPr>
          <w:rFonts w:ascii="Times New Roman" w:hAnsi="Times New Roman"/>
          <w:b w:val="false"/>
          <w:i w:val="false"/>
          <w:color w:val="000000"/>
          <w:sz w:val="22"/>
        </w:rPr>
        <w:t>. Mixing zones and allocation of contaminant loads in a surface water body will be considerations in attainment of in-stream water quality standards. If the site-specific surface water quality standards are met, best practical control technology currently available will not be imposed.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105.206(9)</w:t>
      </w:r>
      <w:r>
        <w:rPr>
          <w:rFonts w:ascii="Times New Roman" w:hAnsi="Times New Roman"/>
          <w:b w:val="false"/>
          <w:i w:val="false"/>
          <w:color w:val="000000"/>
          <w:sz w:val="22"/>
        </w:rPr>
        <w:t> </w:t>
      </w:r>
      <w:r>
        <w:rPr>
          <w:rFonts w:ascii="Times New Roman" w:hAnsi="Times New Roman"/>
          <w:b w:val="false"/>
          <w:i/>
          <w:color w:val="000000"/>
          <w:sz w:val="22"/>
        </w:rPr>
        <w:t xml:space="preserve">Site-specific air standards. </w:t>
      </w:r>
      <w:r>
        <w:rPr>
          <w:rFonts w:ascii="Times New Roman" w:hAnsi="Times New Roman"/>
          <w:b w:val="false"/>
          <w:i w:val="false"/>
          <w:color w:val="000000"/>
          <w:sz w:val="22"/>
        </w:rPr>
        <w:t>If there are air quality concerns at a site, they will be addressed with site-specific standards until such time as ambient air quality or source-specific standards are adopted for hazardous air pollutants, unless an alternative method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Explosivity. </w:t>
      </w:r>
      <w:r>
        <w:rPr>
          <w:rFonts w:ascii="Times New Roman" w:hAnsi="Times New Roman"/>
          <w:b w:val="false"/>
          <w:i w:val="false"/>
          <w:color w:val="000000"/>
          <w:sz w:val="22"/>
        </w:rPr>
        <w:t>In no case shall contaminants from the enrolled site cause an explosivity level in a confined space of greater than 10 percent of the lower explosivity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Background. </w:t>
      </w:r>
      <w:r>
        <w:rPr>
          <w:rFonts w:ascii="Times New Roman" w:hAnsi="Times New Roman"/>
          <w:b w:val="false"/>
          <w:i w:val="false"/>
          <w:color w:val="000000"/>
          <w:sz w:val="22"/>
        </w:rPr>
        <w:t xml:space="preserve">In addition to the establishment of a background standard pursuant to </w:t>
      </w:r>
      <w:hyperlink r:id="rId129">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(455H), a site-specific air standard may be set at twice the typical background level based on published information for a comparable setting,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Health risk. </w:t>
      </w:r>
      <w:r>
        <w:rPr>
          <w:rFonts w:ascii="Times New Roman" w:hAnsi="Times New Roman"/>
          <w:b w:val="false"/>
          <w:i w:val="false"/>
          <w:color w:val="000000"/>
          <w:sz w:val="22"/>
        </w:rPr>
        <w:t xml:space="preserve">Site-specific standards for air in a confined space shall be risk-based using the chemical-specific toxicity values of inhalation unit risk (UR) and inhalation reference concentration (RfC) determined in accordance with </w:t>
      </w:r>
      <w:hyperlink r:id="rId130">
        <w:r>
          <w:rPr>
            <w:rStyle w:val="Hyperlink"/>
            <w:rFonts w:ascii="Times New Roman" w:hAnsi="Times New Roman"/>
            <w:b w:val="false"/>
            <w:i w:val="false"/>
            <w:color w:val="000000"/>
            <w:sz w:val="22"/>
          </w:rPr>
          <w:t>105.205(3)</w:t>
        </w:r>
      </w:hyperlink>
      <w:r>
        <w:rPr>
          <w:rFonts w:ascii="Times New Roman" w:hAnsi="Times New Roman"/>
          <w:b w:val="false"/>
          <w:i/>
          <w:color w:val="000000"/>
          <w:sz w:val="22"/>
        </w:rPr>
        <w:t>“c.”</w:t>
      </w:r>
      <w:r>
        <w:rPr>
          <w:rFonts w:ascii="Times New Roman" w:hAnsi="Times New Roman"/>
          <w:b w:val="false"/>
          <w:i w:val="false"/>
          <w:color w:val="000000"/>
          <w:sz w:val="22"/>
        </w:rPr>
        <w:t xml:space="preserve"> Formulas II and III shall be used to calculate risk-based, site-specific air standards based on carcinogenic and noncarcinogenic effects, respectively, where C is the risk-based contaminant concentration in air. If a value for both RfC and UR exists for a compound, the risk-based site-specific standard will be the smaller of C resulting from Formulas II and III.</w:t>
      </w:r>
    </w:p>
    <w:p>
      <w:pPr>
        <w:spacing w:before="0" w:after="0"/>
        <w:ind w:left="120"/>
        <w:jc w:val="center"/>
      </w:pPr>
      <w:r>
        <w:rPr>
          <w:rFonts w:ascii="Times New Roman" w:hAnsi="Times New Roman"/>
          <w:b w:val="false"/>
          <w:i w:val="false"/>
          <w:color w:val="000000"/>
          <w:sz w:val="22"/>
        </w:rPr>
        <w:t>(Formula II)</w:t>
      </w:r>
    </w:p>
    <w:p>
      <w:pPr>
        <w:spacing w:before="0" w:after="0"/>
        <w:ind w:left="120"/>
        <w:jc w:val="center"/>
      </w:pPr>
      <w:r>
        <w:rPr>
          <w:rFonts w:ascii="Times New Roman" w:hAnsi="Times New Roman"/>
          <w:b w:val="false"/>
          <w:i w:val="false"/>
          <w:color w:val="000000"/>
          <w:sz w:val="22"/>
        </w:rPr>
        <w:t>C = AF × TR ÷ UR</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(Formula III)</w:t>
      </w:r>
    </w:p>
    <w:p>
      <w:pPr>
        <w:spacing w:before="0" w:after="0"/>
        <w:ind w:left="120"/>
        <w:jc w:val="center"/>
      </w:pPr>
      <w:r>
        <w:rPr>
          <w:rFonts w:ascii="Times New Roman" w:hAnsi="Times New Roman"/>
          <w:b w:val="false"/>
          <w:i w:val="false"/>
          <w:color w:val="000000"/>
          <w:sz w:val="22"/>
        </w:rPr>
        <w:t>C = AF × RfC</w:t>
      </w:r>
    </w:p>
    <w:p>
      <w:pPr>
        <w:spacing w:before="0" w:after="0"/>
        <w:ind w:left="120"/>
        <w:jc w:val="both"/>
      </w:pPr>
      <w:r>
        <w:rPr>
          <w:rFonts w:ascii="Times New Roman" w:hAnsi="Times New Roman"/>
          <w:b w:val="false"/>
          <w:i w:val="false"/>
          <w:color w:val="000000"/>
          <w:sz w:val="22"/>
        </w:rPr>
        <w:t>The UR and RfC toxicity values are based on a continuous exposure of 20 cubic meters per day by a 70 kg adult. The adjustment factor (AF) in Formulas II and III may be used to adjust for site-specific exposure conditions. A target cancer risk (TR) of 10</w:t>
      </w:r>
      <w:r>
        <w:rPr>
          <w:rFonts w:ascii="Times New Roman" w:hAnsi="Times New Roman"/>
          <w:b w:val="false"/>
          <w:i w:val="false"/>
          <w:color w:val="000000"/>
          <w:sz w:val="11"/>
          <w:vertAlign w:val="superscript"/>
        </w:rPr>
        <w:t>-4</w:t>
      </w:r>
      <w:r>
        <w:rPr>
          <w:rFonts w:ascii="Times New Roman" w:hAnsi="Times New Roman"/>
          <w:b w:val="false"/>
          <w:i w:val="false"/>
          <w:color w:val="000000"/>
          <w:sz w:val="22"/>
        </w:rPr>
        <w:t xml:space="preserve"> shall be used unless another value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Institutional or technological controls. </w:t>
      </w:r>
      <w:r>
        <w:rPr>
          <w:rFonts w:ascii="Times New Roman" w:hAnsi="Times New Roman"/>
          <w:b w:val="false"/>
          <w:i w:val="false"/>
          <w:color w:val="000000"/>
          <w:sz w:val="22"/>
        </w:rPr>
        <w:t>Institutional or technological controls may be used to prevent future exposure to contaminants in air in confined spaces and will be required to prevent residential use of the affected area when a nonresidential air standard is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105.206(10)</w:t>
      </w:r>
      <w:r>
        <w:rPr>
          <w:rFonts w:ascii="Times New Roman" w:hAnsi="Times New Roman"/>
          <w:b w:val="false"/>
          <w:i w:val="false"/>
          <w:color w:val="000000"/>
          <w:sz w:val="22"/>
        </w:rPr>
        <w:t> </w:t>
      </w:r>
      <w:r>
        <w:rPr>
          <w:rFonts w:ascii="Times New Roman" w:hAnsi="Times New Roman"/>
          <w:b w:val="false"/>
          <w:i/>
          <w:color w:val="000000"/>
          <w:sz w:val="22"/>
        </w:rPr>
        <w:t xml:space="preserve">Site-specific standards based on site-specific factors. </w:t>
      </w:r>
      <w:r>
        <w:rPr>
          <w:rFonts w:ascii="Times New Roman" w:hAnsi="Times New Roman"/>
          <w:b w:val="false"/>
          <w:i w:val="false"/>
          <w:color w:val="000000"/>
          <w:sz w:val="22"/>
        </w:rPr>
        <w:t xml:space="preserve">Numerical site-specific standards (i.e., target levels) for groundwater or soil may be established using site-specific exposure factors in Formula I. Site-specific pumping rates greater than specified in </w:t>
      </w:r>
      <w:hyperlink r:id="rId131">
        <w:r>
          <w:rPr>
            <w:rStyle w:val="Hyperlink"/>
            <w:rFonts w:ascii="Times New Roman" w:hAnsi="Times New Roman"/>
            <w:b w:val="false"/>
            <w:i w:val="false"/>
            <w:color w:val="000000"/>
            <w:sz w:val="22"/>
          </w:rPr>
          <w:t>105.206(3)</w:t>
        </w:r>
        <w:r>
          <w:rPr>
            <w:rFonts w:ascii="Times New Roman" w:hAnsi="Times New Roman"/>
            <w:b w:val="false"/>
            <w:i/>
            <w:color w:val="000000"/>
            <w:sz w:val="22"/>
          </w:rPr>
          <w:t>“d”</w:t>
        </w:r>
      </w:hyperlink>
      <w:r>
        <w:rPr>
          <w:rFonts w:ascii="Times New Roman" w:hAnsi="Times New Roman"/>
          <w:b w:val="false"/>
          <w:i w:val="false"/>
          <w:color w:val="000000"/>
          <w:sz w:val="22"/>
        </w:rPr>
        <w:t xml:space="preserve"> herein may be used when approved by the department. Site-specific exposure factors must be approved by the department. For the department to approve any such site-specific factor there must be well documented rationale for doing so and appropriate institutional or technological controls must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105.206(11)</w:t>
      </w:r>
      <w:r>
        <w:rPr>
          <w:rFonts w:ascii="Times New Roman" w:hAnsi="Times New Roman"/>
          <w:b w:val="false"/>
          <w:i w:val="false"/>
          <w:color w:val="000000"/>
          <w:sz w:val="22"/>
        </w:rPr>
        <w:t> </w:t>
      </w:r>
      <w:r>
        <w:rPr>
          <w:rFonts w:ascii="Times New Roman" w:hAnsi="Times New Roman"/>
          <w:b w:val="false"/>
          <w:i/>
          <w:color w:val="000000"/>
          <w:sz w:val="22"/>
        </w:rPr>
        <w:t xml:space="preserve">Site-specific standards or approaches not anticipated by this rule. </w:t>
      </w:r>
      <w:r>
        <w:rPr>
          <w:rFonts w:ascii="Times New Roman" w:hAnsi="Times New Roman"/>
          <w:b w:val="false"/>
          <w:i w:val="false"/>
          <w:color w:val="000000"/>
          <w:sz w:val="22"/>
        </w:rPr>
        <w:t>Nothing in this rule precludes the use of site-specific standards derived in some way not anticipated by this rule, provided that the rationale is adequately presented and the approach is both approved by the department and provides a level of protection comparable to standards set forth under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567—105.207</w:t>
      </w:r>
      <w:r>
        <w:rPr>
          <w:rFonts w:ascii="Times New Roman" w:hAnsi="Times New Roman"/>
          <w:b/>
          <w:i w:val="false"/>
          <w:color w:val="000000"/>
          <w:sz w:val="22"/>
        </w:rPr>
        <w:t xml:space="preserve">(455H) </w:t>
      </w:r>
      <w:r>
        <w:rPr>
          <w:rFonts w:ascii="Times New Roman" w:hAnsi="Times New Roman"/>
          <w:b/>
          <w:i w:val="false"/>
          <w:color w:val="000000"/>
          <w:sz w:val="22"/>
        </w:rPr>
        <w:t xml:space="preserve">Technological and institutional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105.207(1)</w:t>
      </w:r>
      <w:r>
        <w:rPr>
          <w:rFonts w:ascii="Times New Roman" w:hAnsi="Times New Roman"/>
          <w:b w:val="false"/>
          <w:i w:val="false"/>
          <w:color w:val="000000"/>
          <w:sz w:val="22"/>
        </w:rPr>
        <w:t> </w:t>
      </w:r>
      <w:r>
        <w:rPr>
          <w:rFonts w:ascii="Times New Roman" w:hAnsi="Times New Roman"/>
          <w:b w:val="false"/>
          <w:i/>
          <w:color w:val="000000"/>
          <w:sz w:val="22"/>
        </w:rPr>
        <w:t xml:space="preserve">Technological controls. </w:t>
      </w:r>
      <w:r>
        <w:rPr>
          <w:rFonts w:ascii="Times New Roman" w:hAnsi="Times New Roman"/>
          <w:b w:val="false"/>
          <w:i w:val="false"/>
          <w:color w:val="000000"/>
          <w:sz w:val="22"/>
        </w:rPr>
        <w:t>The purpose of a technological control is to effectively sever a pathway by use of technologies such that an applicable receptor could not be exposed to hazardous substances above an applicable target risk level. Subject to limitations in this division, technological controls are an acceptable response action either alone or in combination with other remediation systems and institutional controls. The purpose of technological controls may be to control plume migration through use of containment technologies, barriers, or other methods, as an interim or permanent response action or to permanently sever a pathway to a receptor. Technological controls may also be appropriate to treat or control contamination at the point of exposure. Any technological control proposed as a permanent response action option without meeting the reduction in contaminant concentrations objectives must establish that the pathway to a receptor will be permanently severed or controlled. The effectiveness of a technological control must be monitored under a department-approved plan. The department may require reasonable proof of financial assurance when necessary to ensure that a technological control remain effective.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105.207(2)</w:t>
      </w:r>
      <w:r>
        <w:rPr>
          <w:rFonts w:ascii="Times New Roman" w:hAnsi="Times New Roman"/>
          <w:b w:val="false"/>
          <w:i w:val="false"/>
          <w:color w:val="000000"/>
          <w:sz w:val="22"/>
        </w:rPr>
        <w:t> </w:t>
      </w:r>
      <w:r>
        <w:rPr>
          <w:rFonts w:ascii="Times New Roman" w:hAnsi="Times New Roman"/>
          <w:b w:val="false"/>
          <w:i/>
          <w:color w:val="000000"/>
          <w:sz w:val="22"/>
        </w:rPr>
        <w:t xml:space="preserve">Institutional controls. </w:t>
      </w:r>
      <w:r>
        <w:rPr>
          <w:rFonts w:ascii="Times New Roman" w:hAnsi="Times New Roman"/>
          <w:b w:val="false"/>
          <w:i w:val="false"/>
          <w:color w:val="000000"/>
          <w:sz w:val="22"/>
        </w:rPr>
        <w:t>The purpose of an institutional control is to restrict access to or use of an affected area such that an existing or future receptor could not be exposed to hazardous substances addressed by the controls for as long as the target level is exceeded at applicable points of exposure and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105.207(3)</w:t>
      </w:r>
      <w:r>
        <w:rPr>
          <w:rFonts w:ascii="Times New Roman" w:hAnsi="Times New Roman"/>
          <w:b w:val="false"/>
          <w:i w:val="false"/>
          <w:color w:val="000000"/>
          <w:sz w:val="22"/>
        </w:rPr>
        <w:t> </w:t>
      </w:r>
      <w:r>
        <w:rPr>
          <w:rFonts w:ascii="Times New Roman" w:hAnsi="Times New Roman"/>
          <w:b w:val="false"/>
          <w:i/>
          <w:color w:val="000000"/>
          <w:sz w:val="22"/>
        </w:rPr>
        <w:t xml:space="preserve">Institutional and technological controls. </w:t>
      </w:r>
      <w:r>
        <w:rPr>
          <w:rFonts w:ascii="Times New Roman" w:hAnsi="Times New Roman"/>
          <w:b w:val="false"/>
          <w:i w:val="false"/>
          <w:color w:val="000000"/>
          <w:sz w:val="22"/>
        </w:rPr>
        <w:t>Single or multiple institutional controls may be used alone or in combination and may also be employed with technological controls and response action to effectively achieve, maintain and enforce an approved level of risk reduction and risk management. The following enumeration of types of institutional and technological controls is not a finding that each is per se an effective control. The effectiveness of any institutional or technological control or combination of controls must be evaluated on a case-by-case basis and in accordance with specified conditions in this division. Institutional and technological controls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 or federal law or regulation that can be shown to effectively achieve, maintain and enforce the required land-use restrictions and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ordinance of any political subdivision of the state that can be shown to effectively achieve, maintain and enforce the required land-use restrictions and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contractual obligation recorded and executed in a manner satisfying Iowa Code chapter </w:t>
      </w:r>
      <w:hyperlink r:id="rId132">
        <w:r>
          <w:rPr>
            <w:rStyle w:val="Hyperlink"/>
            <w:rFonts w:ascii="Times New Roman" w:hAnsi="Times New Roman"/>
            <w:b w:val="false"/>
            <w:i w:val="false"/>
            <w:color w:val="000000"/>
            <w:sz w:val="22"/>
          </w:rPr>
          <w:t>558</w:t>
        </w:r>
      </w:hyperlink>
      <w:r>
        <w:rPr>
          <w:rFonts w:ascii="Times New Roman" w:hAnsi="Times New Roman"/>
          <w:b w:val="false"/>
          <w:i w:val="false"/>
          <w:color w:val="000000"/>
          <w:sz w:val="22"/>
        </w:rPr>
        <w:t xml:space="preserve">. Recorded notices and affidavits, including a no further action certificate as provided in </w:t>
      </w:r>
      <w:hyperlink r:id="rId133">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(455H), which do not create rights or obligations or restrict land use but serve to put current and future property owners on notice of present or future conditions within the affected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control that the participant demonstrates to the department reduces or manages the risk from a release through the period necessary to comply with the applicable standards, including but not limited to, informational devices such as public notices, informational registries, notices to regulatory authorities and continuing site activities such as periodic inspections, equipment repair and maintenance, and soil and groundwater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environmental covenant established in accordance with Iowa Code chapter </w:t>
      </w:r>
      <w:hyperlink r:id="rId134">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 xml:space="preserve"> and section </w:t>
      </w:r>
      <w:hyperlink r:id="rId135">
        <w:r>
          <w:rPr>
            <w:rStyle w:val="Hyperlink"/>
            <w:rFonts w:ascii="Times New Roman" w:hAnsi="Times New Roman"/>
            <w:b w:val="false"/>
            <w:i w:val="false"/>
            <w:color w:val="000000"/>
            <w:sz w:val="22"/>
          </w:rPr>
          <w:t>455H.206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105.207(4)</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certificates. </w:t>
      </w:r>
      <w:r>
        <w:rPr>
          <w:rFonts w:ascii="Times New Roman" w:hAnsi="Times New Roman"/>
          <w:b w:val="false"/>
          <w:i w:val="false"/>
          <w:color w:val="000000"/>
          <w:sz w:val="22"/>
        </w:rPr>
        <w:t xml:space="preserve">Any no further action certificate shall contain a specific reference to any applicable institutional and technological control and shall meet the requirements in </w:t>
      </w:r>
      <w:hyperlink r:id="rId136">
        <w:r>
          <w:rPr>
            <w:rStyle w:val="Hyperlink"/>
            <w:rFonts w:ascii="Times New Roman" w:hAnsi="Times New Roman"/>
            <w:b w:val="false"/>
            <w:i w:val="false"/>
            <w:color w:val="000000"/>
            <w:sz w:val="22"/>
          </w:rPr>
          <w:t>567—105.211</w:t>
        </w:r>
      </w:hyperlink>
      <w:r>
        <w:rPr>
          <w:rFonts w:ascii="Times New Roman" w:hAnsi="Times New Roman"/>
          <w:b w:val="false"/>
          <w:i w:val="false"/>
          <w:color w:val="000000"/>
          <w:sz w:val="22"/>
        </w:rPr>
        <w:t>(455H). The reference must identify the location of any recorded instrument, contractual agreement or other documents applicable to the control, provide a brief description of the terms of the control and, where appropriate, site diagrams.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105.207(5)</w:t>
      </w:r>
      <w:r>
        <w:rPr>
          <w:rFonts w:ascii="Times New Roman" w:hAnsi="Times New Roman"/>
          <w:b w:val="false"/>
          <w:i w:val="false"/>
          <w:color w:val="000000"/>
          <w:sz w:val="22"/>
        </w:rPr>
        <w:t> </w:t>
      </w:r>
      <w:r>
        <w:rPr>
          <w:rFonts w:ascii="Times New Roman" w:hAnsi="Times New Roman"/>
          <w:b w:val="false"/>
          <w:i/>
          <w:color w:val="000000"/>
          <w:sz w:val="22"/>
        </w:rPr>
        <w:t xml:space="preserve">Failure of an institutional and technological control(s). </w:t>
      </w:r>
      <w:r>
        <w:rPr>
          <w:rFonts w:ascii="Times New Roman" w:hAnsi="Times New Roman"/>
          <w:b w:val="false"/>
          <w:i w:val="false"/>
          <w:color w:val="000000"/>
          <w:sz w:val="22"/>
        </w:rPr>
        <w:t>The effectiveness of institutional and technological controls may be jeopardized for several reasons including situations where the technological controls are no longer effective in achieving their technical objectives, the validity of technological or institutional control is challenged due to a pending or final administrative or judicial action or legislative action changing its regulatory effect (e.g., change in an ordinance), or persons fail to comply with the terms of the institutional or technological control. The effect of the failure of a technological or institutional control to achieve its intended purpose is to remove the no further action classification and put all interested parties in the same position had the no further action classification not been made. When the department has reason to believe a technological or institutional control is jeopardized or determines that the control is no longer effective, the following policy and procedure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make reasonable efforts to provide notice of the failure or noncompliance to the participant(s), protected parties, persons having legal standing to enforce the terms of the controls, other persons who may be legally responsible for contamination at the site and persons legally obligated to comply with the terms of the controls. The notice shall inform these parties of the consequences of failure of the controls and provide the opportunity for one or more of them to correct the deficiency by taking further response action or undertaking enforcement action to obtain compliance with the terms of the controls.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participant(s) and other persons legally responsible for contamination at the site shall have primary responsibility to correct deficiencies or seek enforcement of the terms of controls, if they wish to maintain a no further action classification and any attendant statutory protections. The department may in its discretion seek enforcement of controls where persons fail to comply with the terms when it determines there is a strong likelihood of success, other participant(s) or legally responsible persons are unable or unwilling to undertake enforcement, and utilization of the controls remains consistent with these rules and site conditions currently in effect at the site. However, the department is not obligated to seek enforcement of the terms of any technological or institutional controls nor does the election not to undertake enforcement constitute a defense to further action by responsible parties or a basis for challenging the rescission of the no further action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also elect to require statutorily responsible parties to correct the deficiency as an alternative to rescinding the no further action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participant to timely undertake additional response action may result in termination of enrollment and loss of benefits under these rules and Iowa Code chapter </w:t>
      </w:r>
      <w:hyperlink r:id="rId137">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xml:space="preserve">. Any person found to have intentionally violated an environmental protection easement or other institutional or technological control, whether included in a no further action certificate or as part of an approved response action, may lose any of the benefits under these rules or Iowa Code chapter </w:t>
      </w:r>
      <w:hyperlink r:id="rId138">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105.207(6)</w:t>
      </w:r>
      <w:r>
        <w:rPr>
          <w:rFonts w:ascii="Times New Roman" w:hAnsi="Times New Roman"/>
          <w:b w:val="false"/>
          <w:i w:val="false"/>
          <w:color w:val="000000"/>
          <w:sz w:val="22"/>
        </w:rPr>
        <w:t> </w:t>
      </w:r>
      <w:r>
        <w:rPr>
          <w:rFonts w:ascii="Times New Roman" w:hAnsi="Times New Roman"/>
          <w:b w:val="false"/>
          <w:i/>
          <w:color w:val="000000"/>
          <w:sz w:val="22"/>
        </w:rPr>
        <w:t xml:space="preserve">Modification and termination of institutional and technological controls. </w:t>
      </w:r>
      <w:r>
        <w:rPr>
          <w:rFonts w:ascii="Times New Roman" w:hAnsi="Times New Roman"/>
          <w:b w:val="false"/>
          <w:i w:val="false"/>
          <w:color w:val="000000"/>
          <w:sz w:val="22"/>
        </w:rPr>
        <w:t xml:space="preserve">A participant or successor in interest to a participant, or an owner of property subject to an institutional or technological control, may seek approval from the department for the removal, discontinuance, modification or termination of an institutional or technological control. The person must demonstrate that the control in its present form is no longer required to ensure compliance with applicable standards. The person seeking revision must undertake sufficient risk assessment and provide sufficient assessment data to establish that the applicable compliance standards can be met based on the proposed modification. The department may also determine based on a revised assessment that the applicable controls are no longer effective to meet compliance standards and may require other response action. The department shall issue an amendment to any previously issued no further action certificate specifying the approved modification of the institutional or technological controls. Modification and termination of an environmental covenant shall be consistent with these rules and shall conform with Iowa Code chapter </w:t>
      </w:r>
      <w:hyperlink r:id="rId139">
        <w:r>
          <w:rPr>
            <w:rStyle w:val="Hyperlink"/>
            <w:rFonts w:ascii="Times New Roman" w:hAnsi="Times New Roman"/>
            <w:b w:val="false"/>
            <w:i w:val="false"/>
            <w:color w:val="000000"/>
            <w:sz w:val="22"/>
          </w:rPr>
          <w:t>455I</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567—105.208</w:t>
      </w:r>
      <w:r>
        <w:rPr>
          <w:rFonts w:ascii="Times New Roman" w:hAnsi="Times New Roman"/>
          <w:b/>
          <w:i w:val="false"/>
          <w:color w:val="000000"/>
          <w:sz w:val="22"/>
        </w:rPr>
        <w:t xml:space="preserve">(455H) </w:t>
      </w:r>
      <w:r>
        <w:rPr>
          <w:rFonts w:ascii="Times New Roman" w:hAnsi="Times New Roman"/>
          <w:b/>
          <w:i w:val="false"/>
          <w:color w:val="000000"/>
          <w:sz w:val="22"/>
        </w:rPr>
        <w:t xml:space="preserve">Site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A participant must create a site assessment for every enrolled site. A participant may submit a site assessment to the department to characterize the attributes related to the enrolled site and facilitate the risk evaluation/response action. The purpose of the site assessment is to define the nature and extent of contamination, along with identifying likely exposure pathways, with the aim of characterizing potential, current and future risks and making an informed decision concerning an appropriate response in the context of probable future land uses at the site and in the surrounding area. Assessment is to be conducted with the recognition that contaminant fate and transport may alter the current areal extent and depth of contamination. It is recognized that the scope of such an assessment may be appropriately varied dependent upon interrelated factors including the nature and severity of the contamination, the complexity of specific details of the site and its setting, and the nature of the chosen response, if known.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105.208(2)</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plan; notice of proceeding without plan.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participant may submit for department review a site assessment plan prior to proceeding with the site assessment. Participants choosing to initiate site assessment without department review and approval of a work plan shall notify the department in writing of their intentions. Likewise, participants choosing to proceed to the risk evaluation/response action phase in accordance with </w:t>
      </w:r>
      <w:hyperlink r:id="rId140">
        <w:r>
          <w:rPr>
            <w:rStyle w:val="Hyperlink"/>
            <w:rFonts w:ascii="Times New Roman" w:hAnsi="Times New Roman"/>
            <w:b w:val="false"/>
            <w:i w:val="false"/>
            <w:color w:val="000000"/>
            <w:sz w:val="22"/>
          </w:rPr>
          <w:t>567—105.209</w:t>
        </w:r>
      </w:hyperlink>
      <w:r>
        <w:rPr>
          <w:rFonts w:ascii="Times New Roman" w:hAnsi="Times New Roman"/>
          <w:b w:val="false"/>
          <w:i w:val="false"/>
          <w:color w:val="000000"/>
          <w:sz w:val="22"/>
        </w:rPr>
        <w:t>(455H) without seeking review of the site assessment report shall give prior notice to the department of their intentions. The notice shall include a schedule for implementation and completion, a description of the area to be assessed and the scope of the proposed assessment to be undertaken, any planned construction activities in the affected area and a proposed date for submission of the site assessment report for department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plan is intended to lay out the rationale to be followed in the conduct of the site assessment and to provide an opportunity for the participant and the department to reach a consensus regarding the appropriate scope of the site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order to accomplish this, the plan should address relevant, known characteristics related to the site and its history, including the results of any preliminary investigations performed at the site, as well as plans for addressing pertinent details spelled out in the subsequent sections on the site assessment and the site assessment report. Departmental review of the site assessment plan may result in suggestions regarding perceived shortcomings or proposed activities that are deemed to be unnecessary.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105.208(3)</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details. </w:t>
      </w:r>
      <w:r>
        <w:rPr>
          <w:rFonts w:ascii="Times New Roman" w:hAnsi="Times New Roman"/>
          <w:b w:val="false"/>
          <w:i w:val="false"/>
          <w:color w:val="000000"/>
          <w:sz w:val="22"/>
        </w:rPr>
        <w:t>An acceptable site assessment shall address one or more of the following items, as applicable, and any other objective the department deems necessary to characterize the attributes related to the enrolled site and its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and address the medium or media of concern associated with the contamination situation for which the site is enrolled. The regulatory classification or jurisdiction of contaminants shall be indicated if applicable and, if known, whether the compound is regulated under the Resource Conservation and Recovery Act (RCRA), Toxic Substances Control Act (TSCA), or Federal Insecticide, Fungicide and Rodenticide Act (FIFRA).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extent, and degree of contamination in both horizontal and vertical dimensions. This should involve appropriate sample numbers and locations within the contaminated area and beyond the area contaminated in excess of the background or statewide standard. Analyses shall be conducted for the contaminants of concern, breakdown products, and other contaminants likely to be present at significant levels. The department may also require analyses for additional contaminants that are not the focus of enrollment in the program, but that may be of special concern. Special concerns might include waste handling or treatment problems posed by the additional contaminants, or unacceptable risks remaining unaddressed within the affected area, due to the presence of the additional contaminants. In the case of groundwater, attention should also be given to the possibility of contaminant accumulation in strata overlying confining layers and to the possible presence of non-aqueous phase liquids (NAPL). In the case of groundwater, more than one round of sampling shall be incorporated, appropriately separated in time. In the case of soils, particular attention should be given to characterizing shallow soil contamination, from zero to six inches in depth.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Characterize the nature of the source of contamination or propose a conceptual model explaining the presence of the contamination of concern.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Characterize local contamination maxima or hot spots for the purposes of evaluation against relevant standards and to identify handling or treatment concerns that they may 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Characterize the stratigraphy. This should be done to a depth extending to the first significant confining layer below the deepest contamination. Descriptions should rely primarily on results gathered in the site assessment, but relevant reference materials or geologic logs from other sources may be incorporated as a supplement.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Characterize the hydrologic properties of the site and its vicinity to a distance appropriate to the fate, transport and exposure concerns associated with the site. This characterization should consider both horizontal and vertical components of groundwater movement as well as other influences on groundwater hydrology such as pumping wells, injection wells, surface water bodies, effects of seasonal or precipitation-driven variability, and possible aquifer interconnections, including those related to existing or abandoned wells. Water level measurements, related to a common datum, screening of appropriate depth intervals, and determination of hydraulic conductivity will generally be considered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Characterize physical and chemical properties of the site and its environs associated with contaminant fate and transport, e.g., percent organic matter, redox potential, soil bulk density, and transmissivity.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Characterize topographic and cultural features of the site and its immediate vicinity. Cultural features may include but not be limited to buildings, basements, paved areas, roadways, utilities, storage tanks and associated piping, piles, impoundments, wells, and waste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Evaluate concerns related to whether the contamination situation is dynamic or stable; if dynamic, address fate and transport and breakdown products appropriately.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Identify and characterize receptor or exposure concerns. This most clearly involves concerns for drinking water and exposures to contaminated soils, as suggested by the statewide standards, but additional concerns should be identified and addressed by the participant or the department, as the situation warrants, e.g., vapors to basements, threats to water supply lines, threats to surface waters, or environmental threats.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Characterize current and probable future uses of the site and its surroundings. If probable future uses differ significantly from current uses, then characterize them separately and conduct the assessment in a fashion that addresses concerns arising from the possible change in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Evaluate the potential for contaminants to migrate from one medium to another. The following subparagraphs prescribe requirements for assessing potential migration of contamination from one medium to another. Requirements in the following subparagraphs may be waived if it can be demonstrated in accordance with procedures established in </w:t>
      </w:r>
      <w:hyperlink r:id="rId141">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or ASTM standards E1903-19 related to the Phase II environmental site assessment process that migration of contamination from one medium to another will not cause a violation of the applicable standard in the receiving medium. The assessment activities prescribed in the following subparagraphs are intended to determine if significant migration of contamination from one medium to another has occurred. If evidence of significant migration of contamination from one medium to another (i.e., generally a contaminant concentration in the receiving medium in excess of the statewide standard) is discovered, full-scale characterization of the receiving medium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water from any pond or lake on the site or within 300 feet of the site shall be sampled and analyzed for the contaminants of concern, if it is reasonably possible that contaminants from the site could impact the pond or lake. Any surface stream that runs through the site or within 300 feet of the site shall be sampled at a location downstream of any potential impact from the site and analyzed for the contaminants of concern. Depending on the characteristics of the contaminants (e.g., solubility), associated sampling and analysis of sediments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at the location most likely to be impacted by each known substantial area of soil contamination shall be sampled and analyzed for the contaminants of concern. If the area of soil contamination exceeds 10,000 square feet, additional groundwater samples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Soil vapors in each area that is most likely to be impacted by known groundwater or soil contamination shall be sampled and analyzed for the contaminants of concern. If the area of soil or groundwater contamination exceeds 10,000 square feet, additional soil vapor samples may be required. If vapors may be impacting an existing enclosed space, a soil vapor sample shall be collected from a location that is most likely to have vapor contamination adjacent to the enclosed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potential for the existence of problematic concentrations of the vapors in the enclosed space cannot be dismissed based on soil vapor sampling, sampling and analysis of vapors inside the enclosed space may be conducted to determine whether or not a problem exists. Appropriate measures for distinguishing between contaminant vapors originating from within the enclosed space versus those from the external sources that are under investigation may be made with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Ambient air sampling may be required if a very large area or extremely high concentrations of highly volatile contaminants exist in shallow soil or evidence of vapor contamination exists, such as odors or a high vapor reading on a vapor-screening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water line exists within the zone of known contamination of soil, groundwater or soil vapor and the potential for significant diffusion of contaminants into the water line cannot otherwise be dismissed, a sample from the water line shall be collected at the nearest location where any impact may exist and that sample shall be analyzed for the contaminants of concern. All such samples should be collected at times following minimum movement within the water line (e.g., early morning following a weekend).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105.208(4)</w:t>
      </w:r>
      <w:r>
        <w:rPr>
          <w:rFonts w:ascii="Times New Roman" w:hAnsi="Times New Roman"/>
          <w:b w:val="false"/>
          <w:i w:val="false"/>
          <w:color w:val="000000"/>
          <w:sz w:val="22"/>
        </w:rPr>
        <w:t> </w:t>
      </w:r>
      <w:r>
        <w:rPr>
          <w:rFonts w:ascii="Times New Roman" w:hAnsi="Times New Roman"/>
          <w:b w:val="false"/>
          <w:i/>
          <w:color w:val="000000"/>
          <w:sz w:val="22"/>
        </w:rPr>
        <w:t xml:space="preserve">Site assessment report. </w:t>
      </w:r>
      <w:r>
        <w:rPr>
          <w:rFonts w:ascii="Times New Roman" w:hAnsi="Times New Roman"/>
          <w:b w:val="false"/>
          <w:i w:val="false"/>
          <w:color w:val="000000"/>
          <w:sz w:val="22"/>
        </w:rPr>
        <w:t>The site assessment report shall include the presentation of all information gathered during the site assessment, arranged in appropriate sections of the report. It shall include a summary of preliminary information on which the site assessment is based, including but not limited to background and site history. The report shall discuss the sampling strategy and methods used in the assessment. The department encourages the use of innovative or screening techniques to expedite investigations and to control costs, provided that such techniques are approved by the department before implementation and are supported through verification by accepted scientific practices. The report shall also include a description of the quality assurance/quality control (QA/QC) protocols followed during the investigation. QA/QC protocols shall be consistent with accepted scientific practices.</w:t>
      </w:r>
    </w:p>
    <w:p>
      <w:pPr>
        <w:spacing w:before="0" w:after="0"/>
        <w:ind w:left="120"/>
        <w:jc w:val="both"/>
      </w:pPr>
      <w:r>
        <w:rPr>
          <w:rFonts w:ascii="Times New Roman" w:hAnsi="Times New Roman"/>
          <w:b w:val="false"/>
          <w:i w:val="false"/>
          <w:color w:val="000000"/>
          <w:sz w:val="22"/>
        </w:rPr>
        <w:t>The presentation shall be organized so as to facilitate the assimilation of information by the reader. Maps to be presented, as appropriate, might include maps illustrating the location of the site in a larger geographical context; maps showing cultural features associated with the site and its environs; maps illustrating the contamination extent and concentration in three dimensions; maps illustrating the site hydrology in three dimensions; and maps illustrating receptors, potential receptors, and relevant pathways of exposure. Cross-sectional diagrams shall be included to illustrate stratigraphy, geological boring information, and hydrologic and contaminant factors with depth. Tables and graphs shall be designed for the purpose of summarizing data in a meaningful fashion, including information about successive rounds of sampling. Appendices shall include well logs, copies of laboratory analytical reports, and raw data used to calculate parameters presented elsewhere in the report. Appended material shall be labeled in a fashion permitting the cross-referencing of appended materials and the body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105.208(5)</w:t>
      </w:r>
      <w:r>
        <w:rPr>
          <w:rFonts w:ascii="Times New Roman" w:hAnsi="Times New Roman"/>
          <w:b w:val="false"/>
          <w:i w:val="false"/>
          <w:color w:val="000000"/>
          <w:sz w:val="22"/>
        </w:rPr>
        <w:t> </w:t>
      </w:r>
      <w:r>
        <w:rPr>
          <w:rFonts w:ascii="Times New Roman" w:hAnsi="Times New Roman"/>
          <w:b w:val="false"/>
          <w:i/>
          <w:color w:val="000000"/>
          <w:sz w:val="22"/>
        </w:rPr>
        <w:t xml:space="preserve">Approval of site assessment report. </w:t>
      </w:r>
      <w:r>
        <w:rPr>
          <w:rFonts w:ascii="Times New Roman" w:hAnsi="Times New Roman"/>
          <w:b w:val="false"/>
          <w:i w:val="false"/>
          <w:color w:val="000000"/>
          <w:sz w:val="22"/>
        </w:rPr>
        <w:t xml:space="preserve">Unless notice has already been given prior to initiation of the site assessment, participants choosing to proceed to the risk evaluation/response action phase without department review and approval of the site assessment report must notify the department in advance as provided in </w:t>
      </w:r>
      <w:hyperlink r:id="rId142">
        <w:r>
          <w:rPr>
            <w:rStyle w:val="Hyperlink"/>
            <w:rFonts w:ascii="Times New Roman" w:hAnsi="Times New Roman"/>
            <w:b w:val="false"/>
            <w:i w:val="false"/>
            <w:color w:val="000000"/>
            <w:sz w:val="22"/>
          </w:rPr>
          <w:t>105.208(2)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105.208(6)</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Before or upon completion of the site assessment, the participant shall provide the department with the names and addresses of the owners and occupants of all property adjacent to the site enrolled in the Iowa land recycling program and any additional properties where contaminants from the enrolled site have migrated or are likely to migrate in the future. The department shall notify by direct mailing all such property owners and occupants, the city or county in which the property is located, and officials of any potentially impacted public water supply of the site’s enrollment in the Iowa land recycling program and of the scope of work described in the participation agreement. The department shall give the notified parties the opportunity to obtain updates regarding the status of activities relating to the site that is enrolled in the Iowa land recycling program. The department may also require the participant of a site enrolled in the Iowa land recycling program to publish public notice in a local newspaper if the department determines that widespread interest in the site exists or is likely to exist. The department may provide additional opportunities for public participation if, after consultation with the participant, the department determines such opportunities are warranted.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567—105.209</w:t>
      </w:r>
      <w:r>
        <w:rPr>
          <w:rFonts w:ascii="Times New Roman" w:hAnsi="Times New Roman"/>
          <w:b/>
          <w:i w:val="false"/>
          <w:color w:val="000000"/>
          <w:sz w:val="22"/>
        </w:rPr>
        <w:t xml:space="preserve">(455H) </w:t>
      </w:r>
      <w:r>
        <w:rPr>
          <w:rFonts w:ascii="Times New Roman" w:hAnsi="Times New Roman"/>
          <w:b/>
          <w:i w:val="false"/>
          <w:color w:val="000000"/>
          <w:sz w:val="22"/>
        </w:rPr>
        <w:t xml:space="preserve">Risk evaluation/response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105.209(1)</w:t>
      </w:r>
      <w:r>
        <w:rPr>
          <w:rFonts w:ascii="Times New Roman" w:hAnsi="Times New Roman"/>
          <w:b w:val="false"/>
          <w:i w:val="false"/>
          <w:color w:val="000000"/>
          <w:sz w:val="22"/>
        </w:rPr>
        <w:t> </w:t>
      </w:r>
      <w:r>
        <w:rPr>
          <w:rFonts w:ascii="Times New Roman" w:hAnsi="Times New Roman"/>
          <w:b w:val="false"/>
          <w:i/>
          <w:color w:val="000000"/>
          <w:sz w:val="22"/>
        </w:rPr>
        <w:t xml:space="preserve">Purpose; notice of proceeding without department review of assessment. </w:t>
      </w:r>
      <w:r>
        <w:rPr>
          <w:rFonts w:ascii="Times New Roman" w:hAnsi="Times New Roman"/>
          <w:b w:val="false"/>
          <w:i w:val="false"/>
          <w:color w:val="000000"/>
          <w:sz w:val="22"/>
        </w:rPr>
        <w:t>The purpose of risk evaluation/response action is to utilize information from the site assessment as a basis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Determining whether current exposures result in excessive risks, based on evaluation against appropriate background, statewide, or site-specific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Determining whether future exposures may result in excessive risks, based on evaluation against appropriate background, statewide, or site-specific standards. This will likely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Evaluation of potential changes in usage, e.g., installation of a new well, change in land use, or other activities, that result in unacceptable, potential exposures not evaluated as current exposures,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Evaluation of exposure concerns related to the movement of contamination such that potential exposures might arise that are not considered under current exposure assumptions, e.g., groundwater plume migration creating a potential for future contamination of existing wells or creating newly contaminated areas in which new well installation may result in unacceptable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Proposing an appropriate and acceptable response action or strategy to address the identified, unacceptable exposures or potential exposures.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Establishing the test criteria to be applied under </w:t>
      </w:r>
      <w:hyperlink r:id="rId143">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 for determining final compliance with the selected standard. In some cases this may consist of proving that standards are currently met; in other cases it may result in an assessment of whether the response action succeeds in bringing about compliance with a selected standard.</w:t>
      </w:r>
    </w:p>
    <w:p>
      <w:pPr>
        <w:spacing w:before="0" w:after="0"/>
        <w:ind w:left="120"/>
        <w:jc w:val="both"/>
      </w:pPr>
      <w:r>
        <w:rPr>
          <w:rFonts w:ascii="Times New Roman" w:hAnsi="Times New Roman"/>
          <w:b w:val="false"/>
          <w:i w:val="false"/>
          <w:color w:val="000000"/>
          <w:sz w:val="22"/>
        </w:rPr>
        <w:t xml:space="preserve">The risk evaluation/response action is intended only for application to the specific contaminants and situations for which the site is enrolled. Participants choosing to proceed to the risk evaluation/response action phase without seeking review of the site assessment report shall give prior notice to the department of their intentions. The notice shall include the information required in </w:t>
      </w:r>
      <w:hyperlink r:id="rId144">
        <w:r>
          <w:rPr>
            <w:rStyle w:val="Hyperlink"/>
            <w:rFonts w:ascii="Times New Roman" w:hAnsi="Times New Roman"/>
            <w:b w:val="false"/>
            <w:i w:val="false"/>
            <w:color w:val="000000"/>
            <w:sz w:val="22"/>
          </w:rPr>
          <w:t>105.208(2)</w:t>
        </w:r>
      </w:hyperlink>
      <w:r>
        <w:rPr>
          <w:rFonts w:ascii="Times New Roman" w:hAnsi="Times New Roman"/>
          <w:b w:val="false"/>
          <w:i w:val="false"/>
          <w:color w:val="000000"/>
          <w:sz w:val="22"/>
        </w:rPr>
        <w:t>, a general description of the site assessment results, a schedule for submission of the risk evaluation/response action document, and the reasons for not requesting department review and approval of the site assessment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105.209(2)</w:t>
      </w:r>
      <w:r>
        <w:rPr>
          <w:rFonts w:ascii="Times New Roman" w:hAnsi="Times New Roman"/>
          <w:b w:val="false"/>
          <w:i w:val="false"/>
          <w:color w:val="000000"/>
          <w:sz w:val="22"/>
        </w:rPr>
        <w:t> </w:t>
      </w:r>
      <w:r>
        <w:rPr>
          <w:rFonts w:ascii="Times New Roman" w:hAnsi="Times New Roman"/>
          <w:b w:val="false"/>
          <w:i/>
          <w:color w:val="000000"/>
          <w:sz w:val="22"/>
        </w:rPr>
        <w:t xml:space="preserve">Risk evaluation/response action document submission. </w:t>
      </w:r>
      <w:r>
        <w:rPr>
          <w:rFonts w:ascii="Times New Roman" w:hAnsi="Times New Roman"/>
          <w:b w:val="false"/>
          <w:i w:val="false"/>
          <w:color w:val="000000"/>
          <w:sz w:val="22"/>
        </w:rPr>
        <w:t>A risk evaluation/response action document shall be submitted for review and approval by the department. When considered in conjunction with the site assessment report, these documents shall present a complete picture of the site from its characterization, through the evaluation of risk, to the development of a strategy to address the situation. An effort shall be made to ensure that the reviewer, or other interested parties, can gain an understanding of the existing situation and proposed actions. The risk evaluation/response action document shall include a summary of findings regarding present risks and potential future risks; a pathway-specific identification of the standards to be applied, including the supporting rationale, if appropriate; a discussion of the proposed response actions, including remedial actions to be taken and institutional or technological controls to be implemented; and a discussion of the proposed verification strategy. Any modeling used for purposes of assessing future risk or establishing site-specific standards shall be presented in sufficient detail to permit evaluation of the results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105.209(3)</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and approval. </w:t>
      </w:r>
      <w:r>
        <w:rPr>
          <w:rFonts w:ascii="Times New Roman" w:hAnsi="Times New Roman"/>
          <w:b w:val="false"/>
          <w:i w:val="false"/>
          <w:color w:val="000000"/>
          <w:sz w:val="22"/>
        </w:rPr>
        <w:t>It is recommended that the risk evaluation/response action be submitted for review and approval prior to proceeding with implementation of the response action. The final, department-approved document shall be the basis for assessing subsequent activities at the site. Parties choosing to proceed with response actions without prior review and approval by the department proceed at their own risk and may not assume the response action implemented will result in a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Parties choosing to implement a response action without prior review and approval by the department shall submit to the department a proposed risk evaluation/response action document accompanied by an explanation of the reason(s) for proceeding without prior approval. Documentation shall also include a schedule for implementation, a description of construction or other activities to be undertaken, and date for submission of the final report demonstrating compliance, as described in </w:t>
      </w:r>
      <w:hyperlink r:id="rId145">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provide opportunity to comment on proposed response actions to any party that is potentially impacted by off-site migration of contaminants for which notification is required in accordance with </w:t>
      </w:r>
      <w:hyperlink r:id="rId146">
        <w:r>
          <w:rPr>
            <w:rStyle w:val="Hyperlink"/>
            <w:rFonts w:ascii="Times New Roman" w:hAnsi="Times New Roman"/>
            <w:b w:val="false"/>
            <w:i w:val="false"/>
            <w:color w:val="000000"/>
            <w:sz w:val="22"/>
          </w:rPr>
          <w:t>105.208(6)</w:t>
        </w:r>
      </w:hyperlink>
      <w:r>
        <w:rPr>
          <w:rFonts w:ascii="Times New Roman" w:hAnsi="Times New Roman"/>
          <w:b w:val="false"/>
          <w:i w:val="false"/>
          <w:color w:val="000000"/>
          <w:sz w:val="22"/>
        </w:rPr>
        <w:t>. The department shall consider reasonable comments from potentially impacted parties in determining whether to approve or disapprove a proposed response action or site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105.209(4)</w:t>
      </w:r>
      <w:r>
        <w:rPr>
          <w:rFonts w:ascii="Times New Roman" w:hAnsi="Times New Roman"/>
          <w:b w:val="false"/>
          <w:i w:val="false"/>
          <w:color w:val="000000"/>
          <w:sz w:val="22"/>
        </w:rPr>
        <w:t> </w:t>
      </w:r>
      <w:r>
        <w:rPr>
          <w:rFonts w:ascii="Times New Roman" w:hAnsi="Times New Roman"/>
          <w:b w:val="false"/>
          <w:i/>
          <w:color w:val="000000"/>
          <w:sz w:val="22"/>
        </w:rPr>
        <w:t xml:space="preserve">Risk evaluation. </w:t>
      </w:r>
      <w:r>
        <w:rPr>
          <w:rFonts w:ascii="Times New Roman" w:hAnsi="Times New Roman"/>
          <w:b w:val="false"/>
          <w:i w:val="false"/>
          <w:color w:val="000000"/>
          <w:sz w:val="22"/>
        </w:rPr>
        <w:t xml:space="preserve">The risk evaluation/response action document shall identify all locations or areas, and associated exposure pathways, where exposure currently exceeds a statewide standard or where a statewide standard may be exceeded in the future, due to either a change in exposure-related usage or contaminant migration. Current and future exposure pathways shall be evaluated and presented separately. This evaluation shall not be limited to exposure pathways for which the department has formulated risk-based values in </w:t>
      </w:r>
      <w:hyperlink r:id="rId147">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148">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(455H) but should include any pathway related to the situation for which the site is enrolled, for which a no further action certificate is sought, or for which an unacceptable risk may now or in the future exist, including but not limited to high concentrations of volatile compounds in proximity to a confined space, high concentrations of solvents in proximity to a water distribution line, or environmental concerns unrelated to human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case where a background standard is to be applied and there is no violation of a statewide standard, it will be necessary to identify only locations or areas where the background standard is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risk evaluation may be appropriately abbreviated from the preceding description based on the specific details of the contamination and the proposed 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105.209(5)</w:t>
      </w:r>
      <w:r>
        <w:rPr>
          <w:rFonts w:ascii="Times New Roman" w:hAnsi="Times New Roman"/>
          <w:b w:val="false"/>
          <w:i w:val="false"/>
          <w:color w:val="000000"/>
          <w:sz w:val="22"/>
        </w:rPr>
        <w:t> </w:t>
      </w:r>
      <w:r>
        <w:rPr>
          <w:rFonts w:ascii="Times New Roman" w:hAnsi="Times New Roman"/>
          <w:b w:val="false"/>
          <w:i/>
          <w:color w:val="000000"/>
          <w:sz w:val="22"/>
        </w:rPr>
        <w:t xml:space="preserve">Establishing cleanup standards. </w:t>
      </w:r>
      <w:r>
        <w:rPr>
          <w:rFonts w:ascii="Times New Roman" w:hAnsi="Times New Roman"/>
          <w:b w:val="false"/>
          <w:i w:val="false"/>
          <w:color w:val="000000"/>
          <w:sz w:val="22"/>
        </w:rPr>
        <w:t xml:space="preserve">The risk evaluation/response action document shall identify the cleanup standards to be applied in accordance with </w:t>
      </w:r>
      <w:hyperlink r:id="rId149">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150">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151">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(455H), outlining respectively the background, statewide, or site-specific standards. These standards may be applied in any combination to address specific components of the contamination problem for which the site is enrolled. If cleanup standards other than those specifically formulated under the statewide standard (</w:t>
      </w:r>
      <w:hyperlink r:id="rId152">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(455H)) are to be applied, then the rationale behind the determination of such standards shall be justified, in the document, to the department’s satisfaction.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105.209(6)</w:t>
      </w:r>
      <w:r>
        <w:rPr>
          <w:rFonts w:ascii="Times New Roman" w:hAnsi="Times New Roman"/>
          <w:b w:val="false"/>
          <w:i w:val="false"/>
          <w:color w:val="000000"/>
          <w:sz w:val="22"/>
        </w:rPr>
        <w:t> </w:t>
      </w:r>
      <w:r>
        <w:rPr>
          <w:rFonts w:ascii="Times New Roman" w:hAnsi="Times New Roman"/>
          <w:b w:val="false"/>
          <w:i/>
          <w:color w:val="000000"/>
          <w:sz w:val="22"/>
        </w:rPr>
        <w:t xml:space="preserve">The use of models. </w:t>
      </w:r>
      <w:r>
        <w:rPr>
          <w:rFonts w:ascii="Times New Roman" w:hAnsi="Times New Roman"/>
          <w:b w:val="false"/>
          <w:i w:val="false"/>
          <w:color w:val="000000"/>
          <w:sz w:val="22"/>
        </w:rPr>
        <w:t>Models may be necessary in order to evaluate potential future exposures and may be used to develop target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Standard models. </w:t>
      </w:r>
      <w:r>
        <w:rPr>
          <w:rFonts w:ascii="Times New Roman" w:hAnsi="Times New Roman"/>
          <w:b w:val="false"/>
          <w:i w:val="false"/>
          <w:color w:val="000000"/>
          <w:sz w:val="22"/>
        </w:rPr>
        <w:t xml:space="preserve">Standard models may be used to predict future contaminant concentrations at potential points of exposure to contaminants or at other locations used for determining compliance when such models are appropriate, as determined by the department. Applicable Tier 2 models approved for use in accordance with </w:t>
      </w:r>
      <w:hyperlink r:id="rId153">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xml:space="preserve"> for underground storage tanks (USTs) and applicable Tier 2 models provided in ASTM standards are acceptable standard models. Models that provide a two-dimensional representation of groundwater flow will not be considered to be appropriate when significant three-dimensional components to groundwater flow are anticipated. Default values for input parameters for ASTM and UST Tier 2 models, as provided in applicable ASTM standards and approved for use in accordance with </w:t>
      </w:r>
      <w:hyperlink r:id="rId15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 may be utilized without approval by the department. The department shall maintain a guidance document that includes a list of other chemical-specific default values for all chemicals having statewide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Site-specific models. </w:t>
      </w:r>
      <w:r>
        <w:rPr>
          <w:rFonts w:ascii="Times New Roman" w:hAnsi="Times New Roman"/>
          <w:b w:val="false"/>
          <w:i w:val="false"/>
          <w:color w:val="000000"/>
          <w:sz w:val="22"/>
        </w:rPr>
        <w:t>Site-specific models may be used to predict future contaminant concentrations at potential points of exposure to contaminants or at other locations used for determining compliance when such models are appropriate, as determined by the department. Site-specific models may include standard models with site-specific input parameters or models utilizing more sophisticated analytical techniques. A site-specific groundwater model shall have proven reliability and be able to simulate, as needed: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fixed contaminant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Groundwater and contaminant flow in three dimensions,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Groundwater and contaminant flow through as many distinct geologic layers as necessary for the site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Effects of pumping,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Effects of groundwater recharge and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Impacts of hydrologic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Contaminant advection, dispersion and chemical reactions, as appropriate for the site in question,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site-specific variables as appropriate.</w:t>
      </w:r>
    </w:p>
    <w:p>
      <w:pPr>
        <w:spacing w:before="0" w:after="0"/>
        <w:ind w:left="120"/>
        <w:jc w:val="both"/>
      </w:pPr>
      <w:r>
        <w:rPr>
          <w:rFonts w:ascii="Times New Roman" w:hAnsi="Times New Roman"/>
          <w:b w:val="false"/>
          <w:i w:val="false"/>
          <w:color w:val="000000"/>
          <w:sz w:val="22"/>
        </w:rPr>
        <w:t>Default values for input parameters approved for standard models will be approved for use in site-specific models. Otherwise, input parameters used in site-specific models are subject to the department’s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105.209(7)</w:t>
      </w:r>
      <w:r>
        <w:rPr>
          <w:rFonts w:ascii="Times New Roman" w:hAnsi="Times New Roman"/>
          <w:b w:val="false"/>
          <w:i w:val="false"/>
          <w:color w:val="000000"/>
          <w:sz w:val="22"/>
        </w:rPr>
        <w:t> </w:t>
      </w:r>
      <w:r>
        <w:rPr>
          <w:rFonts w:ascii="Times New Roman" w:hAnsi="Times New Roman"/>
          <w:b w:val="false"/>
          <w:i/>
          <w:color w:val="000000"/>
          <w:sz w:val="22"/>
        </w:rPr>
        <w:t xml:space="preserve">Response action. </w:t>
      </w:r>
      <w:r>
        <w:rPr>
          <w:rFonts w:ascii="Times New Roman" w:hAnsi="Times New Roman"/>
          <w:b w:val="false"/>
          <w:i w:val="false"/>
          <w:color w:val="000000"/>
          <w:sz w:val="22"/>
        </w:rPr>
        <w:t>The risk evaluation/response action document shall include a proposal for a response action or strategy to achieve and maintain compliance with the selected standard(s). This may consist of activities designed to remove or treat contaminants; prevent exposure to unacceptable levels of contamination through technological controls, institutional controls or monitoring; or a combination thereof. If the response action involves the use of a standard that is less stringent than the statewide standard, it will be necessary to implement institutional controls to prevent the type of exposure on which the statewide standard is based unless otherwise authorized by the department. It is the intent of the department to permit the participant to identify and carry out those options by which this may be accomplished, insofar as the department deems the selected options to be reasonable, protective of the public health and safety and the environment, and consistent with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105.209(8)</w:t>
      </w:r>
      <w:r>
        <w:rPr>
          <w:rFonts w:ascii="Times New Roman" w:hAnsi="Times New Roman"/>
          <w:b w:val="false"/>
          <w:i w:val="false"/>
          <w:color w:val="000000"/>
          <w:sz w:val="22"/>
        </w:rPr>
        <w:t> </w:t>
      </w:r>
      <w:r>
        <w:rPr>
          <w:rFonts w:ascii="Times New Roman" w:hAnsi="Times New Roman"/>
          <w:b w:val="false"/>
          <w:i/>
          <w:color w:val="000000"/>
          <w:sz w:val="22"/>
        </w:rPr>
        <w:t xml:space="preserve">Free product and gross contamination.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Contaminants presented as free product and gross contamination shall not be addressed through the implementation of institutional or technological controls. For purposes of this rule, gross contamination will be considered to be contamination present at concentrations in excess of a standard by an amount sufficient to reasonably expect that institutional or technological controls will not be adequately protective of the public health and safety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treatment or removal of free product or gross contamination is not feasible, the participant may request a waiver of this subrule, subject to all provisions of Iowa law related to waivers.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105.209(9)</w:t>
      </w:r>
      <w:r>
        <w:rPr>
          <w:rFonts w:ascii="Times New Roman" w:hAnsi="Times New Roman"/>
          <w:b w:val="false"/>
          <w:i w:val="false"/>
          <w:color w:val="000000"/>
          <w:sz w:val="22"/>
        </w:rPr>
        <w:t> </w:t>
      </w:r>
      <w:r>
        <w:rPr>
          <w:rFonts w:ascii="Times New Roman" w:hAnsi="Times New Roman"/>
          <w:b w:val="false"/>
          <w:i/>
          <w:color w:val="000000"/>
          <w:sz w:val="22"/>
        </w:rPr>
        <w:t xml:space="preserve">Compliance verification strategy. </w:t>
      </w:r>
      <w:r>
        <w:rPr>
          <w:rFonts w:ascii="Times New Roman" w:hAnsi="Times New Roman"/>
          <w:b w:val="false"/>
          <w:i w:val="false"/>
          <w:color w:val="000000"/>
          <w:sz w:val="22"/>
        </w:rPr>
        <w:t xml:space="preserve">The risk evaluation/response action document shall outline a strategy for determining whether the relevant standards are met by the site and will continue to be met in the future. For response strategies that call for longer-term monitoring, standard-based values shall be identified that, if exceeded, would indicate a failure of the response action and necessitate the development and implementation of a new response action. The terms under which monitoring may cease may be proposed. The proposed strategy shall be consistent with </w:t>
      </w:r>
      <w:hyperlink r:id="rId155">
        <w:r>
          <w:rPr>
            <w:rStyle w:val="Hyperlink"/>
            <w:rFonts w:ascii="Times New Roman" w:hAnsi="Times New Roman"/>
            <w:b w:val="false"/>
            <w:i w:val="false"/>
            <w:color w:val="000000"/>
            <w:sz w:val="22"/>
          </w:rPr>
          <w:t>567—105.210</w:t>
        </w:r>
      </w:hyperlink>
      <w:r>
        <w:rPr>
          <w:rFonts w:ascii="Times New Roman" w:hAnsi="Times New Roman"/>
          <w:b w:val="false"/>
          <w:i w:val="false"/>
          <w:color w:val="000000"/>
          <w:sz w:val="22"/>
        </w:rPr>
        <w:t xml:space="preserve">(455H) related to demonstration of compliance and shall indicate the standard to be applied and the point of compliance at which it is to be applied, consistent with </w:t>
      </w:r>
      <w:hyperlink r:id="rId156">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157">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and </w:t>
      </w:r>
      <w:hyperlink r:id="rId158">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(455H).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567—105.210</w:t>
      </w:r>
      <w:r>
        <w:rPr>
          <w:rFonts w:ascii="Times New Roman" w:hAnsi="Times New Roman"/>
          <w:b/>
          <w:i w:val="false"/>
          <w:color w:val="000000"/>
          <w:sz w:val="22"/>
        </w:rPr>
        <w:t xml:space="preserve">(455H) </w:t>
      </w:r>
      <w:r>
        <w:rPr>
          <w:rFonts w:ascii="Times New Roman" w:hAnsi="Times New Roman"/>
          <w:b/>
          <w:i w:val="false"/>
          <w:color w:val="000000"/>
          <w:sz w:val="22"/>
        </w:rPr>
        <w:t xml:space="preserve">Demonstration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demonstration of compliance is to provide a mechanism by which to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and acceptable standards are complied with and that compliance can be reasonably expected to continue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and all remedial measures proposed under </w:t>
      </w:r>
      <w:hyperlink r:id="rId159">
        <w:r>
          <w:rPr>
            <w:rStyle w:val="Hyperlink"/>
            <w:rFonts w:ascii="Times New Roman" w:hAnsi="Times New Roman"/>
            <w:b w:val="false"/>
            <w:i w:val="false"/>
            <w:color w:val="000000"/>
            <w:sz w:val="22"/>
          </w:rPr>
          <w:t>567—105.209</w:t>
        </w:r>
      </w:hyperlink>
      <w:r>
        <w:rPr>
          <w:rFonts w:ascii="Times New Roman" w:hAnsi="Times New Roman"/>
          <w:b w:val="false"/>
          <w:i w:val="false"/>
          <w:color w:val="000000"/>
          <w:sz w:val="22"/>
        </w:rPr>
        <w:t>(455H) have achieved their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Appropriate institutional and technological controls, or monitoring mechanisms, have been successfully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some cases, the demonstration of compliance may mark the final step, taken by the participant prior to the issuance of an unconditional no further action certificate by the department. In other cases, it may mark the transition to the longer term closure activities associated with the site, such as monitoring, maintenance of technological controls, and continuing enforcement of institutional controls. In this latter case, demonstration of compliance activities may or may not result in the issuance of an unconditional no further action certificate, depending on the approach proposed in the response action. In some cases, it may be necessary to successfully complete a monitoring program or to fulfill other agreed-upon obligations prior to the issuance of the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all cases, sampling of environmental media shall comply with QA/QC requirements addressed in </w:t>
      </w:r>
      <w:hyperlink r:id="rId160">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105.210(2)</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demonstrating compliance with soil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standard being applied, the demonstration of compliance shall be at the point of compliance or point of exposure as set forth in </w:t>
      </w:r>
      <w:hyperlink r:id="rId161">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162">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163">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 xml:space="preserve">(455H) relating to background standards, statewide standards, and site-specific standards and as described in a site-specific context pursuant to </w:t>
      </w:r>
      <w:hyperlink r:id="rId164">
        <w:r>
          <w:rPr>
            <w:rStyle w:val="Hyperlink"/>
            <w:rFonts w:ascii="Times New Roman" w:hAnsi="Times New Roman"/>
            <w:b w:val="false"/>
            <w:i w:val="false"/>
            <w:color w:val="000000"/>
            <w:sz w:val="22"/>
          </w:rPr>
          <w:t>105.209(7)</w:t>
        </w:r>
      </w:hyperlink>
      <w:r>
        <w:rPr>
          <w:rFonts w:ascii="Times New Roman" w:hAnsi="Times New Roman"/>
          <w:b w:val="false"/>
          <w:i w:val="false"/>
          <w:color w:val="000000"/>
          <w:sz w:val="22"/>
        </w:rPr>
        <w:t xml:space="preserve">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Minimum sample numbers for the demonstration of compliance with the background standard for soils pursuant to </w:t>
      </w:r>
      <w:hyperlink r:id="rId165">
        <w:r>
          <w:rPr>
            <w:rStyle w:val="Hyperlink"/>
            <w:rFonts w:ascii="Times New Roman" w:hAnsi="Times New Roman"/>
            <w:b w:val="false"/>
            <w:i w:val="false"/>
            <w:color w:val="000000"/>
            <w:sz w:val="22"/>
          </w:rPr>
          <w:t>105.210(4)</w:t>
        </w:r>
      </w:hyperlink>
      <w:r>
        <w:rPr>
          <w:rFonts w:ascii="Times New Roman" w:hAnsi="Times New Roman"/>
          <w:b w:val="false"/>
          <w:i/>
          <w:color w:val="000000"/>
          <w:sz w:val="22"/>
        </w:rPr>
        <w:t>“b”</w:t>
      </w:r>
      <w:r>
        <w:rPr>
          <w:rFonts w:ascii="Times New Roman" w:hAnsi="Times New Roman"/>
          <w:b w:val="false"/>
          <w:i w:val="false"/>
          <w:color w:val="000000"/>
          <w:sz w:val="22"/>
        </w:rPr>
        <w:t xml:space="preserve"> or with the statewide standard when applying </w:t>
      </w:r>
      <w:hyperlink r:id="rId166">
        <w:r>
          <w:rPr>
            <w:rStyle w:val="Hyperlink"/>
            <w:rFonts w:ascii="Times New Roman" w:hAnsi="Times New Roman"/>
            <w:b w:val="false"/>
            <w:i w:val="false"/>
            <w:color w:val="000000"/>
            <w:sz w:val="22"/>
          </w:rPr>
          <w:t>105.210(5)</w:t>
        </w:r>
        <w:r>
          <w:rPr>
            <w:rFonts w:ascii="Times New Roman" w:hAnsi="Times New Roman"/>
            <w:b w:val="false"/>
            <w:i/>
            <w:color w:val="000000"/>
            <w:sz w:val="22"/>
          </w:rPr>
          <w:t>“a”</w:t>
        </w:r>
      </w:hyperlink>
      <w:r>
        <w:rPr>
          <w:rFonts w:ascii="Times New Roman" w:hAnsi="Times New Roman"/>
          <w:b w:val="false"/>
          <w:i w:val="false"/>
          <w:color w:val="000000"/>
          <w:sz w:val="22"/>
        </w:rPr>
        <w:t>(1) shall be based on the volume of soil to which the selected standard is being applied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volumes less than or equal to 125 cubic yards, a minimum of eight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volumes greater than 125 cubic yards, but less than or equal to 3,000 cubic yards, a minimum of 12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each additional volume of less than or equal to 3,000 cubic yards, a minimum of 12 additional samples.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Additional samples may be required based on site-specific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EPA applicable guidance used pursuant to these rules requires demonstration of a 95 percent upper confidence limit, the minimum sample number shall be as specified in that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Sample locations for demonstration of compliance shall be selected in a random fashion to be representative, both horizontally and vertically, of the volume of soil being evaluated for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Sampling for the purpose of demonstrating compliance shall be conducted after the completion of site assessment activities and after the implementation of applicable remedial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105.210(3)</w:t>
      </w:r>
      <w:r>
        <w:rPr>
          <w:rFonts w:ascii="Times New Roman" w:hAnsi="Times New Roman"/>
          <w:b w:val="false"/>
          <w:i w:val="false"/>
          <w:color w:val="000000"/>
          <w:sz w:val="22"/>
        </w:rPr>
        <w:t> </w:t>
      </w:r>
      <w:r>
        <w:rPr>
          <w:rFonts w:ascii="Times New Roman" w:hAnsi="Times New Roman"/>
          <w:b w:val="false"/>
          <w:i/>
          <w:color w:val="000000"/>
          <w:sz w:val="22"/>
        </w:rPr>
        <w:t xml:space="preserve">General requirements for demonstrating compliance with groundwater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standard being applied, the demonstration of compliance shall be at the point of compliance or point of exposure as set forth in </w:t>
      </w:r>
      <w:hyperlink r:id="rId167">
        <w:r>
          <w:rPr>
            <w:rStyle w:val="Hyperlink"/>
            <w:rFonts w:ascii="Times New Roman" w:hAnsi="Times New Roman"/>
            <w:b w:val="false"/>
            <w:i w:val="false"/>
            <w:color w:val="000000"/>
            <w:sz w:val="22"/>
          </w:rPr>
          <w:t>567—105.204</w:t>
        </w:r>
      </w:hyperlink>
      <w:r>
        <w:rPr>
          <w:rFonts w:ascii="Times New Roman" w:hAnsi="Times New Roman"/>
          <w:b w:val="false"/>
          <w:i w:val="false"/>
          <w:color w:val="000000"/>
          <w:sz w:val="22"/>
        </w:rPr>
        <w:t xml:space="preserve">(455H), </w:t>
      </w:r>
      <w:hyperlink r:id="rId168">
        <w:r>
          <w:rPr>
            <w:rStyle w:val="Hyperlink"/>
            <w:rFonts w:ascii="Times New Roman" w:hAnsi="Times New Roman"/>
            <w:b w:val="false"/>
            <w:i w:val="false"/>
            <w:color w:val="000000"/>
            <w:sz w:val="22"/>
          </w:rPr>
          <w:t>567—105.205</w:t>
        </w:r>
      </w:hyperlink>
      <w:r>
        <w:rPr>
          <w:rFonts w:ascii="Times New Roman" w:hAnsi="Times New Roman"/>
          <w:b w:val="false"/>
          <w:i w:val="false"/>
          <w:color w:val="000000"/>
          <w:sz w:val="22"/>
        </w:rPr>
        <w:t xml:space="preserve">(455H), or </w:t>
      </w:r>
      <w:hyperlink r:id="rId169">
        <w:r>
          <w:rPr>
            <w:rStyle w:val="Hyperlink"/>
            <w:rFonts w:ascii="Times New Roman" w:hAnsi="Times New Roman"/>
            <w:b w:val="false"/>
            <w:i w:val="false"/>
            <w:color w:val="000000"/>
            <w:sz w:val="22"/>
          </w:rPr>
          <w:t>567—105.206</w:t>
        </w:r>
      </w:hyperlink>
      <w:r>
        <w:rPr>
          <w:rFonts w:ascii="Times New Roman" w:hAnsi="Times New Roman"/>
          <w:b w:val="false"/>
          <w:i w:val="false"/>
          <w:color w:val="000000"/>
          <w:sz w:val="22"/>
        </w:rPr>
        <w:t xml:space="preserve">(455H) relating to background standards, statewide standards, and site-specific standards and as described in a site-specific context pursuant to </w:t>
      </w:r>
      <w:hyperlink r:id="rId170">
        <w:r>
          <w:rPr>
            <w:rStyle w:val="Hyperlink"/>
            <w:rFonts w:ascii="Times New Roman" w:hAnsi="Times New Roman"/>
            <w:b w:val="false"/>
            <w:i w:val="false"/>
            <w:color w:val="000000"/>
            <w:sz w:val="22"/>
          </w:rPr>
          <w:t>105.209(7)</w:t>
        </w:r>
      </w:hyperlink>
      <w:r>
        <w:rPr>
          <w:rFonts w:ascii="Times New Roman" w:hAnsi="Times New Roman"/>
          <w:b w:val="false"/>
          <w:i w:val="false"/>
          <w:color w:val="000000"/>
          <w:sz w:val="22"/>
        </w:rPr>
        <w:t xml:space="preserve">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Monitoring wells installed for the purpose of demonstrating compliance shall be of sufficient number and appropriate location to evaluate all hydrologic strata of concern, based on site-specific considerations, as identified pursuant to </w:t>
      </w:r>
      <w:hyperlink r:id="rId171">
        <w:r>
          <w:rPr>
            <w:rStyle w:val="Hyperlink"/>
            <w:rFonts w:ascii="Times New Roman" w:hAnsi="Times New Roman"/>
            <w:b w:val="false"/>
            <w:i w:val="false"/>
            <w:color w:val="000000"/>
            <w:sz w:val="22"/>
          </w:rPr>
          <w:t>105.209(7)</w:t>
        </w:r>
      </w:hyperlink>
      <w:r>
        <w:rPr>
          <w:rFonts w:ascii="Times New Roman" w:hAnsi="Times New Roman"/>
          <w:b w:val="false"/>
          <w:i w:val="false"/>
          <w:color w:val="000000"/>
          <w:sz w:val="22"/>
        </w:rPr>
        <w:t>, relating to risk evaluation/response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statistical methods under </w:t>
      </w:r>
      <w:hyperlink r:id="rId172">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“b”</w:t>
      </w:r>
      <w:r>
        <w:rPr>
          <w:rFonts w:ascii="Times New Roman" w:hAnsi="Times New Roman"/>
          <w:b w:val="false"/>
          <w:i w:val="false"/>
          <w:color w:val="000000"/>
          <w:sz w:val="22"/>
        </w:rPr>
        <w:t>(1), compliance with the statewide groundwater standard shall be based on eight consecutive quarters of groundwater data. As an alternative, the department may accept four consecutive quarterly sampling events or less with prior written approval from the department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adequate spatial monitoring of the plume upgradient that indicates a decreasing concentration trend toward the downgradient property boundary.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Parameters affecting the fate and transport of regulated substances within the plume have been fully evaluated.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Concentrations of regulated substances in the plume at the point of compliance monitoring wells along the downgradient property boundary are all less than or equal to the groundwater standard or the limit relating to the PQL, whichever is higher, in all samples collected during the quarters of monitoring.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One of the following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age of the plume is sufficiently well known to permit a judgment to be made regarding its stability.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remediation includes source removal or containment actions that would reduce chemical flux into the plume.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applying a 95 percent upper confidence limit, according to EPA applicable guidance, to demonstrate compliance with the statewide standard for groundwater pursuant to </w:t>
      </w:r>
      <w:hyperlink r:id="rId173">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“b”</w:t>
      </w:r>
      <w:r>
        <w:rPr>
          <w:rFonts w:ascii="Times New Roman" w:hAnsi="Times New Roman"/>
          <w:b w:val="false"/>
          <w:i w:val="false"/>
          <w:color w:val="000000"/>
          <w:sz w:val="22"/>
        </w:rPr>
        <w:t xml:space="preserve">(2) or a site-specific standard for groundwater pursuant to </w:t>
      </w:r>
      <w:hyperlink r:id="rId174">
        <w:r>
          <w:rPr>
            <w:rStyle w:val="Hyperlink"/>
            <w:rFonts w:ascii="Times New Roman" w:hAnsi="Times New Roman"/>
            <w:b w:val="false"/>
            <w:i w:val="false"/>
            <w:color w:val="000000"/>
            <w:sz w:val="22"/>
          </w:rPr>
          <w:t>105.210(6)</w:t>
        </w:r>
      </w:hyperlink>
      <w:r>
        <w:rPr>
          <w:rFonts w:ascii="Times New Roman" w:hAnsi="Times New Roman"/>
          <w:b w:val="false"/>
          <w:i w:val="false"/>
          <w:color w:val="000000"/>
          <w:sz w:val="22"/>
        </w:rPr>
        <w:t>, the minimum sample number shall be as specified in that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Sampling for the purposes of demonstrating compliance shall be conducted after the completion of site assessment activities and after the implementation of applicable remedial measures.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105.210(4)</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a background standard.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apply a background standard the participant shall demonstrate to the department, in writing, that the apparent background contamination at the site is due to widespread or naturally occurring contamination and shall obtain the department’s approval to apply this subrule. Data collected for the purpose of determining the applicable background standard is subject to department approval, interpretation, and manipulation, if necessary for the purpose of establishing a meaningful background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soil, the minimum sample number to determine the background standard shall be ten, unless a lesser number is approved by the department, and the number of samples from the affected area shall be based on volume as described in </w:t>
      </w:r>
      <w:hyperlink r:id="rId175">
        <w:r>
          <w:rPr>
            <w:rStyle w:val="Hyperlink"/>
            <w:rFonts w:ascii="Times New Roman" w:hAnsi="Times New Roman"/>
            <w:b w:val="false"/>
            <w:i w:val="false"/>
            <w:color w:val="000000"/>
            <w:sz w:val="22"/>
          </w:rPr>
          <w:t>105.210(2)</w:t>
        </w:r>
      </w:hyperlink>
      <w:r>
        <w:rPr>
          <w:rFonts w:ascii="Times New Roman" w:hAnsi="Times New Roman"/>
          <w:b w:val="false"/>
          <w:i/>
          <w:color w:val="000000"/>
          <w:sz w:val="22"/>
        </w:rPr>
        <w:t>“b.”</w:t>
      </w:r>
      <w:r>
        <w:rPr>
          <w:rFonts w:ascii="Times New Roman" w:hAnsi="Times New Roman"/>
          <w:b w:val="false"/>
          <w:i w:val="false"/>
          <w:color w:val="000000"/>
          <w:sz w:val="22"/>
        </w:rPr>
        <w:t xml:space="preserve"> No sample collected from the affected area may exceed the sum of the background arithmetic mean and three times the sample standard deviation, as calculated based on the background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groundwater, a minimum of 12 locations shall be sampled in the background reference area, unless a lesser number is approved by the department, and an equal number shall be collected from the affected area. In areas involving more than one hydrologic strata, more samples may be required. Sampling shall be conducted concurrently in the background reference area and the affected area. No sample collected from the affected area may exceed the sum of the background arithmetic mean and three times the sample standard deviation, as calculated based on the background sampling.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105.210(5)</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the statewide standard. </w:t>
      </w:r>
      <w:r>
        <w:rPr>
          <w:rFonts w:ascii="Times New Roman" w:hAnsi="Times New Roman"/>
          <w:b w:val="false"/>
          <w:i w:val="false"/>
          <w:color w:val="000000"/>
          <w:sz w:val="22"/>
        </w:rPr>
        <w:t>The following requirements shall be met in order to demonstrate compliance with the statewide standard. Testing shall be performed individually for each contaminant being addressed and for which a no further action certificate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To demonstrate compliance with the statewide standard for soils in each affected area, soil samples taken at the enrolled site must be within the statistical limits of either </w:t>
      </w:r>
      <w:hyperlink r:id="rId176">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as well as all other applicable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all soil samples, collected during a single event, shall be less than or equal to the statewide standard, with no individual sample exceeding ten times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accordance with EPA-approved methods (OSWER 9285.6-10, 2002), the 95 percent upper confidence limit of the arithmetic mean of soil sample values from the affected area shall be at or below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To demonstrate compliance with the statewide standard for groundwater in each compliance monitoring well, water samples taken from the wells must be within the statistical limits of either </w:t>
      </w:r>
      <w:hyperlink r:id="rId177">
        <w:r>
          <w:rPr>
            <w:rStyle w:val="Hyperlink"/>
            <w:rFonts w:ascii="Times New Roman" w:hAnsi="Times New Roman"/>
            <w:b w:val="false"/>
            <w:i w:val="false"/>
            <w:color w:val="000000"/>
            <w:sz w:val="22"/>
          </w:rPr>
          <w:t>105.210(5)</w:t>
        </w:r>
      </w:hyperlink>
      <w:r>
        <w:rPr>
          <w:rFonts w:ascii="Times New Roman" w:hAnsi="Times New Roman"/>
          <w:b w:val="false"/>
          <w:i/>
          <w:color w:val="000000"/>
          <w:sz w:val="22"/>
        </w:rPr>
        <w:t>“a”</w:t>
      </w:r>
      <w:r>
        <w:rPr>
          <w:rFonts w:ascii="Times New Roman" w:hAnsi="Times New Roman"/>
          <w:b w:val="false"/>
          <w:i w:val="false"/>
          <w:color w:val="000000"/>
          <w:sz w:val="22"/>
        </w:rPr>
        <w:t xml:space="preserve">(1) or </w:t>
      </w:r>
      <w:r>
        <w:rPr>
          <w:rFonts w:ascii="Times New Roman" w:hAnsi="Times New Roman"/>
          <w:b w:val="false"/>
          <w:i/>
          <w:color w:val="000000"/>
          <w:sz w:val="22"/>
        </w:rPr>
        <w:t>“a”</w:t>
      </w:r>
      <w:r>
        <w:rPr>
          <w:rFonts w:ascii="Times New Roman" w:hAnsi="Times New Roman"/>
          <w:b w:val="false"/>
          <w:i w:val="false"/>
          <w:color w:val="000000"/>
          <w:sz w:val="22"/>
        </w:rPr>
        <w:t>(2), as well as all other applicable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Seventy-five percent of all samples collected in each compliance monitoring well over time shall be less than or equal to the statewide standard, with no individual sample exceeding ten times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accordance with EPA-approved methods (OSWER 9285.6-10, 2002), the 95 percent upper confidence limit of the arithmetic mean of samples collected from a compliance well over time shall be at or below the statewide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105.210(6)</w:t>
      </w:r>
      <w:r>
        <w:rPr>
          <w:rFonts w:ascii="Times New Roman" w:hAnsi="Times New Roman"/>
          <w:b w:val="false"/>
          <w:i w:val="false"/>
          <w:color w:val="000000"/>
          <w:sz w:val="22"/>
        </w:rPr>
        <w:t> </w:t>
      </w:r>
      <w:r>
        <w:rPr>
          <w:rFonts w:ascii="Times New Roman" w:hAnsi="Times New Roman"/>
          <w:b w:val="false"/>
          <w:i/>
          <w:color w:val="000000"/>
          <w:sz w:val="22"/>
        </w:rPr>
        <w:t xml:space="preserve">Demonstration of compliance with a site-specific standard. </w:t>
      </w:r>
      <w:r>
        <w:rPr>
          <w:rFonts w:ascii="Times New Roman" w:hAnsi="Times New Roman"/>
          <w:b w:val="false"/>
          <w:i w:val="false"/>
          <w:color w:val="000000"/>
          <w:sz w:val="22"/>
        </w:rPr>
        <w:t xml:space="preserve">To demonstrate compliance with a site-specific standard, the participant shall use the tests identified in </w:t>
      </w:r>
      <w:hyperlink r:id="rId178">
        <w:r>
          <w:rPr>
            <w:rStyle w:val="Hyperlink"/>
            <w:rFonts w:ascii="Times New Roman" w:hAnsi="Times New Roman"/>
            <w:b w:val="false"/>
            <w:i w:val="false"/>
            <w:color w:val="000000"/>
            <w:sz w:val="22"/>
          </w:rPr>
          <w:t>105.210(5)</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(2), except that the 95 percent upper confidence limit of the arithmetic mean for samples from the medium of concern shall be at or below the site-specific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105.210(7)</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cumulative risk. </w:t>
      </w:r>
      <w:r>
        <w:rPr>
          <w:rFonts w:ascii="Times New Roman" w:hAnsi="Times New Roman"/>
          <w:b w:val="false"/>
          <w:i w:val="false"/>
          <w:color w:val="000000"/>
          <w:sz w:val="22"/>
        </w:rPr>
        <w:t>In addition to standards for individual contaminants as prescribed above, cumulative risk criteria must be attained, except that for the soil pathway only, the cumulative risk criteria may be attained in lieu of the standards for individual contaminants. Cumulative carcinogenic health risks shall not exceed 1 in 10,000. Noncarcinogenic health risks affecting the same target organ shall not exceed a cumulative hazard quotient of 1. Cumulative risk criteria are applicable to multiple contaminants in the same medium and multiple media in which exposure is likely to occur to the same individual. Cumulative risks shall be based on the same exposure assumptions that are used for determining the selected standard.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Risks associated with background levels of contaminants shall not be included in the cumulative risk determination. Background levels of contaminants shall be determined in accordance with </w:t>
      </w:r>
      <w:hyperlink r:id="rId179">
        <w:r>
          <w:rPr>
            <w:rStyle w:val="Hyperlink"/>
            <w:rFonts w:ascii="Times New Roman" w:hAnsi="Times New Roman"/>
            <w:b w:val="false"/>
            <w:i w:val="false"/>
            <w:color w:val="000000"/>
            <w:sz w:val="22"/>
          </w:rPr>
          <w:t>105.210(4)</w:t>
        </w:r>
      </w:hyperlink>
      <w:r>
        <w:rPr>
          <w:rFonts w:ascii="Times New Roman" w:hAnsi="Times New Roman"/>
          <w:b w:val="false"/>
          <w:i w:val="false"/>
          <w:color w:val="000000"/>
          <w:sz w:val="22"/>
        </w:rPr>
        <w:t xml:space="preserve"> or, if approved by the department, by the use of generally available information on background levels of contaminants.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situations where the risk associated with exposure to a contaminant at a concentration equal to the selected standard is greater than the acceptable cumulative risk, the cumulative risk may be calculated assuming the risk associated with exposure to the contaminant at a concentration equal to the selected standard is equal to the acceptable cumulative risk criterion. The department will provide a guidance document for calculating cumulative risk and make it readily available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105.210(8)</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A final report shall be submitted to the department that documents the accomplishment of all provisions set forth in the risk evaluation/response action document. This shall include, as applicable to the specific situation, discussions related to verification of compliance with selected standards, successful completion of remedial actions, implementation of necessary institutional or technological controls, and initiation of any required monitoring strategy. Sufficient details shall be included to permit the department to verify that the terms proposed in the response action have been met with regard to the statistical determination of compliance with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105.210(9)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final report is subject to review and approval by the department. Following review, the department will either approve the report or make a written response indicating the reason(s) why the report is unacceptable. Acceptance of the report may result in the issuance of an unconditional no further action certificate or it may mark a transition to the long-term closure activities associated with the site, as proposed in the response action. A decision that the report is unacceptable may be based upon an insufficiency of the report or it may be based on a judgment that the terms of the response action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cases where a participant has elected to proceed through this program without department interaction and without submitting site assessment pursuant to </w:t>
      </w:r>
      <w:hyperlink r:id="rId180">
        <w:r>
          <w:rPr>
            <w:rStyle w:val="Hyperlink"/>
            <w:rFonts w:ascii="Times New Roman" w:hAnsi="Times New Roman"/>
            <w:b w:val="false"/>
            <w:i w:val="false"/>
            <w:color w:val="000000"/>
            <w:sz w:val="22"/>
          </w:rPr>
          <w:t>567—105.208</w:t>
        </w:r>
      </w:hyperlink>
      <w:r>
        <w:rPr>
          <w:rFonts w:ascii="Times New Roman" w:hAnsi="Times New Roman"/>
          <w:b w:val="false"/>
          <w:i w:val="false"/>
          <w:color w:val="000000"/>
          <w:sz w:val="22"/>
        </w:rPr>
        <w:t xml:space="preserve">(455H), or risk evaluation/response action documents pursuant to </w:t>
      </w:r>
      <w:hyperlink r:id="rId181">
        <w:r>
          <w:rPr>
            <w:rStyle w:val="Hyperlink"/>
            <w:rFonts w:ascii="Times New Roman" w:hAnsi="Times New Roman"/>
            <w:b w:val="false"/>
            <w:i w:val="false"/>
            <w:color w:val="000000"/>
            <w:sz w:val="22"/>
          </w:rPr>
          <w:t>567—105.209</w:t>
        </w:r>
      </w:hyperlink>
      <w:r>
        <w:rPr>
          <w:rFonts w:ascii="Times New Roman" w:hAnsi="Times New Roman"/>
          <w:b w:val="false"/>
          <w:i w:val="false"/>
          <w:color w:val="000000"/>
          <w:sz w:val="22"/>
        </w:rPr>
        <w:t>(455H), the final report shall contain the substantive information related to those rules in addition to information required under this rule in a manner that clearly sets forth for departmental review the same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567—105.211</w:t>
      </w:r>
      <w:r>
        <w:rPr>
          <w:rFonts w:ascii="Times New Roman" w:hAnsi="Times New Roman"/>
          <w:b/>
          <w:i w:val="false"/>
          <w:color w:val="000000"/>
          <w:sz w:val="22"/>
        </w:rPr>
        <w:t xml:space="preserve">(455H) </w:t>
      </w:r>
      <w:r>
        <w:rPr>
          <w:rFonts w:ascii="Times New Roman" w:hAnsi="Times New Roman"/>
          <w:b/>
          <w:i w:val="false"/>
          <w:color w:val="000000"/>
          <w:sz w:val="22"/>
        </w:rPr>
        <w:t xml:space="preserve">No further action classification.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enrolled site shall be eligible to obtain a no further action classification when the department determines the participant has met all compliance standards of this division applicable to the affected area, and the hazardous substances identified and evaluated such that no further response action is required other than maintenance of institutional or technological controls or certain specified continuing site activities. Upon request of a participant or other protected party, and compliance with applicable standards, the department will issue a no further action certificate to each protected party requesting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no further action classification may be conditioned upon the continued maintenance and effectiveness of any applicable institutional or technological control in accordance with </w:t>
      </w:r>
      <w:hyperlink r:id="rId182">
        <w:r>
          <w:rPr>
            <w:rStyle w:val="Hyperlink"/>
            <w:rFonts w:ascii="Times New Roman" w:hAnsi="Times New Roman"/>
            <w:b w:val="false"/>
            <w:i w:val="false"/>
            <w:color w:val="000000"/>
            <w:sz w:val="22"/>
          </w:rPr>
          <w:t>567—105.207</w:t>
        </w:r>
      </w:hyperlink>
      <w:r>
        <w:rPr>
          <w:rFonts w:ascii="Times New Roman" w:hAnsi="Times New Roman"/>
          <w:b w:val="false"/>
          <w:i w:val="false"/>
          <w:color w:val="000000"/>
          <w:sz w:val="22"/>
        </w:rPr>
        <w:t>(455H).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105.211(2)</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 </w:t>
      </w:r>
      <w:r>
        <w:rPr>
          <w:rFonts w:ascii="Times New Roman" w:hAnsi="Times New Roman"/>
          <w:b w:val="false"/>
          <w:i w:val="false"/>
          <w:color w:val="000000"/>
          <w:sz w:val="22"/>
        </w:rPr>
        <w:t xml:space="preserve">A no further action certificate shall be in a form recordable in the county real estate records as provided in Iowa Code chapter </w:t>
      </w:r>
      <w:hyperlink r:id="rId183">
        <w:r>
          <w:rPr>
            <w:rStyle w:val="Hyperlink"/>
            <w:rFonts w:ascii="Times New Roman" w:hAnsi="Times New Roman"/>
            <w:b w:val="false"/>
            <w:i w:val="false"/>
            <w:color w:val="000000"/>
            <w:sz w:val="22"/>
          </w:rPr>
          <w:t>558</w:t>
        </w:r>
      </w:hyperlink>
      <w:r>
        <w:rPr>
          <w:rFonts w:ascii="Times New Roman" w:hAnsi="Times New Roman"/>
          <w:b w:val="false"/>
          <w:i w:val="false"/>
          <w:color w:val="000000"/>
          <w:sz w:val="22"/>
        </w:rPr>
        <w:t xml:space="preserve"> and consistent with the model forms developed by the department. The no further action certificate may be recorded as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105.211(3)</w:t>
      </w:r>
      <w:r>
        <w:rPr>
          <w:rFonts w:ascii="Times New Roman" w:hAnsi="Times New Roman"/>
          <w:b w:val="false"/>
          <w:i w:val="false"/>
          <w:color w:val="000000"/>
          <w:sz w:val="22"/>
        </w:rPr>
        <w:t> </w:t>
      </w:r>
      <w:r>
        <w:rPr>
          <w:rFonts w:ascii="Times New Roman" w:hAnsi="Times New Roman"/>
          <w:b w:val="false"/>
          <w:i/>
          <w:color w:val="000000"/>
          <w:sz w:val="22"/>
        </w:rPr>
        <w:t xml:space="preserve">No further action certificates conditioned on institutional and technological controls. </w:t>
      </w:r>
      <w:r>
        <w:rPr>
          <w:rFonts w:ascii="Times New Roman" w:hAnsi="Times New Roman"/>
          <w:b w:val="false"/>
          <w:i w:val="false"/>
          <w:color w:val="000000"/>
          <w:sz w:val="22"/>
        </w:rPr>
        <w:t>A no further action certificate conditioned upon the continuing effectiveness and maintenance of institutional and technological controls or other continuing requirements must be recorded with the consent of the fee titleholder for each parcel of affected property subject to the controls and for parcels of property for which prevention of exposure is dependent upon the continuing effectiveness and maintenance of the controls. If a participant is not able to record the no further action certificate on a parcel within the affected area due to objections of the fee titleholder or other legal restraints, this alone shall not be a basis for denying or rescinding the no further action classification or the certificate or the legal protections attendant to the no further action classification. Any modification or termination of institutional and technological controls shall be noted in an amended no further action certificate and shall be recorded as to any property subject to an earlier recorded certificate or institutional control. If a no further action certificate is required to be recorded, the no further action classification is not effective until the document is recorded with the county recorder.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105.211(4)</w:t>
      </w:r>
      <w:r>
        <w:rPr>
          <w:rFonts w:ascii="Times New Roman" w:hAnsi="Times New Roman"/>
          <w:b w:val="false"/>
          <w:i w:val="false"/>
          <w:color w:val="000000"/>
          <w:sz w:val="22"/>
        </w:rPr>
        <w:t> </w:t>
      </w:r>
      <w:r>
        <w:rPr>
          <w:rFonts w:ascii="Times New Roman" w:hAnsi="Times New Roman"/>
          <w:b w:val="false"/>
          <w:i/>
          <w:color w:val="000000"/>
          <w:sz w:val="22"/>
        </w:rPr>
        <w:t xml:space="preserve">Public notification. </w:t>
      </w:r>
      <w:r>
        <w:rPr>
          <w:rFonts w:ascii="Times New Roman" w:hAnsi="Times New Roman"/>
          <w:b w:val="false"/>
          <w:i w:val="false"/>
          <w:color w:val="000000"/>
          <w:sz w:val="22"/>
        </w:rPr>
        <w:t>The department shall prepare a public notice prior to approval of any no further action classification that is conditioned upon use of institutional or technological control(s). The public notice will describe the results of the risk assessment conducted in the affected area, any proposed or completed response action, the vertical and horizontal extent and concentrations of existing soil and groundwater contamination in the affected area, and the actual and potential pathways of exposure the controls are intended to address. The notice will describe the purpose of the institutional and technological control(s) being proposed and the predicted period of coverage. The notice will provide the opportunity for members of the public to review department files, make written comments and request a public hearing. The department may schedule a public hearing on the basis of requests from the public and when it determines the particular remedial options proposed for a site warrant public consideration, for example, when issues of whether and to what concentrations gross contamination should be allowed to remain within the affected area given the relative effectiveness of institutional controls and other community concerns and development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will be served by certified mail on all property owners that the actual or modeled data indicates are or may be affected by the present or future conditions addressed by the control. The notice will be published in a newspaper of general circulation most likely to reach persons in the immediate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controls are intended to restrict surface or subsurface future land use, the notice shall be sent to each local regulatory body having jurisdiction and control over or a direct interest in regulation of these activities. These may include but are not limited to municipal or county zoning boards, municipal building authorities, public utilities, and economic development agencies. If the controls are intended to restrict groundwater use, the notice shall be sent to the county or city board of health responsible for private well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provide notice to an interested party shall not constitute a basis for invalidating a subsequently approved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105.211(5)</w:t>
      </w:r>
      <w:r>
        <w:rPr>
          <w:rFonts w:ascii="Times New Roman" w:hAnsi="Times New Roman"/>
          <w:b w:val="false"/>
          <w:i w:val="false"/>
          <w:color w:val="000000"/>
          <w:sz w:val="22"/>
        </w:rPr>
        <w:t> </w:t>
      </w:r>
      <w:r>
        <w:rPr>
          <w:rFonts w:ascii="Times New Roman" w:hAnsi="Times New Roman"/>
          <w:b w:val="false"/>
          <w:i/>
          <w:color w:val="000000"/>
          <w:sz w:val="22"/>
        </w:rPr>
        <w:t xml:space="preserve">Scope of liability protection. </w:t>
      </w:r>
      <w:r>
        <w:rPr>
          <w:rFonts w:ascii="Times New Roman" w:hAnsi="Times New Roman"/>
          <w:b w:val="false"/>
          <w:i w:val="false"/>
          <w:color w:val="000000"/>
          <w:sz w:val="22"/>
        </w:rPr>
        <w:t xml:space="preserve">Upon issuance of the no further action certificate by the department, the liability protection provisions contained in Iowa Code chapter </w:t>
      </w:r>
      <w:hyperlink r:id="rId184">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 subchapter 3, apply. The scope of the no further action classification and the scope of liability protection extend only to that area of affected property as defined by actual and modeled contaminant data and the specific environmental condition for which a regulatory standard has been met and approved by a no further action classification. The scope of protection corresponds to the scope of the site assessment conducted by the participant, the exposure pathways actually evaluated by the assessment report and reviewed by the department, and the hazardous substances identified in that assessment for which compliance with a department-approved standard has been achieved. Liability protection does not apply to releases, sources of contamination, hazardous substances or other environmental conditions not expressly addressed in the participant’s site assessment, response action or specifically referenced in the no further action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105.211(6)</w:t>
      </w:r>
      <w:r>
        <w:rPr>
          <w:rFonts w:ascii="Times New Roman" w:hAnsi="Times New Roman"/>
          <w:b w:val="false"/>
          <w:i w:val="false"/>
          <w:color w:val="000000"/>
          <w:sz w:val="22"/>
        </w:rPr>
        <w:t> </w:t>
      </w:r>
      <w:r>
        <w:rPr>
          <w:rFonts w:ascii="Times New Roman" w:hAnsi="Times New Roman"/>
          <w:b w:val="false"/>
          <w:i/>
          <w:color w:val="000000"/>
          <w:sz w:val="22"/>
        </w:rPr>
        <w:t xml:space="preserve">Reopener and reclassification conditions.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have grounds to reopen and rescind a no further action certificate and consider reclassification of the affected area if specified conditions of the no further action certificate are not maintained, or if institutional or technological controls fail to meet their intended purpose or are determined to be ineffective and unenforceable. If the conditions upon which the no further action certificate was issued cannot be corrected or reinstated, the department may rescind the certificate. The effect of termination is to put all parties in the same position as if the no further action certificate had not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no further action certificate is issued without conditions or technological and institutional controls, and conditions should arise that might require further corrective action, the department may require further response action by a participant or protected party only as provided in Iowa Code section </w:t>
      </w:r>
      <w:hyperlink r:id="rId185">
        <w:r>
          <w:rPr>
            <w:rStyle w:val="Hyperlink"/>
            <w:rFonts w:ascii="Times New Roman" w:hAnsi="Times New Roman"/>
            <w:b w:val="false"/>
            <w:i w:val="false"/>
            <w:color w:val="000000"/>
            <w:sz w:val="22"/>
          </w:rPr>
          <w:t>455H.301</w:t>
        </w:r>
      </w:hyperlink>
      <w:r>
        <w:rPr>
          <w:rFonts w:ascii="Times New Roman" w:hAnsi="Times New Roman"/>
          <w:b w:val="false"/>
          <w:i w:val="false"/>
          <w:color w:val="000000"/>
          <w:sz w:val="22"/>
        </w:rPr>
        <w:t xml:space="preserve">. The department may require further response action against a statutorily responsible party who is not a participant or other protected party. If the participant was a person having control over a hazardous substance, as defined in Iowa Code section </w:t>
      </w:r>
      <w:hyperlink r:id="rId186">
        <w:r>
          <w:rPr>
            <w:rStyle w:val="Hyperlink"/>
            <w:rFonts w:ascii="Times New Roman" w:hAnsi="Times New Roman"/>
            <w:b w:val="false"/>
            <w:i w:val="false"/>
            <w:color w:val="000000"/>
            <w:sz w:val="22"/>
          </w:rPr>
          <w:t>455B.381</w:t>
        </w:r>
      </w:hyperlink>
      <w:r>
        <w:rPr>
          <w:rFonts w:ascii="Times New Roman" w:hAnsi="Times New Roman"/>
          <w:b w:val="false"/>
          <w:i w:val="false"/>
          <w:color w:val="000000"/>
          <w:sz w:val="22"/>
        </w:rPr>
        <w:t>, at the time of the release, a no further action certificate may require further response action to protect against an imminent and substantial threat to public health and safety and the environment. Another protected party who was a person having control over a hazardous substance, as defined above, may be required by the department to conduct a further response action, where appropriate, to protect against an imminent and substantial threat to public health and safety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87">
        <w:r>
          <w:rPr>
            <w:rStyle w:val="Hyperlink"/>
            <w:rFonts w:ascii="Times New Roman" w:hAnsi="Times New Roman"/>
            <w:b w:val="false"/>
            <w:i w:val="false"/>
            <w:color w:val="000000"/>
            <w:sz w:val="22"/>
          </w:rPr>
          <w:t>455H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9/1/71; amended 2/13/74]</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5/25/78, Notice 2/22/78—published 6/14/78, effective 7/19/78]</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9/28/90, Notice 5/16/90—published 10/17/90, effective 11/21/90]</w:t>
      </w:r>
    </w:p>
    <w:p>
      <w:pPr>
        <w:spacing w:before="0" w:after="0"/>
        <w:ind w:left="120"/>
        <w:jc w:val="center"/>
      </w:pPr>
      <w:r>
        <w:rPr>
          <w:rFonts w:ascii="Times New Roman" w:hAnsi="Times New Roman"/>
          <w:b w:val="false"/>
          <w:i w:val="false"/>
          <w:color w:val="000000"/>
          <w:sz w:val="21"/>
        </w:rPr>
        <w:t>[Filed 5/28/99, Notice 4/7/99—published 6/16/99, effective 7/21/99]</w:t>
      </w:r>
    </w:p>
    <w:p>
      <w:pPr>
        <w:spacing w:before="0" w:after="0"/>
        <w:ind w:left="120"/>
        <w:jc w:val="center"/>
      </w:pPr>
      <w:r>
        <w:rPr>
          <w:rFonts w:ascii="Times New Roman" w:hAnsi="Times New Roman"/>
          <w:b w:val="false"/>
          <w:i w:val="false"/>
          <w:color w:val="000000"/>
          <w:sz w:val="21"/>
        </w:rPr>
        <w:t>[Filed 4/26/02, Notice 2/20/02—published 5/15/02, effective 6/19/02]</w:t>
      </w:r>
    </w:p>
    <w:p>
      <w:pPr>
        <w:spacing w:before="0" w:after="0"/>
        <w:ind w:left="120"/>
        <w:jc w:val="center"/>
      </w:pPr>
      <w:r>
        <w:rPr>
          <w:rFonts w:ascii="Times New Roman" w:hAnsi="Times New Roman"/>
          <w:b w:val="false"/>
          <w:i w:val="false"/>
          <w:color w:val="000000"/>
          <w:sz w:val="21"/>
        </w:rPr>
        <w:t>[Filed 8/27/04, Notice 6/9/04—published 9/15/04, effective 10/20/04]</w:t>
      </w:r>
    </w:p>
    <w:p>
      <w:pPr>
        <w:spacing w:before="0" w:after="0"/>
        <w:ind w:left="120"/>
        <w:jc w:val="center"/>
      </w:pPr>
      <w:r>
        <w:rPr>
          <w:rFonts w:ascii="Times New Roman" w:hAnsi="Times New Roman"/>
          <w:b w:val="false"/>
          <w:i w:val="false"/>
          <w:color w:val="000000"/>
          <w:sz w:val="21"/>
        </w:rPr>
        <w:t>[Filed 5/17/06, Notice 2/15/06—published 6/7/06, effective 7/12/06]</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2692C</w:t>
      </w:r>
      <w:r>
        <w:rPr>
          <w:rFonts w:ascii="Times New Roman" w:hAnsi="Times New Roman"/>
          <w:b w:val="false"/>
          <w:i w:val="false"/>
          <w:color w:val="000000"/>
          <w:sz w:val="21"/>
        </w:rPr>
        <w:t xml:space="preserve"> (Notice ARC 2539C, IAB 5/25/16)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0486D</w:t>
      </w:r>
      <w:r>
        <w:rPr>
          <w:rFonts w:ascii="Times New Roman" w:hAnsi="Times New Roman"/>
          <w:b w:val="false"/>
          <w:i w:val="false"/>
          <w:color w:val="000000"/>
          <w:sz w:val="21"/>
        </w:rPr>
        <w:t xml:space="preserve"> (Notice ARC 9927C, IAB 1/7/26)</w:t>
      </w:r>
      <w:r>
        <w:rPr>
          <w:rFonts w:ascii="Times New Roman" w:hAnsi="Times New Roman"/>
          <w:b w:val="false"/>
          <w:i w:val="false"/>
          <w:color w:val="000000"/>
          <w:sz w:val="21"/>
        </w:rPr>
        <w:t>, IAB 8/19/26, effective 9/23/26]</w:t>
      </w:r>
    </w:p>
    <w:sectPr>
      <w:footerReference r:id="rId18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383.pdf" Type="http://schemas.openxmlformats.org/officeDocument/2006/relationships/hyperlink" Id="rId5"/>
    <Relationship TargetMode="External" Target="https://www.legis.iowa.gov/docs/ico/chapter/455B.386.pdf" Type="http://schemas.openxmlformats.org/officeDocument/2006/relationships/hyperlink" Id="rId6"/>
    <Relationship TargetMode="External" Target="https://www.legis.iowa.gov/docs/ico/chapter/455B.381.pdf" Type="http://schemas.openxmlformats.org/officeDocument/2006/relationships/hyperlink" Id="rId7"/>
    <Relationship TargetMode="External" Target="https://www.legis.iowa.gov/docs/iac/rule/567.105.5.pdf" Type="http://schemas.openxmlformats.org/officeDocument/2006/relationships/hyperlink" Id="rId8"/>
    <Relationship TargetMode="External" Target="https://www.legis.iowa.gov/docs/iac/rule/567.105.5.pdf" Type="http://schemas.openxmlformats.org/officeDocument/2006/relationships/hyperlink" Id="rId9"/>
    <Relationship TargetMode="External" Target="https://www.legis.iowa.gov/docs/ico/chapter/455B.383.pdf" Type="http://schemas.openxmlformats.org/officeDocument/2006/relationships/hyperlink" Id="rId10"/>
    <Relationship TargetMode="External" Target="https://www.legis.iowa.gov/docs/ico/chapter/455B.386.pdf" Type="http://schemas.openxmlformats.org/officeDocument/2006/relationships/hyperlink" Id="rId11"/>
    <Relationship TargetMode="External" Target="https://www.legis.iowa.gov/docs/ico/chapter/455B.pdf" Type="http://schemas.openxmlformats.org/officeDocument/2006/relationships/hyperlink" Id="rId12"/>
    <Relationship TargetMode="External" Target="https://www.legis.iowa.gov/docs/ico/chapter/455B.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ac/rule/567.135.6.pdf" Type="http://schemas.openxmlformats.org/officeDocument/2006/relationships/hyperlink" Id="rId15"/>
    <Relationship TargetMode="External" Target="https://www.legis.iowa.gov/docs/iac/rule/567.135.17.pdf" Type="http://schemas.openxmlformats.org/officeDocument/2006/relationships/hyperlink" Id="rId16"/>
    <Relationship TargetMode="External" Target="https://www.legis.iowa.gov/docs/ico/chapter/455B.471.pdf" Type="http://schemas.openxmlformats.org/officeDocument/2006/relationships/hyperlink" Id="rId17"/>
    <Relationship TargetMode="External" Target="https://www.legis.iowa.gov/docs/ico/chapter/455B.471.pdf" Type="http://schemas.openxmlformats.org/officeDocument/2006/relationships/hyperlink" Id="rId18"/>
    <Relationship TargetMode="External" Target="https://www.legis.iowa.gov/docs/ico/chapter/455B.381.pdf" Type="http://schemas.openxmlformats.org/officeDocument/2006/relationships/hyperlink" Id="rId19"/>
    <Relationship TargetMode="External" Target="https://www.legis.iowa.gov/docs/ico/chapter/455B.411.pdf" Type="http://schemas.openxmlformats.org/officeDocument/2006/relationships/hyperlink" Id="rId20"/>
    <Relationship TargetMode="External" Target="https://www.legis.iowa.gov/docs/ico/chapter/455E.2.pdf" Type="http://schemas.openxmlformats.org/officeDocument/2006/relationships/hyperlink" Id="rId21"/>
    <Relationship TargetMode="External" Target="https://www.legis.iowa.gov/docs/ico/chapter/421.7.pdf" Type="http://schemas.openxmlformats.org/officeDocument/2006/relationships/hyperlink" Id="rId22"/>
    <Relationship TargetMode="External" Target="https://www.legis.iowa.gov/docs/ico/chapter/455B.171.pdf" Type="http://schemas.openxmlformats.org/officeDocument/2006/relationships/hyperlink" Id="rId23"/>
    <Relationship TargetMode="External" Target="https://www.legis.iowa.gov/docs/iac/rule/567.105.104.pdf" Type="http://schemas.openxmlformats.org/officeDocument/2006/relationships/hyperlink" Id="rId24"/>
    <Relationship TargetMode="External" Target="https://www.legis.iowa.gov/docs/ico/chapter/455B.pdf" Type="http://schemas.openxmlformats.org/officeDocument/2006/relationships/hyperlink" Id="rId25"/>
    <Relationship TargetMode="External" Target="https://www.legis.iowa.gov/docs/ico/chapter/455E.pdf" Type="http://schemas.openxmlformats.org/officeDocument/2006/relationships/hyperlink" Id="rId26"/>
    <Relationship TargetMode="External" Target="https://www.legis.iowa.gov/docs/iac/chapter/567.83.pdf" Type="http://schemas.openxmlformats.org/officeDocument/2006/relationships/hyperlink" Id="rId27"/>
    <Relationship TargetMode="External" Target="https://www.legis.iowa.gov/docs/iac/rule/567.105.104.pdf" Type="http://schemas.openxmlformats.org/officeDocument/2006/relationships/hyperlink" Id="rId28"/>
    <Relationship TargetMode="External" Target="https://www.legis.iowa.gov/docs/iac/rule/567.105.104.pdf" Type="http://schemas.openxmlformats.org/officeDocument/2006/relationships/hyperlink" Id="rId29"/>
    <Relationship TargetMode="External" Target="https://www.legis.iowa.gov/docs/iac/rule/567.105.104.pdf" Type="http://schemas.openxmlformats.org/officeDocument/2006/relationships/hyperlink" Id="rId30"/>
    <Relationship TargetMode="External" Target="https://www.legis.iowa.gov/docs/ico/chapter/481A.2.pdf" Type="http://schemas.openxmlformats.org/officeDocument/2006/relationships/hyperlink" Id="rId31"/>
    <Relationship TargetMode="External" Target="https://www.legis.iowa.gov/docs/ico/chapter/455B.392.pdf" Type="http://schemas.openxmlformats.org/officeDocument/2006/relationships/hyperlink" Id="rId32"/>
    <Relationship TargetMode="External" Target="https://www.legis.iowa.gov/docs/iac/chapter/7.2506.pdf" Type="http://schemas.openxmlformats.org/officeDocument/2006/relationships/hyperlink" Id="rId33"/>
    <Relationship TargetMode="External" Target="https://www.legis.iowa.gov/docs/iac/chapter/561.2506.pdf" Type="http://schemas.openxmlformats.org/officeDocument/2006/relationships/hyperlink" Id="rId34"/>
    <Relationship TargetMode="External" Target="https://www.legis.iowa.gov/docs/ico/chapter/8A.363.pdf" Type="http://schemas.openxmlformats.org/officeDocument/2006/relationships/hyperlink" Id="rId35"/>
    <Relationship TargetMode="External" Target="https://www.legis.iowa.gov/docs/iac/chapter/7.2506.pdf" Type="http://schemas.openxmlformats.org/officeDocument/2006/relationships/hyperlink" Id="rId36"/>
    <Relationship TargetMode="External" Target="https://www.legis.iowa.gov/docs/iac/chapter/561.2506.pdf" Type="http://schemas.openxmlformats.org/officeDocument/2006/relationships/hyperlink" Id="rId37"/>
    <Relationship TargetMode="External" Target="https://www.legis.iowa.gov/docs/iac/rule/567.105.106.pdf" Type="http://schemas.openxmlformats.org/officeDocument/2006/relationships/hyperlink" Id="rId38"/>
    <Relationship TargetMode="External" Target="https://www.legis.iowa.gov/docs/iac/rule/567.105.106.pdf" Type="http://schemas.openxmlformats.org/officeDocument/2006/relationships/hyperlink" Id="rId39"/>
    <Relationship TargetMode="External" Target="https://www.legis.iowa.gov/docs/ico/chapter/455B.pdf" Type="http://schemas.openxmlformats.org/officeDocument/2006/relationships/hyperlink" Id="rId40"/>
    <Relationship TargetMode="External" Target="https://www.legis.iowa.gov/docs/ico/chapter/455E.5.pdf" Type="http://schemas.openxmlformats.org/officeDocument/2006/relationships/hyperlink" Id="rId41"/>
    <Relationship TargetMode="External" Target="https://www.legis.iowa.gov/docs/ico/chapter/455H.pdf" Type="http://schemas.openxmlformats.org/officeDocument/2006/relationships/hyperlink" Id="rId42"/>
    <Relationship TargetMode="External" Target="https://www.legis.iowa.gov/docs/ico/chapter/455H.104.pdf" Type="http://schemas.openxmlformats.org/officeDocument/2006/relationships/hyperlink" Id="rId43"/>
    <Relationship TargetMode="External" Target="https://www.legis.iowa.gov/docs/iac/rule/567.105.204.pdf" Type="http://schemas.openxmlformats.org/officeDocument/2006/relationships/hyperlink" Id="rId44"/>
    <Relationship TargetMode="External" Target="https://www.legis.iowa.gov/docs/iac/rule/567.105.210.pdf" Type="http://schemas.openxmlformats.org/officeDocument/2006/relationships/hyperlink" Id="rId45"/>
    <Relationship TargetMode="External" Target="https://www.legis.iowa.gov/docs/ico/chapter/455H.pdf" Type="http://schemas.openxmlformats.org/officeDocument/2006/relationships/hyperlink" Id="rId46"/>
    <Relationship TargetMode="External" Target="https://www.legis.iowa.gov/docs/ico/chapter/455H.505.pdf" Type="http://schemas.openxmlformats.org/officeDocument/2006/relationships/hyperlink" Id="rId47"/>
    <Relationship TargetMode="External" Target="https://www.legis.iowa.gov/docs/ico/chapter/455H.103.pdf" Type="http://schemas.openxmlformats.org/officeDocument/2006/relationships/hyperlink" Id="rId48"/>
    <Relationship TargetMode="External" Target="https://www.legis.iowa.gov/docs/ico/chapter/455H.206.pdf" Type="http://schemas.openxmlformats.org/officeDocument/2006/relationships/hyperlink" Id="rId49"/>
    <Relationship TargetMode="External" Target="https://www.legis.iowa.gov/docs/ico/chapter/455H.301.pdf" Type="http://schemas.openxmlformats.org/officeDocument/2006/relationships/hyperlink" Id="rId50"/>
    <Relationship TargetMode="External" Target="https://www.legis.iowa.gov/docs/iac/rule/567.61.3.pdf" Type="http://schemas.openxmlformats.org/officeDocument/2006/relationships/hyperlink" Id="rId51"/>
    <Relationship TargetMode="External" Target="https://www.legis.iowa.gov/docs/iac/rule/567.61.3.pdf" Type="http://schemas.openxmlformats.org/officeDocument/2006/relationships/hyperlink" Id="rId52"/>
    <Relationship TargetMode="External" Target="https://www.legis.iowa.gov/docs/iac/rule/567.61.3.pdf" Type="http://schemas.openxmlformats.org/officeDocument/2006/relationships/hyperlink" Id="rId53"/>
    <Relationship TargetMode="External" Target="https://www.legis.iowa.gov/docs/ico/chapter/455H.103.pdf" Type="http://schemas.openxmlformats.org/officeDocument/2006/relationships/hyperlink" Id="rId54"/>
    <Relationship TargetMode="External" Target="https://www.legis.iowa.gov/docs/ico/chapter/455B.pdf" Type="http://schemas.openxmlformats.org/officeDocument/2006/relationships/hyperlink" Id="rId55"/>
    <Relationship TargetMode="External" Target="https://www.legis.iowa.gov/docs/iac/chapter/567.135.pdf" Type="http://schemas.openxmlformats.org/officeDocument/2006/relationships/hyperlink" Id="rId56"/>
    <Relationship TargetMode="External" Target="https://www.legis.iowa.gov/docs/iac/rule/567.135.2.pdf" Type="http://schemas.openxmlformats.org/officeDocument/2006/relationships/hyperlink" Id="rId57"/>
    <Relationship TargetMode="External" Target="https://www.legis.iowa.gov/docs/iac/chapter/567.135.pdf" Type="http://schemas.openxmlformats.org/officeDocument/2006/relationships/hyperlink" Id="rId58"/>
    <Relationship TargetMode="External" Target="https://www.legis.iowa.gov/docs/iac/rule/567.135.8.pdf" Type="http://schemas.openxmlformats.org/officeDocument/2006/relationships/hyperlink" Id="rId59"/>
    <Relationship TargetMode="External" Target="https://www.legis.iowa.gov/docs/iac/rule/567.135.12.pdf" Type="http://schemas.openxmlformats.org/officeDocument/2006/relationships/hyperlink" Id="rId60"/>
    <Relationship TargetMode="External" Target="https://www.legis.iowa.gov/docs/ico/chapter/459.102.pdf" Type="http://schemas.openxmlformats.org/officeDocument/2006/relationships/hyperlink" Id="rId61"/>
    <Relationship TargetMode="External" Target="https://www.legis.iowa.gov/docs/ico/chapter/455H.pdf" Type="http://schemas.openxmlformats.org/officeDocument/2006/relationships/hyperlink" Id="rId62"/>
    <Relationship TargetMode="External" Target="https://www.legis.iowa.gov/docs/ico/chapter/455H.pdf" Type="http://schemas.openxmlformats.org/officeDocument/2006/relationships/hyperlink" Id="rId63"/>
    <Relationship TargetMode="External" Target="https://www.legis.iowa.gov/docs/iac/chapter/567.83.pdf" Type="http://schemas.openxmlformats.org/officeDocument/2006/relationships/hyperlink" Id="rId64"/>
    <Relationship TargetMode="External" Target="https://www.legis.iowa.gov/docs/ico/chapter/455K.pdf" Type="http://schemas.openxmlformats.org/officeDocument/2006/relationships/hyperlink" Id="rId65"/>
    <Relationship TargetMode="External" Target="https://www.legis.iowa.gov/docs/ico/chapter/455K.6.pdf" Type="http://schemas.openxmlformats.org/officeDocument/2006/relationships/hyperlink" Id="rId66"/>
    <Relationship TargetMode="External" Target="https://www.legis.iowa.gov/docs/ico/chapter/455B.386.pdf" Type="http://schemas.openxmlformats.org/officeDocument/2006/relationships/hyperlink" Id="rId67"/>
    <Relationship TargetMode="External" Target="https://www.legis.iowa.gov/docs/iac/rule/567.105.208.pdf" Type="http://schemas.openxmlformats.org/officeDocument/2006/relationships/hyperlink" Id="rId68"/>
    <Relationship TargetMode="External" Target="https://www.legis.iowa.gov/docs/iac/rule/567.105.203.pdf" Type="http://schemas.openxmlformats.org/officeDocument/2006/relationships/hyperlink" Id="rId69"/>
    <Relationship TargetMode="External" Target="https://www.legis.iowa.gov/docs/iac/rule/567.105.203.pdf" Type="http://schemas.openxmlformats.org/officeDocument/2006/relationships/hyperlink" Id="rId70"/>
    <Relationship TargetMode="External" Target="https://www.legis.iowa.gov/docs/ico/chapter/455H.104.pdf" Type="http://schemas.openxmlformats.org/officeDocument/2006/relationships/hyperlink" Id="rId71"/>
    <Relationship TargetMode="External" Target="https://www.legis.iowa.gov/docs/iac/rule/567.105.211.pdf" Type="http://schemas.openxmlformats.org/officeDocument/2006/relationships/hyperlink" Id="rId72"/>
    <Relationship TargetMode="External" Target="https://www.legis.iowa.gov/docs/ico/chapter/455H.pdf" Type="http://schemas.openxmlformats.org/officeDocument/2006/relationships/hyperlink" Id="rId73"/>
    <Relationship TargetMode="External" Target="https://www.legis.iowa.gov/docs/iac/rule/567.105.207.pdf" Type="http://schemas.openxmlformats.org/officeDocument/2006/relationships/hyperlink" Id="rId74"/>
    <Relationship TargetMode="External" Target="https://www.legis.iowa.gov/docs/iac/rule/567.105.203.pdf" Type="http://schemas.openxmlformats.org/officeDocument/2006/relationships/hyperlink" Id="rId75"/>
    <Relationship TargetMode="External" Target="https://www.legis.iowa.gov/docs/iac/rule/567.105.203.pdf" Type="http://schemas.openxmlformats.org/officeDocument/2006/relationships/hyperlink" Id="rId76"/>
    <Relationship TargetMode="External" Target="https://www.legis.iowa.gov/docs/iac/chapter/7.2506.pdf" Type="http://schemas.openxmlformats.org/officeDocument/2006/relationships/hyperlink" Id="rId77"/>
    <Relationship TargetMode="External" Target="https://www.legis.iowa.gov/docs/iac/chapter/561.2506.pdf" Type="http://schemas.openxmlformats.org/officeDocument/2006/relationships/hyperlink" Id="rId78"/>
    <Relationship TargetMode="External" Target="https://www.legis.iowa.gov/docs/iac/rule/567.105.208.pdf" Type="http://schemas.openxmlformats.org/officeDocument/2006/relationships/hyperlink" Id="rId79"/>
    <Relationship TargetMode="External" Target="https://www.legis.iowa.gov/docs/iac/rule/567.105.210.pdf" Type="http://schemas.openxmlformats.org/officeDocument/2006/relationships/hyperlink" Id="rId80"/>
    <Relationship TargetMode="External" Target="https://www.legis.iowa.gov/docs/iac/rule/567.105.210.pdf" Type="http://schemas.openxmlformats.org/officeDocument/2006/relationships/hyperlink" Id="rId81"/>
    <Relationship TargetMode="External" Target="https://www.legis.iowa.gov/docs/iac/rule/567.105.206.pdf" Type="http://schemas.openxmlformats.org/officeDocument/2006/relationships/hyperlink" Id="rId82"/>
    <Relationship TargetMode="External" Target="https://www.legis.iowa.gov/docs/iac/rule/567.105.205.pdf" Type="http://schemas.openxmlformats.org/officeDocument/2006/relationships/hyperlink" Id="rId83"/>
    <Relationship TargetMode="External" Target="https://www.legis.iowa.gov/docs/iac/rule/567.105.205.pdf" Type="http://schemas.openxmlformats.org/officeDocument/2006/relationships/hyperlink" Id="rId84"/>
    <Relationship TargetMode="External" Target="https://www.legis.iowa.gov/docs/iac/rule/567.105.210.pdf" Type="http://schemas.openxmlformats.org/officeDocument/2006/relationships/hyperlink" Id="rId85"/>
    <Relationship TargetMode="External" Target="https://www.legis.iowa.gov/docs/iac/rule/567.105.210.pdf" Type="http://schemas.openxmlformats.org/officeDocument/2006/relationships/hyperlink" Id="rId86"/>
    <Relationship TargetMode="External" Target="https://www.legis.iowa.gov/docs/iac/rule/567.105.205.pdf" Type="http://schemas.openxmlformats.org/officeDocument/2006/relationships/hyperlink" Id="rId87"/>
    <Relationship TargetMode="External" Target="https://www.legis.iowa.gov/docs/iac/rule/567.105.205.pdf" Type="http://schemas.openxmlformats.org/officeDocument/2006/relationships/hyperlink" Id="rId88"/>
    <Relationship TargetMode="External" Target="https://www.legis.iowa.gov/docs/iac/rule/567.105.205.pdf" Type="http://schemas.openxmlformats.org/officeDocument/2006/relationships/hyperlink" Id="rId89"/>
    <Relationship TargetMode="External" Target="https://www.legis.iowa.gov/docs/iac/rule/567.105.205.pdf" Type="http://schemas.openxmlformats.org/officeDocument/2006/relationships/hyperlink" Id="rId90"/>
    <Relationship TargetMode="External" Target="https://www.legis.iowa.gov/docs/iac/chapter/567.61.pdf" Type="http://schemas.openxmlformats.org/officeDocument/2006/relationships/hyperlink" Id="rId91"/>
    <Relationship TargetMode="External" Target="https://www.legis.iowa.gov/docs/iac/chapter/567.61.pdf" Type="http://schemas.openxmlformats.org/officeDocument/2006/relationships/hyperlink" Id="rId92"/>
    <Relationship TargetMode="External" Target="https://www.legis.iowa.gov/docs/iac/chapter/567.22.pdf" Type="http://schemas.openxmlformats.org/officeDocument/2006/relationships/hyperlink" Id="rId93"/>
    <Relationship TargetMode="External" Target="https://www.legis.iowa.gov/docs/iac/chapter/567.21.pdf" Type="http://schemas.openxmlformats.org/officeDocument/2006/relationships/hyperlink" Id="rId94"/>
    <Relationship TargetMode="External" Target="https://www.legis.iowa.gov/docs/iac/chapter/567.33.pdf" Type="http://schemas.openxmlformats.org/officeDocument/2006/relationships/hyperlink" Id="rId95"/>
    <Relationship TargetMode="External" Target="https://www.legis.iowa.gov/docs/iac/rule/567.105.206.pdf" Type="http://schemas.openxmlformats.org/officeDocument/2006/relationships/hyperlink" Id="rId96"/>
    <Relationship TargetMode="External" Target="https://www.legis.iowa.gov/docs/iac/rule/567.105.208.pdf" Type="http://schemas.openxmlformats.org/officeDocument/2006/relationships/hyperlink" Id="rId97"/>
    <Relationship TargetMode="External" Target="https://www.legis.iowa.gov/docs/iac/rule/567.105.205.pdf" Type="http://schemas.openxmlformats.org/officeDocument/2006/relationships/hyperlink" Id="rId98"/>
    <Relationship TargetMode="External" Target="https://www.legis.iowa.gov/docs/iac/rule/567.105.205.pdf" Type="http://schemas.openxmlformats.org/officeDocument/2006/relationships/hyperlink" Id="rId99"/>
    <Relationship TargetMode="External" Target="https://www.legis.iowa.gov/docs/iac/rule/567.105.205.pdf" Type="http://schemas.openxmlformats.org/officeDocument/2006/relationships/hyperlink" Id="rId100"/>
    <Relationship TargetMode="External" Target="https://www.legis.iowa.gov/docs/iac/rule/567.105.206.pdf" Type="http://schemas.openxmlformats.org/officeDocument/2006/relationships/hyperlink" Id="rId101"/>
    <Relationship TargetMode="External" Target="https://www.legis.iowa.gov/docs/iac/rule/567.105.206.pdf" Type="http://schemas.openxmlformats.org/officeDocument/2006/relationships/hyperlink" Id="rId102"/>
    <Relationship TargetMode="External" Target="https://www.legis.iowa.gov/docs/iac/rule/567.105.211.pdf" Type="http://schemas.openxmlformats.org/officeDocument/2006/relationships/hyperlink" Id="rId103"/>
    <Relationship TargetMode="External" Target="https://www.legis.iowa.gov/docs/ico/chapter/455H.205.pdf" Type="http://schemas.openxmlformats.org/officeDocument/2006/relationships/hyperlink" Id="rId104"/>
    <Relationship TargetMode="External" Target="https://www.legis.iowa.gov/docs/iac/rule/567.105.207.pdf" Type="http://schemas.openxmlformats.org/officeDocument/2006/relationships/hyperlink" Id="rId105"/>
    <Relationship TargetMode="External" Target="https://www.legis.iowa.gov/docs/iac/rule/567.105.206.pdf" Type="http://schemas.openxmlformats.org/officeDocument/2006/relationships/hyperlink" Id="rId106"/>
    <Relationship TargetMode="External" Target="https://www.legis.iowa.gov/docs/iac/rule/567.105.206.pdf" Type="http://schemas.openxmlformats.org/officeDocument/2006/relationships/hyperlink" Id="rId107"/>
    <Relationship TargetMode="External" Target="https://www.legis.iowa.gov/docs/iac/rule/567.105.206.pdf" Type="http://schemas.openxmlformats.org/officeDocument/2006/relationships/hyperlink" Id="rId108"/>
    <Relationship TargetMode="External" Target="https://www.legis.iowa.gov/docs/iac/rule/567.105.206.pdf" Type="http://schemas.openxmlformats.org/officeDocument/2006/relationships/hyperlink" Id="rId109"/>
    <Relationship TargetMode="External" Target="https://www.legis.iowa.gov/docs/iac/rule/567.105.206.pdf" Type="http://schemas.openxmlformats.org/officeDocument/2006/relationships/hyperlink" Id="rId110"/>
    <Relationship TargetMode="External" Target="https://www.legis.iowa.gov/docs/iac/rule/567.105.206.pdf" Type="http://schemas.openxmlformats.org/officeDocument/2006/relationships/hyperlink" Id="rId111"/>
    <Relationship TargetMode="External" Target="https://www.legis.iowa.gov/docs/iac/rule/567.105.206.pdf" Type="http://schemas.openxmlformats.org/officeDocument/2006/relationships/hyperlink" Id="rId112"/>
    <Relationship TargetMode="External" Target="https://www.legis.iowa.gov/docs/iac/rule/567.105.209.pdf" Type="http://schemas.openxmlformats.org/officeDocument/2006/relationships/hyperlink" Id="rId113"/>
    <Relationship TargetMode="External" Target="https://www.legis.iowa.gov/docs/iac/rule/567.105.209.pdf" Type="http://schemas.openxmlformats.org/officeDocument/2006/relationships/hyperlink" Id="rId114"/>
    <Relationship TargetMode="External" Target="https://www.legis.iowa.gov/docs/iac/rule/567.105.206.pdf" Type="http://schemas.openxmlformats.org/officeDocument/2006/relationships/hyperlink" Id="rId115"/>
    <Relationship TargetMode="External" Target="https://www.legis.iowa.gov/docs/iac/rule/567.105.206.pdf" Type="http://schemas.openxmlformats.org/officeDocument/2006/relationships/hyperlink" Id="rId116"/>
    <Relationship TargetMode="External" Target="https://www.legis.iowa.gov/docs/iac/chapter/567.39.pdf" Type="http://schemas.openxmlformats.org/officeDocument/2006/relationships/hyperlink" Id="rId117"/>
    <Relationship TargetMode="External" Target="https://www.legis.iowa.gov/docs/iac/chapter/567.49.pdf" Type="http://schemas.openxmlformats.org/officeDocument/2006/relationships/hyperlink" Id="rId118"/>
    <Relationship TargetMode="External" Target="https://www.legis.iowa.gov/docs/iac/rule/567.105.206.pdf" Type="http://schemas.openxmlformats.org/officeDocument/2006/relationships/hyperlink" Id="rId119"/>
    <Relationship TargetMode="External" Target="https://www.legis.iowa.gov/docs/iac/rule/567.105.209.pdf" Type="http://schemas.openxmlformats.org/officeDocument/2006/relationships/hyperlink" Id="rId120"/>
    <Relationship TargetMode="External" Target="https://www.legis.iowa.gov/docs/iac/rule/567.105.205.pdf" Type="http://schemas.openxmlformats.org/officeDocument/2006/relationships/hyperlink" Id="rId121"/>
    <Relationship TargetMode="External" Target="https://www.legis.iowa.gov/docs/iac/rule/567.105.210.pdf" Type="http://schemas.openxmlformats.org/officeDocument/2006/relationships/hyperlink" Id="rId122"/>
    <Relationship TargetMode="External" Target="https://www.legis.iowa.gov/docs/iac/rule/567.105.205.pdf" Type="http://schemas.openxmlformats.org/officeDocument/2006/relationships/hyperlink" Id="rId123"/>
    <Relationship TargetMode="External" Target="https://www.legis.iowa.gov/docs/iac/rule/567.105.205.pdf" Type="http://schemas.openxmlformats.org/officeDocument/2006/relationships/hyperlink" Id="rId124"/>
    <Relationship TargetMode="External" Target="https://www.legis.iowa.gov/docs/iac/rule/567.105.205.pdf" Type="http://schemas.openxmlformats.org/officeDocument/2006/relationships/hyperlink" Id="rId125"/>
    <Relationship TargetMode="External" Target="https://www.legis.iowa.gov/docs/iac/rule/567.105.205.pdf" Type="http://schemas.openxmlformats.org/officeDocument/2006/relationships/hyperlink" Id="rId126"/>
    <Relationship TargetMode="External" Target="https://www.legis.iowa.gov/docs/iac/rule/567.105.210.pdf" Type="http://schemas.openxmlformats.org/officeDocument/2006/relationships/hyperlink" Id="rId127"/>
    <Relationship TargetMode="External" Target="https://www.legis.iowa.gov/docs/iac/chapter/567.62.pdf" Type="http://schemas.openxmlformats.org/officeDocument/2006/relationships/hyperlink" Id="rId128"/>
    <Relationship TargetMode="External" Target="https://www.legis.iowa.gov/docs/iac/rule/567.105.204.pdf" Type="http://schemas.openxmlformats.org/officeDocument/2006/relationships/hyperlink" Id="rId129"/>
    <Relationship TargetMode="External" Target="https://www.legis.iowa.gov/docs/iac/rule/567.105.205.pdf" Type="http://schemas.openxmlformats.org/officeDocument/2006/relationships/hyperlink" Id="rId130"/>
    <Relationship TargetMode="External" Target="https://www.legis.iowa.gov/docs/iac/rule/567.105.206.pdf" Type="http://schemas.openxmlformats.org/officeDocument/2006/relationships/hyperlink" Id="rId131"/>
    <Relationship TargetMode="External" Target="https://www.legis.iowa.gov/docs/ico/chapter/558.pdf" Type="http://schemas.openxmlformats.org/officeDocument/2006/relationships/hyperlink" Id="rId132"/>
    <Relationship TargetMode="External" Target="https://www.legis.iowa.gov/docs/iac/rule/567.105.211.pdf" Type="http://schemas.openxmlformats.org/officeDocument/2006/relationships/hyperlink" Id="rId133"/>
    <Relationship TargetMode="External" Target="https://www.legis.iowa.gov/docs/ico/chapter/455I.pdf" Type="http://schemas.openxmlformats.org/officeDocument/2006/relationships/hyperlink" Id="rId134"/>
    <Relationship TargetMode="External" Target="https://www.legis.iowa.gov/docs/ico/chapter/455H.206.pdf" Type="http://schemas.openxmlformats.org/officeDocument/2006/relationships/hyperlink" Id="rId135"/>
    <Relationship TargetMode="External" Target="https://www.legis.iowa.gov/docs/iac/rule/567.105.211.pdf" Type="http://schemas.openxmlformats.org/officeDocument/2006/relationships/hyperlink" Id="rId136"/>
    <Relationship TargetMode="External" Target="https://www.legis.iowa.gov/docs/ico/chapter/455H.pdf" Type="http://schemas.openxmlformats.org/officeDocument/2006/relationships/hyperlink" Id="rId137"/>
    <Relationship TargetMode="External" Target="https://www.legis.iowa.gov/docs/ico/chapter/455H.pdf" Type="http://schemas.openxmlformats.org/officeDocument/2006/relationships/hyperlink" Id="rId138"/>
    <Relationship TargetMode="External" Target="https://www.legis.iowa.gov/docs/ico/chapter/455I.pdf" Type="http://schemas.openxmlformats.org/officeDocument/2006/relationships/hyperlink" Id="rId139"/>
    <Relationship TargetMode="External" Target="https://www.legis.iowa.gov/docs/iac/rule/567.105.209.pdf" Type="http://schemas.openxmlformats.org/officeDocument/2006/relationships/hyperlink" Id="rId140"/>
    <Relationship TargetMode="External" Target="https://www.legis.iowa.gov/docs/iac/chapter/567.135.pdf" Type="http://schemas.openxmlformats.org/officeDocument/2006/relationships/hyperlink" Id="rId141"/>
    <Relationship TargetMode="External" Target="https://www.legis.iowa.gov/docs/iac/rule/567.105.208.pdf" Type="http://schemas.openxmlformats.org/officeDocument/2006/relationships/hyperlink" Id="rId142"/>
    <Relationship TargetMode="External" Target="https://www.legis.iowa.gov/docs/iac/rule/567.105.210.pdf" Type="http://schemas.openxmlformats.org/officeDocument/2006/relationships/hyperlink" Id="rId143"/>
    <Relationship TargetMode="External" Target="https://www.legis.iowa.gov/docs/iac/rule/567.105.208.pdf" Type="http://schemas.openxmlformats.org/officeDocument/2006/relationships/hyperlink" Id="rId144"/>
    <Relationship TargetMode="External" Target="https://www.legis.iowa.gov/docs/iac/rule/567.105.210.pdf" Type="http://schemas.openxmlformats.org/officeDocument/2006/relationships/hyperlink" Id="rId145"/>
    <Relationship TargetMode="External" Target="https://www.legis.iowa.gov/docs/iac/rule/567.105.208.pdf" Type="http://schemas.openxmlformats.org/officeDocument/2006/relationships/hyperlink" Id="rId146"/>
    <Relationship TargetMode="External" Target="https://www.legis.iowa.gov/docs/iac/rule/567.105.205.pdf" Type="http://schemas.openxmlformats.org/officeDocument/2006/relationships/hyperlink" Id="rId147"/>
    <Relationship TargetMode="External" Target="https://www.legis.iowa.gov/docs/iac/rule/567.105.206.pdf" Type="http://schemas.openxmlformats.org/officeDocument/2006/relationships/hyperlink" Id="rId148"/>
    <Relationship TargetMode="External" Target="https://www.legis.iowa.gov/docs/iac/rule/567.105.204.pdf" Type="http://schemas.openxmlformats.org/officeDocument/2006/relationships/hyperlink" Id="rId149"/>
    <Relationship TargetMode="External" Target="https://www.legis.iowa.gov/docs/iac/rule/567.105.205.pdf" Type="http://schemas.openxmlformats.org/officeDocument/2006/relationships/hyperlink" Id="rId150"/>
    <Relationship TargetMode="External" Target="https://www.legis.iowa.gov/docs/iac/rule/567.105.206.pdf" Type="http://schemas.openxmlformats.org/officeDocument/2006/relationships/hyperlink" Id="rId151"/>
    <Relationship TargetMode="External" Target="https://www.legis.iowa.gov/docs/iac/rule/567.105.205.pdf" Type="http://schemas.openxmlformats.org/officeDocument/2006/relationships/hyperlink" Id="rId152"/>
    <Relationship TargetMode="External" Target="https://www.legis.iowa.gov/docs/iac/chapter/567.135.pdf" Type="http://schemas.openxmlformats.org/officeDocument/2006/relationships/hyperlink" Id="rId153"/>
    <Relationship TargetMode="External" Target="https://www.legis.iowa.gov/docs/iac/chapter/567.135.pdf" Type="http://schemas.openxmlformats.org/officeDocument/2006/relationships/hyperlink" Id="rId154"/>
    <Relationship TargetMode="External" Target="https://www.legis.iowa.gov/docs/iac/rule/567.105.210.pdf" Type="http://schemas.openxmlformats.org/officeDocument/2006/relationships/hyperlink" Id="rId155"/>
    <Relationship TargetMode="External" Target="https://www.legis.iowa.gov/docs/iac/rule/567.105.204.pdf" Type="http://schemas.openxmlformats.org/officeDocument/2006/relationships/hyperlink" Id="rId156"/>
    <Relationship TargetMode="External" Target="https://www.legis.iowa.gov/docs/iac/rule/567.105.205.pdf" Type="http://schemas.openxmlformats.org/officeDocument/2006/relationships/hyperlink" Id="rId157"/>
    <Relationship TargetMode="External" Target="https://www.legis.iowa.gov/docs/iac/rule/567.105.206.pdf" Type="http://schemas.openxmlformats.org/officeDocument/2006/relationships/hyperlink" Id="rId158"/>
    <Relationship TargetMode="External" Target="https://www.legis.iowa.gov/docs/iac/rule/567.105.209.pdf" Type="http://schemas.openxmlformats.org/officeDocument/2006/relationships/hyperlink" Id="rId159"/>
    <Relationship TargetMode="External" Target="https://www.legis.iowa.gov/docs/iac/rule/567.105.208.pdf" Type="http://schemas.openxmlformats.org/officeDocument/2006/relationships/hyperlink" Id="rId160"/>
    <Relationship TargetMode="External" Target="https://www.legis.iowa.gov/docs/iac/rule/567.105.204.pdf" Type="http://schemas.openxmlformats.org/officeDocument/2006/relationships/hyperlink" Id="rId161"/>
    <Relationship TargetMode="External" Target="https://www.legis.iowa.gov/docs/iac/rule/567.105.205.pdf" Type="http://schemas.openxmlformats.org/officeDocument/2006/relationships/hyperlink" Id="rId162"/>
    <Relationship TargetMode="External" Target="https://www.legis.iowa.gov/docs/iac/rule/567.105.206.pdf" Type="http://schemas.openxmlformats.org/officeDocument/2006/relationships/hyperlink" Id="rId163"/>
    <Relationship TargetMode="External" Target="https://www.legis.iowa.gov/docs/iac/rule/567.105.209.pdf" Type="http://schemas.openxmlformats.org/officeDocument/2006/relationships/hyperlink" Id="rId164"/>
    <Relationship TargetMode="External" Target="https://www.legis.iowa.gov/docs/iac/rule/567.105.210.pdf" Type="http://schemas.openxmlformats.org/officeDocument/2006/relationships/hyperlink" Id="rId165"/>
    <Relationship TargetMode="External" Target="https://www.legis.iowa.gov/docs/iac/rule/567.105.210.pdf" Type="http://schemas.openxmlformats.org/officeDocument/2006/relationships/hyperlink" Id="rId166"/>
    <Relationship TargetMode="External" Target="https://www.legis.iowa.gov/docs/iac/rule/567.105.204.pdf" Type="http://schemas.openxmlformats.org/officeDocument/2006/relationships/hyperlink" Id="rId167"/>
    <Relationship TargetMode="External" Target="https://www.legis.iowa.gov/docs/iac/rule/567.105.205.pdf" Type="http://schemas.openxmlformats.org/officeDocument/2006/relationships/hyperlink" Id="rId168"/>
    <Relationship TargetMode="External" Target="https://www.legis.iowa.gov/docs/iac/rule/567.105.206.pdf" Type="http://schemas.openxmlformats.org/officeDocument/2006/relationships/hyperlink" Id="rId169"/>
    <Relationship TargetMode="External" Target="https://www.legis.iowa.gov/docs/iac/rule/567.105.209.pdf" Type="http://schemas.openxmlformats.org/officeDocument/2006/relationships/hyperlink" Id="rId170"/>
    <Relationship TargetMode="External" Target="https://www.legis.iowa.gov/docs/iac/rule/567.105.209.pdf" Type="http://schemas.openxmlformats.org/officeDocument/2006/relationships/hyperlink" Id="rId171"/>
    <Relationship TargetMode="External" Target="https://www.legis.iowa.gov/docs/iac/rule/567.105.210.pdf" Type="http://schemas.openxmlformats.org/officeDocument/2006/relationships/hyperlink" Id="rId172"/>
    <Relationship TargetMode="External" Target="https://www.legis.iowa.gov/docs/iac/rule/567.105.210.pdf" Type="http://schemas.openxmlformats.org/officeDocument/2006/relationships/hyperlink" Id="rId173"/>
    <Relationship TargetMode="External" Target="https://www.legis.iowa.gov/docs/iac/rule/567.105.210.pdf" Type="http://schemas.openxmlformats.org/officeDocument/2006/relationships/hyperlink" Id="rId174"/>
    <Relationship TargetMode="External" Target="https://www.legis.iowa.gov/docs/iac/rule/567.105.210.pdf" Type="http://schemas.openxmlformats.org/officeDocument/2006/relationships/hyperlink" Id="rId175"/>
    <Relationship TargetMode="External" Target="https://www.legis.iowa.gov/docs/iac/rule/567.105.210.pdf" Type="http://schemas.openxmlformats.org/officeDocument/2006/relationships/hyperlink" Id="rId176"/>
    <Relationship TargetMode="External" Target="https://www.legis.iowa.gov/docs/iac/rule/567.105.210.pdf" Type="http://schemas.openxmlformats.org/officeDocument/2006/relationships/hyperlink" Id="rId177"/>
    <Relationship TargetMode="External" Target="https://www.legis.iowa.gov/docs/iac/rule/567.105.210.pdf" Type="http://schemas.openxmlformats.org/officeDocument/2006/relationships/hyperlink" Id="rId178"/>
    <Relationship TargetMode="External" Target="https://www.legis.iowa.gov/docs/iac/rule/567.105.210.pdf" Type="http://schemas.openxmlformats.org/officeDocument/2006/relationships/hyperlink" Id="rId179"/>
    <Relationship TargetMode="External" Target="https://www.legis.iowa.gov/docs/iac/rule/567.105.208.pdf" Type="http://schemas.openxmlformats.org/officeDocument/2006/relationships/hyperlink" Id="rId180"/>
    <Relationship TargetMode="External" Target="https://www.legis.iowa.gov/docs/iac/rule/567.105.209.pdf" Type="http://schemas.openxmlformats.org/officeDocument/2006/relationships/hyperlink" Id="rId181"/>
    <Relationship TargetMode="External" Target="https://www.legis.iowa.gov/docs/iac/rule/567.105.207.pdf" Type="http://schemas.openxmlformats.org/officeDocument/2006/relationships/hyperlink" Id="rId182"/>
    <Relationship TargetMode="External" Target="https://www.legis.iowa.gov/docs/ico/chapter/558.pdf" Type="http://schemas.openxmlformats.org/officeDocument/2006/relationships/hyperlink" Id="rId183"/>
    <Relationship TargetMode="External" Target="https://www.legis.iowa.gov/docs/ico/chapter/455H.pdf" Type="http://schemas.openxmlformats.org/officeDocument/2006/relationships/hyperlink" Id="rId184"/>
    <Relationship TargetMode="External" Target="https://www.legis.iowa.gov/docs/ico/chapter/455H.301.pdf" Type="http://schemas.openxmlformats.org/officeDocument/2006/relationships/hyperlink" Id="rId185"/>
    <Relationship TargetMode="External" Target="https://www.legis.iowa.gov/docs/ico/chapter/455B.381.pdf" Type="http://schemas.openxmlformats.org/officeDocument/2006/relationships/hyperlink" Id="rId186"/>
    <Relationship TargetMode="External" Target="https://www.legis.iowa.gov/docs/ico/chapter/455H.pdf" Type="http://schemas.openxmlformats.org/officeDocument/2006/relationships/hyperlink" Id="rId187"/>
    <Relationship Target="footer.xml" Type="http://schemas.openxmlformats.org/officeDocument/2006/relationships/footer" Id="rId18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