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 xml:space="preserve">SOLID WASTE COMPREHENSIVE PLANNING AND </w:t>
      </w:r>
      <w:r>
        <w:br/>
      </w:r>
      <w:r>
        <w:rPr>
          <w:rFonts w:ascii="Times New Roman" w:hAnsi="Times New Roman"/>
          <w:b w:val="false"/>
          <w:i w:val="false"/>
          <w:color w:val="000000"/>
          <w:sz w:val="21"/>
        </w:rPr>
        <w:t>ENVIRONMENTAL MANAGEMENT SYSTEM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567—104.1</w:t>
      </w:r>
      <w:r>
        <w:rPr>
          <w:rFonts w:ascii="Times New Roman" w:hAnsi="Times New Roman"/>
          <w:b/>
          <w:i w:val="false"/>
          <w:color w:val="000000"/>
          <w:sz w:val="22"/>
        </w:rPr>
        <w:t xml:space="preserve">(455B,455D,455J)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general definitions and direction for comprehensive integrated solid waste management planning for every city and county of this state and to provide an orderly and efficient process for the assessment and collection of fees for the disposal of solid waste at a sanitary landfill. This chapter also establishes methods and criteria for the environmental management system program, a voluntary alternative to comprehensive planning for planning areas or service areas.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567—104.2</w:t>
      </w:r>
      <w:r>
        <w:rPr>
          <w:rFonts w:ascii="Times New Roman" w:hAnsi="Times New Roman"/>
          <w:b/>
          <w:i w:val="false"/>
          <w:color w:val="000000"/>
          <w:sz w:val="22"/>
        </w:rPr>
        <w:t xml:space="preserve">(28E,455B,455D,455J)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following definitions; the definitions in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the definitions in Iowa Code chapters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compliance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“annual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required submittal to the department that documents an environmental management system’s compliance with the requirements of Iowa Code section </w:t>
      </w:r>
      <w:hyperlink r:id="rId10">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agency”</w:t>
      </w:r>
      <w:r>
        <w:rPr>
          <w:rFonts w:ascii="Times New Roman" w:hAnsi="Times New Roman"/>
          <w:b w:val="false"/>
          <w:i w:val="false"/>
          <w:color w:val="000000"/>
          <w:sz w:val="22"/>
        </w:rPr>
        <w:t> </w:t>
      </w:r>
      <w:r>
        <w:rPr>
          <w:rFonts w:ascii="Times New Roman" w:hAnsi="Times New Roman"/>
          <w:b w:val="false"/>
          <w:i w:val="false"/>
          <w:color w:val="000000"/>
          <w:sz w:val="22"/>
        </w:rPr>
        <w:t>means an established private or public, or private and public, agency for the purpose of managing solid waste, implementing integrated solid waste management systems on behalf of cities and counties,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Duties of cities and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requirements in the Iowa Code, including Iowa Code section </w:t>
      </w:r>
      <w:hyperlink r:id="rId11">
        <w:r>
          <w:rPr>
            <w:rStyle w:val="Hyperlink"/>
            <w:rFonts w:ascii="Times New Roman" w:hAnsi="Times New Roman"/>
            <w:b w:val="false"/>
            <w:i w:val="false"/>
            <w:color w:val="000000"/>
            <w:sz w:val="22"/>
          </w:rPr>
          <w:t>455B.302</w:t>
        </w:r>
      </w:hyperlink>
      <w:r>
        <w:rPr>
          <w:rFonts w:ascii="Times New Roman" w:hAnsi="Times New Roman"/>
          <w:b w:val="false"/>
          <w:i w:val="false"/>
          <w:color w:val="000000"/>
          <w:sz w:val="22"/>
        </w:rPr>
        <w:t>, all cities, counties and solid waste agencies shall demonstrate compliance with the provisions of this chapter by either participating in a comprehensive plan approved by the department or being within the planning or service area of an environmental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If a planning agency refuses any particular solid waste type for management or disposal, the planning agency must identify another municipal solid waste sanitary disposal project for that waste within the planning area. If no other municipal solid waste sanitary disposal project exists within the planning area, the planning agency must, in cooperation with the waste generator, establish or arrange for access to another municipal solid waste sanitary disposal project. Municipal solid waste sanitary disposal projects are required to maintain written approval from both the department and the planning agency in the planning area of origin in order to accept any Iowa-generated waste from outside the planning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567—104.4</w:t>
      </w:r>
      <w:r>
        <w:rPr>
          <w:rFonts w:ascii="Times New Roman" w:hAnsi="Times New Roman"/>
          <w:b/>
          <w:i w:val="false"/>
          <w:color w:val="000000"/>
          <w:sz w:val="22"/>
        </w:rPr>
        <w:t xml:space="preserve">(455B,455D,455J) </w:t>
      </w:r>
      <w:r>
        <w:rPr>
          <w:rFonts w:ascii="Times New Roman" w:hAnsi="Times New Roman"/>
          <w:b/>
          <w:i w:val="false"/>
          <w:color w:val="000000"/>
          <w:sz w:val="22"/>
        </w:rPr>
        <w:t xml:space="preserve">State volume reduction and recycling goals. </w:t>
      </w:r>
      <w:r>
        <w:rPr>
          <w:rFonts w:ascii="Times New Roman" w:hAnsi="Times New Roman"/>
          <w:b w:val="false"/>
          <w:i w:val="false"/>
          <w:color w:val="000000"/>
          <w:sz w:val="22"/>
        </w:rPr>
        <w:t xml:space="preserve">The goal of the state is to reduce the amount of materials in the waste stream, existing as of July 1, 1988, by an intermediate goal of 25 percent, and by a final goal of at least 50 percent, through the practice of waste volume reduction at the source and through recycling. The updated goal progress calculations provided by the department for each planning area shall be used by the department in reporting to the general assembly on the state’s progress toward meeting the 25 and 50 percent goals. The specific methodology for determining goal progress is outlined in </w:t>
      </w:r>
      <w:hyperlink r:id="rId12">
        <w:r>
          <w:rPr>
            <w:rStyle w:val="Hyperlink"/>
            <w:rFonts w:ascii="Times New Roman" w:hAnsi="Times New Roman"/>
            <w:b w:val="false"/>
            <w:i w:val="false"/>
            <w:color w:val="000000"/>
            <w:sz w:val="22"/>
          </w:rPr>
          <w:t>567—104.5</w:t>
        </w:r>
      </w:hyperlink>
      <w:r>
        <w:rPr>
          <w:rFonts w:ascii="Times New Roman" w:hAnsi="Times New Roman"/>
          <w:b w:val="false"/>
          <w:i w:val="false"/>
          <w:color w:val="000000"/>
          <w:sz w:val="22"/>
        </w:rPr>
        <w:t xml:space="preserve">(455B,455D). A planning area designated as an environmental management system pursuant to Iowa Code section </w:t>
      </w:r>
      <w:hyperlink r:id="rId13">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is exempt from the waste stream reduction goals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Base year adjustment method. </w:t>
      </w:r>
      <w:r>
        <w:rPr>
          <w:rFonts w:ascii="Times New Roman" w:hAnsi="Times New Roman"/>
          <w:b w:val="false"/>
          <w:i w:val="false"/>
          <w:color w:val="000000"/>
          <w:sz w:val="22"/>
        </w:rPr>
        <w:t xml:space="preserve">Planning agencies may request that the department complete a goal progress recalculation once per fiscal year to resolve any discrepancies and to further evaluate progress toward the state’s waste volume reduction and recycling goals. At the time of approval of a comprehensive plan or comprehensive plan update, the department will use the most current complete fiscal year data set available to complete goal progress calculations, which will be used to meet the requirements outlined in </w:t>
      </w:r>
      <w:hyperlink r:id="rId14">
        <w:r>
          <w:rPr>
            <w:rStyle w:val="Hyperlink"/>
            <w:rFonts w:ascii="Times New Roman" w:hAnsi="Times New Roman"/>
            <w:b w:val="false"/>
            <w:i w:val="false"/>
            <w:color w:val="000000"/>
            <w:sz w:val="22"/>
          </w:rPr>
          <w:t>567—104.8</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w:t>
      </w:r>
      <w:r>
        <w:rPr>
          <w:rFonts w:ascii="Times New Roman" w:hAnsi="Times New Roman"/>
          <w:b w:val="false"/>
          <w:i w:val="false"/>
          <w:color w:val="000000"/>
          <w:sz w:val="22"/>
        </w:rPr>
        <w:t> </w:t>
      </w:r>
      <w:r>
        <w:rPr>
          <w:rFonts w:ascii="Times New Roman" w:hAnsi="Times New Roman"/>
          <w:b w:val="false"/>
          <w:i w:val="false"/>
          <w:color w:val="000000"/>
          <w:sz w:val="22"/>
        </w:rPr>
        <w:t>The base year adjustment method (see Formula 1) controls for population, employment and taxable sales to more accurately determine progress toward the state’s waste volume reduction and recycling goals. Factors included within the base year adjustment method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year residential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 year commercial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Base year population data (U.S.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Base year employment data—total nonfarm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Base year taxable sales data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Base year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population (U.S.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employment—total nonfarm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taxable sales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consumer price index.</w:t>
      </w:r>
    </w:p>
    <w:p>
      <w:pPr>
        <w:spacing w:before="0" w:after="0"/>
        <w:ind w:left="120"/>
        <w:jc w:val="both"/>
      </w:pPr>
      <w:r>
        <w:drawing>
          <wp:inline distT="0" distB="0" distL="0" distR="0">
            <wp:extent cx="5212080" cy="1180797"/>
            <wp:effectExtent l="0" t="0" r="0" b="0"/>
            <wp:docPr id="2" name="" descr="Formula for base year adjustment method of waste diversion using the factors in subrule 104.5(1)."/>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5212080" cy="1180797"/>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104.5(2)</w:t>
      </w:r>
      <w:r>
        <w:rPr>
          <w:rFonts w:ascii="Times New Roman" w:hAnsi="Times New Roman"/>
          <w:b w:val="false"/>
          <w:i w:val="false"/>
          <w:color w:val="000000"/>
          <w:sz w:val="22"/>
        </w:rPr>
        <w:t> </w:t>
      </w:r>
      <w:r>
        <w:rPr>
          <w:rFonts w:ascii="Times New Roman" w:hAnsi="Times New Roman"/>
          <w:b w:val="false"/>
          <w:i w:val="false"/>
          <w:color w:val="000000"/>
          <w:sz w:val="22"/>
        </w:rPr>
        <w:t>Planning agencies must document the amount of waste disposed of in both the base year and the most current fiscal year where a complete data set is available. If no changes have occurred within the planning area that would affect the base year, then only data for the most current fiscal year for which a complete data set is available need to be presented in the comprehensive plan update, since information on each planning area’s base year tonnage is presented in prior comprehensive plan submittals. Tonnage data sources that each planning agency must identify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Landfill(s) within the planning area and its respective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 station(s) or hauler(s) transporting waste into or out of the planning area for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Incineration with or without energy recovery of waste within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Allowable base year adjustment method exemptions, including exceptional events, waste originating from out of state, and solid waste generated outside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104.5(3)</w:t>
      </w:r>
      <w:r>
        <w:rPr>
          <w:rFonts w:ascii="Times New Roman" w:hAnsi="Times New Roman"/>
          <w:b w:val="false"/>
          <w:i w:val="false"/>
          <w:color w:val="000000"/>
          <w:sz w:val="22"/>
        </w:rPr>
        <w:t> </w:t>
      </w:r>
      <w:r>
        <w:rPr>
          <w:rFonts w:ascii="Times New Roman" w:hAnsi="Times New Roman"/>
          <w:b w:val="false"/>
          <w:i w:val="false"/>
          <w:color w:val="000000"/>
          <w:sz w:val="22"/>
        </w:rPr>
        <w:t>Waste generated as part of an exceptional event or contaminated site cleanup should not negatively affect a planning area’s goal progress calculation. Requests for goal progress calculation exemptions must be made to the department within six months after initial disposal. The determination to exempt tonnages from goal progress calculations shall be made solely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Exceptional events include but are not limited to disasters proclaimed by the governor. Requests to exempt exceptional event debris from goal progress calculations shall be made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the municipal solid waste sanitary disposal project or planning agency to exempt contaminated site cleanup waste from goal progress calculations shall be made on a form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Forms of comprehensive plan submittals to be filed. </w:t>
      </w:r>
      <w:r>
        <w:rPr>
          <w:rFonts w:ascii="Times New Roman" w:hAnsi="Times New Roman"/>
          <w:b w:val="false"/>
          <w:i w:val="false"/>
          <w:color w:val="000000"/>
          <w:sz w:val="22"/>
        </w:rPr>
        <w:t xml:space="preserve">Notwithstanding any of the requirements of Iowa Code section </w:t>
      </w:r>
      <w:hyperlink r:id="rId16">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 there are three forms of comprehensive plan submittals: initial, updates and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color w:val="000000"/>
          <w:sz w:val="22"/>
        </w:rPr>
        <w:t xml:space="preserve">Initial comprehensive plan. </w:t>
      </w:r>
      <w:r>
        <w:rPr>
          <w:rFonts w:ascii="Times New Roman" w:hAnsi="Times New Roman"/>
          <w:b w:val="false"/>
          <w:i w:val="false"/>
          <w:color w:val="000000"/>
          <w:sz w:val="22"/>
        </w:rPr>
        <w:t>An initial comprehensive plan shall be submitted as determined by the department, including but not limited to when a new planning area is established or a new solid waste landfill or municipal solid waste incinerator is sited. Initial comprehensive plans shall be submitted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color w:val="000000"/>
          <w:sz w:val="22"/>
        </w:rPr>
        <w:t xml:space="preserve">Comprehensive plan updates. </w:t>
      </w:r>
      <w:r>
        <w:rPr>
          <w:rFonts w:ascii="Times New Roman" w:hAnsi="Times New Roman"/>
          <w:b w:val="false"/>
          <w:i w:val="false"/>
          <w:color w:val="000000"/>
          <w:sz w:val="22"/>
        </w:rPr>
        <w:t>A comprehensive plan update shall be submitted according to planning cycle due dates established by the department. Comprehensive plan updates shall be submitted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104.6(3)</w:t>
      </w:r>
      <w:r>
        <w:rPr>
          <w:rFonts w:ascii="Times New Roman" w:hAnsi="Times New Roman"/>
          <w:b w:val="false"/>
          <w:i w:val="false"/>
          <w:color w:val="000000"/>
          <w:sz w:val="22"/>
        </w:rPr>
        <w:t> </w:t>
      </w:r>
      <w:r>
        <w:rPr>
          <w:rFonts w:ascii="Times New Roman" w:hAnsi="Times New Roman"/>
          <w:b w:val="false"/>
          <w:i/>
          <w:color w:val="000000"/>
          <w:sz w:val="22"/>
        </w:rPr>
        <w:t xml:space="preserve">Comprehensive plan amendments. </w:t>
      </w:r>
      <w:r>
        <w:rPr>
          <w:rFonts w:ascii="Times New Roman" w:hAnsi="Times New Roman"/>
          <w:b w:val="false"/>
          <w:i w:val="false"/>
          <w:color w:val="000000"/>
          <w:sz w:val="22"/>
        </w:rPr>
        <w:t>If a municipal solid waste sanitary disposal project or city or county requests to be included in a planning area after completion of an initial comprehensive plan or a comprehensive plan update but before the next comprehensive plan update is due, the department may determine that a comprehensive plan amendment may be submitted and approved to fulfill requirements until the beginning of the next planning cycle. Comprehensive plan amendments shall be submitted to the department on a form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567—104.7</w:t>
      </w:r>
      <w:r>
        <w:rPr>
          <w:rFonts w:ascii="Times New Roman" w:hAnsi="Times New Roman"/>
          <w:b/>
          <w:i w:val="false"/>
          <w:color w:val="000000"/>
          <w:sz w:val="22"/>
        </w:rPr>
        <w:t xml:space="preserve">(455J) </w:t>
      </w:r>
      <w:r>
        <w:rPr>
          <w:rFonts w:ascii="Times New Roman" w:hAnsi="Times New Roman"/>
          <w:b/>
          <w:i w:val="false"/>
          <w:color w:val="000000"/>
          <w:sz w:val="22"/>
        </w:rPr>
        <w:t xml:space="preserve">Environmental management systems. </w:t>
      </w:r>
      <w:r>
        <w:rPr>
          <w:rFonts w:ascii="Times New Roman" w:hAnsi="Times New Roman"/>
          <w:b w:val="false"/>
          <w:i w:val="false"/>
          <w:color w:val="000000"/>
          <w:sz w:val="22"/>
        </w:rPr>
        <w:t>Notwithstanding any other requirements, a planning or service area that has been designated as an environmental management system and that seeks to continue to be so designated in this voluntary program is exempt from filing its comprehensive plan. By September 1 of each year, an annual report shall be submitted to the department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Annual report evaluation criteria. </w:t>
      </w:r>
      <w:r>
        <w:rPr>
          <w:rFonts w:ascii="Times New Roman" w:hAnsi="Times New Roman"/>
          <w:b w:val="false"/>
          <w:i w:val="false"/>
          <w:color w:val="000000"/>
          <w:sz w:val="22"/>
        </w:rPr>
        <w:t>The department shall review the annual report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Completeness in terms of addressing all of the elements set forth in the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demonstration of continuous improvement in terms of progress toward achieving the objectives and targets set forth in the environmental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Annual report evaluation outcomes.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annual report adequately demonstrates compliance with the requirements of Iowa Code section </w:t>
      </w:r>
      <w:hyperlink r:id="rId17">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xml:space="preserve">, the planning or service area shall remain designated as an environmental management system and shall continue to be qualified for the incentives set forth in Iowa Code section </w:t>
      </w:r>
      <w:hyperlink r:id="rId18">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report should clearly demonstrate continuous improvement in terms of progress toward achieving the objectives and targets set forth in the environmental management system. If the department determines that the annual report clearly demonstrates that the planning or service area’s environmental management system is no longer in compliance with Iowa Code section </w:t>
      </w:r>
      <w:hyperlink r:id="rId19">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the department may recommend to the environmental protection commission the revocation of the environmental management system designation. If the commission concurs with the department’s recommendation, the planning or service area shall adhere to comprehensive planning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a planning or service area to submit an annual report by September 1 in any year will result in revocation of the environmental management system designation, following which the planning or service area shall adhere to the comprehensive planning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567—104.8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Fees for disposal of solid waste at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w:t>
      </w:r>
      <w:r>
        <w:rPr>
          <w:rFonts w:ascii="Times New Roman" w:hAnsi="Times New Roman"/>
          <w:b w:val="false"/>
          <w:i w:val="false"/>
          <w:color w:val="000000"/>
          <w:sz w:val="22"/>
        </w:rPr>
        <w:t> </w:t>
      </w:r>
      <w:r>
        <w:rPr>
          <w:rFonts w:ascii="Times New Roman" w:hAnsi="Times New Roman"/>
          <w:b w:val="false"/>
          <w:i/>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the department has the authority to collect fees for the disposal of solid waste at sanitary landfills. All tonnage fees received by the department under this rule shall be deposited in the solid waste account of the groundwater protection fund created under Iowa Code section </w:t>
      </w:r>
      <w:hyperlink r:id="rId21">
        <w:r>
          <w:rPr>
            <w:rStyle w:val="Hyperlink"/>
            <w:rFonts w:ascii="Times New Roman" w:hAnsi="Times New Roman"/>
            <w:b w:val="false"/>
            <w:i w:val="false"/>
            <w:color w:val="000000"/>
            <w:sz w:val="22"/>
          </w:rPr>
          <w:t>455E.11(1)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provide an orderly and efficient process for the assessment and collection of fees for the disposal of solid waste at a sanitary landfill. This rule clarifies the applicability of the fees and sets forth a fee schedule, means of filing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Except as provided in </w:t>
      </w:r>
      <w:hyperlink r:id="rId22">
        <w:r>
          <w:rPr>
            <w:rStyle w:val="Hyperlink"/>
            <w:rFonts w:ascii="Times New Roman" w:hAnsi="Times New Roman"/>
            <w:b w:val="false"/>
            <w:i w:val="false"/>
            <w:color w:val="000000"/>
            <w:sz w:val="22"/>
          </w:rPr>
          <w:t>104.8(2)</w:t>
        </w:r>
      </w:hyperlink>
      <w:r>
        <w:rPr>
          <w:rFonts w:ascii="Times New Roman" w:hAnsi="Times New Roman"/>
          <w:b w:val="false"/>
          <w:i w:val="false"/>
          <w:color w:val="000000"/>
          <w:sz w:val="22"/>
        </w:rPr>
        <w:t>, operators of all sanitary landfills located within Iowa and subject to the permitting requirements of the department shall pay a fee for each ton of solid waste disposed of in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Fees do not apply to wastes that will not be buried at a sanitary landfill if such material is salvaged or recycled in accordance with the provisions of the landfill permit.</w:t>
      </w:r>
    </w:p>
    <w:p>
      <w:pPr>
        <w:spacing w:before="0" w:after="0"/>
        <w:ind w:left="120"/>
        <w:jc w:val="both"/>
      </w:pPr>
      <w:r>
        <w:rPr>
          <w:rFonts w:ascii="Times New Roman" w:hAnsi="Times New Roman"/>
          <w:b/>
          <w:i w:val="false"/>
          <w:color w:val="000000"/>
          <w:sz w:val="22"/>
        </w:rPr>
        <w:t>104.8(3)</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base tonnage fee is $4.25 per ton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statewide goal progress average is 36 percent, as determined by the department on July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department notifies a planning agency or municipal solid waste sanitary disposal project(s) that the planning area has either failed to meet the 25 percent goal or has met or exceeded the 25 percent goal, the 36 percent statewide average or the 50 percent goal, all municipal solid waste sanitary disposal projects within that planning area that are required to remit state tonnage fees shall collect, remit and retain tonnage fees according to Table 1 in this subrule, starting with the next scheduled fee payment.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solid waste planning or service area designated as an environmental management system pursuant to Iowa Code section </w:t>
      </w:r>
      <w:hyperlink r:id="rId23">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shall qualify, pursuant to Iowa Code section </w:t>
      </w:r>
      <w:hyperlink r:id="rId24">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 for a reduced tonnage fee of $3.65 per ton, of which $2.10 shall be remitted to the department.</w:t>
      </w:r>
    </w:p>
    <w:p>
      <w:pPr>
        <w:spacing w:before="0" w:after="0"/>
        <w:ind w:left="120"/>
        <w:jc w:val="both"/>
      </w:pPr>
      <w:r>
        <w:rPr>
          <w:rFonts w:ascii="Times New Roman" w:hAnsi="Times New Roman"/>
          <w:b w:val="false"/>
          <w:i w:val="false"/>
          <w:color w:val="000000"/>
          <w:sz w:val="22"/>
        </w:rPr>
        <w:t>Table 1 sets forth the solid waste tonnage fee schedule.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8640"/>
        <w:gridCol w:w="0"/>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Table 1</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with less than 25% diversion level:</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$4.75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under the state average, and under 50%: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360"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over the state average and under 50%, and planning or service areas designated as an environmental management system:</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$1.55 per ton ($1.05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50% diversion: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$1.95 per ton to the department</w:t>
            </w:r>
          </w:p>
        </w:tc>
      </w:tr>
      <w:tr>
        <w:trPr>
          <w:trHeight w:val="360" w:hRule="atLeast"/>
        </w:trPr>
        <w:tc>
          <w:tcPr>
            <w:tcW w:w="192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$1.30 per ton ($0.80 per ton for implementing planning, $0.50 per ton for environmental protection, comprehensive plan development and implementation)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Retained tonnage fees collected pursuant to this subrule shall be approved by the department and used for implementation of programs and services designed to satisfy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tonnage fees, sanitary landfills shall utilize scales and shall base the fee assessment on the net scale weight of solid wastes disposed of at the landfill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special conditions existing at a sanitary landfill make it impractical to use the landfill’s scales to determine waste tonnages, the landfill may propose for department review and approval an alternate method for determining the weight of disposed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104.8(4)</w:t>
      </w:r>
      <w:r>
        <w:rPr>
          <w:rFonts w:ascii="Times New Roman" w:hAnsi="Times New Roman"/>
          <w:b w:val="false"/>
          <w:i w:val="false"/>
          <w:color w:val="000000"/>
          <w:sz w:val="22"/>
        </w:rPr>
        <w:t> </w:t>
      </w:r>
      <w:r>
        <w:rPr>
          <w:rFonts w:ascii="Times New Roman" w:hAnsi="Times New Roman"/>
          <w:b w:val="false"/>
          <w:i/>
          <w:color w:val="000000"/>
          <w:sz w:val="22"/>
        </w:rPr>
        <w:t xml:space="preserve">Form, manner, time and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Any person to whom or entity to which this rule applies shall submit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Manner, time and place. </w:t>
      </w:r>
      <w:r>
        <w:rPr>
          <w:rFonts w:ascii="Times New Roman" w:hAnsi="Times New Roman"/>
          <w:b w:val="false"/>
          <w:i w:val="false"/>
          <w:color w:val="000000"/>
          <w:sz w:val="22"/>
        </w:rPr>
        <w:t xml:space="preserve">Fees are to be paid on a quarterly basis. Sanitary landfills serving more than one planning area, as expressed in Iowa Code section </w:t>
      </w:r>
      <w:hyperlink r:id="rId25">
        <w:r>
          <w:rPr>
            <w:rStyle w:val="Hyperlink"/>
            <w:rFonts w:ascii="Times New Roman" w:hAnsi="Times New Roman"/>
            <w:b w:val="false"/>
            <w:i w:val="false"/>
            <w:color w:val="000000"/>
            <w:sz w:val="22"/>
          </w:rPr>
          <w:t>455B.306(1)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455B.306(2)</w:t>
        </w:r>
      </w:hyperlink>
      <w:r>
        <w:rPr>
          <w:rFonts w:ascii="Times New Roman" w:hAnsi="Times New Roman"/>
          <w:b w:val="false"/>
          <w:i w:val="false"/>
          <w:color w:val="000000"/>
          <w:sz w:val="22"/>
        </w:rPr>
        <w:t>, shall submit separate Quarterly Solid Waste Fee Schedule and Retained Fees Reports for each planning area. The fees and report on retained fees will be due January 1, April 1, July 1, and October 1 for the quarters ending September 30, December 31, March 31, and June 30, respectively. The completed form shall be submitted with the appropriate fees to Budget and Finance Bureau, Department of Natural Resources,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Operating records. </w:t>
      </w:r>
      <w:r>
        <w:rPr>
          <w:rFonts w:ascii="Times New Roman" w:hAnsi="Times New Roman"/>
          <w:b w:val="false"/>
          <w:i w:val="false"/>
          <w:color w:val="000000"/>
          <w:sz w:val="22"/>
        </w:rPr>
        <w:t xml:space="preserve">Those sanitary landfill operators who are subject to the fee assessment requirements of this rule shall maintain adequate records to determine and document the weight of solid waste received at and disposed of in the sanitary landfill during the calendar year. Planning areas entering into an agreement pursuant to Iowa Code section </w:t>
      </w:r>
      <w:hyperlink r:id="rId27">
        <w:r>
          <w:rPr>
            <w:rStyle w:val="Hyperlink"/>
            <w:rFonts w:ascii="Times New Roman" w:hAnsi="Times New Roman"/>
            <w:b w:val="false"/>
            <w:i w:val="false"/>
            <w:color w:val="000000"/>
            <w:sz w:val="22"/>
          </w:rPr>
          <w:t>455B.306(2)</w:t>
        </w:r>
      </w:hyperlink>
      <w:r>
        <w:rPr>
          <w:rFonts w:ascii="Times New Roman" w:hAnsi="Times New Roman"/>
          <w:b w:val="false"/>
          <w:i w:val="false"/>
          <w:color w:val="000000"/>
          <w:sz w:val="22"/>
        </w:rPr>
        <w:t xml:space="preserve"> shall submit documentation to the department, and a planning area receiving the solid waste under such an agreement shall, in addition, submit evidence to the department demonstrating that required retained fees were returned in a timely manner to other planning area(s)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All records used in determining the solid waste fee assessment must be kept for a period of at least three years from the end of the calendar year that the records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All records required under this rule must be furnished upon request and be made available at all reasonable times for inspection to any officer, employee or representative of the department who is duly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104.8(6)</w:t>
      </w:r>
      <w:r>
        <w:rPr>
          <w:rFonts w:ascii="Times New Roman" w:hAnsi="Times New Roman"/>
          <w:b w:val="false"/>
          <w:i w:val="false"/>
          <w:color w:val="000000"/>
          <w:sz w:val="22"/>
        </w:rPr>
        <w:t> </w:t>
      </w:r>
      <w:r>
        <w:rPr>
          <w:rFonts w:ascii="Times New Roman" w:hAnsi="Times New Roman"/>
          <w:b w:val="false"/>
          <w:i/>
          <w:color w:val="000000"/>
          <w:sz w:val="22"/>
        </w:rPr>
        <w:t xml:space="preserve">Failure to pay fees. </w:t>
      </w:r>
      <w:r>
        <w:rPr>
          <w:rFonts w:ascii="Times New Roman" w:hAnsi="Times New Roman"/>
          <w:b w:val="false"/>
          <w:i w:val="false"/>
          <w:color w:val="000000"/>
          <w:sz w:val="22"/>
        </w:rPr>
        <w:t xml:space="preserve">If it is found that a person or entity has failed to pay the fees assessed by this rule, the director shall enforce the collection of the delinquent fees. A person or entity required to pay fees as required by Iowa Code section </w:t>
      </w:r>
      <w:hyperlink r:id="rId28">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pay the fees by the due date shall be assessed a penalty of 2 percent of the quarterly fee due, to be assessed on January 2, April 2, July 2, and October 2, and on a monthly basis on the first day of each month thereafter, until paid. A person or entity required to retain fees as required by Iowa Code section </w:t>
      </w:r>
      <w:hyperlink r:id="rId29">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report the use of the retained fees by the due date shall be assessed a penalty of 2 percent of the retained fees due to the department, with said penalty to be assessed on January 2, April 2, July 2, and October 2, and on a monthly basis on the first day of each month thereafter, until paid. All penalties shall be paid in addition to the fees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0">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455B.302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455D.3</w:t>
        </w:r>
      </w:hyperlink>
      <w:r>
        <w:rPr>
          <w:rFonts w:ascii="Times New Roman" w:hAnsi="Times New Roman"/>
          <w:b w:val="false"/>
          <w:i w:val="false"/>
          <w:color w:val="000000"/>
          <w:sz w:val="22"/>
        </w:rPr>
        <w:t xml:space="preserve"> and chapter </w:t>
      </w:r>
      <w:hyperlink r:id="rId35">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0485D</w:t>
      </w:r>
      <w:r>
        <w:rPr>
          <w:rFonts w:ascii="Times New Roman" w:hAnsi="Times New Roman"/>
          <w:b w:val="false"/>
          <w:i w:val="false"/>
          <w:color w:val="000000"/>
          <w:sz w:val="21"/>
        </w:rPr>
        <w:t xml:space="preserve"> (Notice ARC 9929C, IAB 1/7/26)</w:t>
      </w:r>
      <w:r>
        <w:rPr>
          <w:rFonts w:ascii="Times New Roman" w:hAnsi="Times New Roman"/>
          <w:b w:val="false"/>
          <w:i w:val="false"/>
          <w:color w:val="000000"/>
          <w:sz w:val="21"/>
        </w:rPr>
        <w:t>, IAB 8/19/26, effective 9/23/26]</w:t>
      </w:r>
    </w:p>
    <w:sectPr>
      <w:footerReference r:id="rId3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D.pdf" Type="http://schemas.openxmlformats.org/officeDocument/2006/relationships/hyperlink" Id="rId8"/>
    <Relationship TargetMode="External" Target="https://www.legis.iowa.gov/docs/ico/chapter/455J.pdf" Type="http://schemas.openxmlformats.org/officeDocument/2006/relationships/hyperlink" Id="rId9"/>
    <Relationship TargetMode="External" Target="https://www.legis.iowa.gov/docs/ico/chapter/455J.3.pdf" Type="http://schemas.openxmlformats.org/officeDocument/2006/relationships/hyperlink" Id="rId10"/>
    <Relationship TargetMode="External" Target="https://www.legis.iowa.gov/docs/ico/chapter/455B.302.pdf" Type="http://schemas.openxmlformats.org/officeDocument/2006/relationships/hyperlink" Id="rId11"/>
    <Relationship TargetMode="External" Target="https://www.legis.iowa.gov/docs/iac/rule/567.104.5.pdf" Type="http://schemas.openxmlformats.org/officeDocument/2006/relationships/hyperlink" Id="rId12"/>
    <Relationship TargetMode="External" Target="https://www.legis.iowa.gov/docs/ico/chapter/455J.7.pdf" Type="http://schemas.openxmlformats.org/officeDocument/2006/relationships/hyperlink" Id="rId13"/>
    <Relationship TargetMode="External" Target="https://www.legis.iowa.gov/docs/iac/rule/567.104.8.pdf" Type="http://schemas.openxmlformats.org/officeDocument/2006/relationships/hyperlink" Id="rId14"/>
    <Relationship Target="media/document_image_rId15.png" Type="http://schemas.openxmlformats.org/officeDocument/2006/relationships/image" Id="rId15"/>
    <Relationship TargetMode="External" Target="https://www.legis.iowa.gov/docs/ico/chapter/455B.306.pdf" Type="http://schemas.openxmlformats.org/officeDocument/2006/relationships/hyperlink" Id="rId16"/>
    <Relationship TargetMode="External" Target="https://www.legis.iowa.gov/docs/ico/chapter/455J.3.pdf" Type="http://schemas.openxmlformats.org/officeDocument/2006/relationships/hyperlink" Id="rId17"/>
    <Relationship TargetMode="External" Target="https://www.legis.iowa.gov/docs/ico/chapter/455J.5.pdf" Type="http://schemas.openxmlformats.org/officeDocument/2006/relationships/hyperlink" Id="rId18"/>
    <Relationship TargetMode="External" Target="https://www.legis.iowa.gov/docs/ico/chapter/455J.3.pdf" Type="http://schemas.openxmlformats.org/officeDocument/2006/relationships/hyperlink" Id="rId19"/>
    <Relationship TargetMode="External" Target="https://www.legis.iowa.gov/docs/ico/chapter/455B.310.pdf" Type="http://schemas.openxmlformats.org/officeDocument/2006/relationships/hyperlink" Id="rId20"/>
    <Relationship TargetMode="External" Target="https://www.legis.iowa.gov/docs/ico/chapter/455E.11.pdf" Type="http://schemas.openxmlformats.org/officeDocument/2006/relationships/hyperlink" Id="rId21"/>
    <Relationship TargetMode="External" Target="https://www.legis.iowa.gov/docs/iac/rule/567.104.8.pdf" Type="http://schemas.openxmlformats.org/officeDocument/2006/relationships/hyperlink" Id="rId22"/>
    <Relationship TargetMode="External" Target="https://www.legis.iowa.gov/docs/ico/chapter/455J.7.pdf" Type="http://schemas.openxmlformats.org/officeDocument/2006/relationships/hyperlink" Id="rId23"/>
    <Relationship TargetMode="External" Target="https://www.legis.iowa.gov/docs/ico/chapter/455J.5.pdf" Type="http://schemas.openxmlformats.org/officeDocument/2006/relationships/hyperlink" Id="rId24"/>
    <Relationship TargetMode="External" Target="https://www.legis.iowa.gov/docs/ico/chapter/455B.306.pdf" Type="http://schemas.openxmlformats.org/officeDocument/2006/relationships/hyperlink" Id="rId25"/>
    <Relationship TargetMode="External" Target="https://www.legis.iowa.gov/docs/ico/chapter/455B.306.pdf" Type="http://schemas.openxmlformats.org/officeDocument/2006/relationships/hyperlink" Id="rId26"/>
    <Relationship TargetMode="External" Target="https://www.legis.iowa.gov/docs/ico/chapter/455B.306.pdf" Type="http://schemas.openxmlformats.org/officeDocument/2006/relationships/hyperlink" Id="rId27"/>
    <Relationship TargetMode="External" Target="https://www.legis.iowa.gov/docs/ico/chapter/455B.310.pdf" Type="http://schemas.openxmlformats.org/officeDocument/2006/relationships/hyperlink" Id="rId28"/>
    <Relationship TargetMode="External" Target="https://www.legis.iowa.gov/docs/ico/chapter/455B.310.pdf" Type="http://schemas.openxmlformats.org/officeDocument/2006/relationships/hyperlink" Id="rId29"/>
    <Relationship TargetMode="External" Target="https://www.legis.iowa.gov/docs/ico/chapter/455B.301A.pdf" Type="http://schemas.openxmlformats.org/officeDocument/2006/relationships/hyperlink" Id="rId30"/>
    <Relationship TargetMode="External" Target="https://www.legis.iowa.gov/docs/ico/chapter/455B.302.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co/chapter/455B.310.pdf" Type="http://schemas.openxmlformats.org/officeDocument/2006/relationships/hyperlink" Id="rId33"/>
    <Relationship TargetMode="External" Target="https://www.legis.iowa.gov/docs/ico/chapter/455D.3.pdf" Type="http://schemas.openxmlformats.org/officeDocument/2006/relationships/hyperlink" Id="rId34"/>
    <Relationship TargetMode="External" Target="https://www.legis.iowa.gov/docs/ico/chapter/455J.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