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56.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SOLID WASTE MANAGEMENT</w:t>
      </w:r>
    </w:p>
    <w:p>
      <w:pPr>
        <w:spacing w:before="0" w:after="0"/>
        <w:ind w:left="120"/>
        <w:jc w:val="center"/>
      </w:pPr>
      <w:r>
        <w:rPr>
          <w:rFonts w:ascii="Times New Roman" w:hAnsi="Times New Roman"/>
          <w:b w:val="false"/>
          <w:i w:val="false"/>
          <w:color w:val="000000"/>
          <w:sz w:val="20"/>
        </w:rPr>
        <w:t>[Prior to 7/l/83, DEQ Ch 27]</w:t>
      </w:r>
    </w:p>
    <w:p>
      <w:pPr>
        <w:spacing w:before="0" w:after="0"/>
        <w:ind w:left="120"/>
        <w:jc w:val="center"/>
      </w:pPr>
      <w:r>
        <w:rPr>
          <w:rFonts w:ascii="Times New Roman" w:hAnsi="Times New Roman"/>
          <w:b w:val="false"/>
          <w:i w:val="false"/>
          <w:color w:val="000000"/>
          <w:sz w:val="20"/>
        </w:rPr>
        <w:t>[Prior to 12/3/86, Water, Air and Waste Management[900]]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ORGANIC MATERIALS COMPOSTING FACILITIES</w:t>
      </w:r>
    </w:p>
    <w:p>
      <w:pPr>
        <w:spacing w:before="0" w:after="0"/>
        <w:ind w:left="120"/>
        <w:jc w:val="both"/>
      </w:pPr>
      <w:r>
        <w:rPr>
          <w:rFonts w:ascii="Times New Roman" w:hAnsi="Times New Roman"/>
          <w:b/>
          <w:i w:val="false"/>
          <w:color w:val="000000"/>
          <w:sz w:val="22"/>
        </w:rPr>
        <w:t>567—102.1</w:t>
      </w:r>
      <w:r>
        <w:rPr>
          <w:rFonts w:ascii="Times New Roman" w:hAnsi="Times New Roman"/>
          <w:b/>
          <w:i w:val="false"/>
          <w:color w:val="000000"/>
          <w:sz w:val="22"/>
        </w:rPr>
        <w:t xml:space="preserve">(455D) </w:t>
      </w:r>
      <w:r>
        <w:rPr>
          <w:rFonts w:ascii="Times New Roman" w:hAnsi="Times New Roman"/>
          <w:b/>
          <w:i w:val="false"/>
          <w:color w:val="000000"/>
          <w:sz w:val="22"/>
        </w:rPr>
        <w:t xml:space="preserve">Applicability; compliance. </w:t>
      </w:r>
      <w:r>
        <w:rPr>
          <w:rFonts w:ascii="Times New Roman" w:hAnsi="Times New Roman"/>
          <w:b w:val="false"/>
          <w:i w:val="false"/>
          <w:color w:val="000000"/>
          <w:sz w:val="22"/>
        </w:rPr>
        <w:t xml:space="preserve">This division shall apply to the composting of organic material, including yard wastes. Composting facilities may include turned windrows, aerated static piles, aerated in-vessel systems, or other methods approved by the department. This division does not apply to manure composted under </w:t>
      </w:r>
      <w:hyperlink r:id="rId5">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or other provisions of Iowa law, dead animals and raw rendering material disposed under the authority of the department of agriculture and land stewardship (IDALS), materials managed under Iowa Code chapter </w:t>
      </w:r>
      <w:hyperlink r:id="rId6">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xml:space="preserve"> (bulk dry animal nutrient products), or to the sale or distribution of finished compost covered in Iowa Code chapter </w:t>
      </w:r>
      <w:hyperlink r:id="rId7">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val="false"/>
          <w:color w:val="000000"/>
          <w:sz w:val="22"/>
        </w:rPr>
        <w:t>Compliance with this division in no way relieves the compost facility of the responsibility of complying with all other local, state, or federal statutes, ordinances, and rules and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val="false"/>
          <w:color w:val="000000"/>
          <w:sz w:val="22"/>
        </w:rPr>
        <w:t>For purposes of this division, tonnages may be calculated by multiplying cubic yardage by bulk density.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w:t>
      </w:r>
      <w:r>
        <w:rPr>
          <w:rFonts w:ascii="Times New Roman" w:hAnsi="Times New Roman"/>
          <w:b/>
          <w:i w:val="false"/>
          <w:color w:val="000000"/>
          <w:sz w:val="22"/>
        </w:rPr>
        <w:t xml:space="preserve">(455D) </w:t>
      </w:r>
      <w:r>
        <w:rPr>
          <w:rFonts w:ascii="Times New Roman" w:hAnsi="Times New Roman"/>
          <w:b/>
          <w:i w:val="false"/>
          <w:color w:val="000000"/>
          <w:sz w:val="22"/>
        </w:rPr>
        <w:t xml:space="preserve">Definitions incorporated by reference. </w:t>
      </w:r>
      <w:r>
        <w:rPr>
          <w:rFonts w:ascii="Times New Roman" w:hAnsi="Times New Roman"/>
          <w:b w:val="false"/>
          <w:i w:val="false"/>
          <w:color w:val="000000"/>
          <w:sz w:val="22"/>
        </w:rPr>
        <w:t xml:space="preserve">The definitions in Iowa Code sections </w:t>
      </w:r>
      <w:hyperlink r:id="rId8">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455D.9</w:t>
        </w:r>
      </w:hyperlink>
      <w:r>
        <w:rPr>
          <w:rFonts w:ascii="Times New Roman" w:hAnsi="Times New Roman"/>
          <w:b w:val="false"/>
          <w:i w:val="false"/>
          <w:color w:val="000000"/>
          <w:sz w:val="22"/>
        </w:rPr>
        <w:t xml:space="preserve"> and in </w:t>
      </w:r>
      <w:hyperlink r:id="rId10">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apply to Division 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w:t>
      </w:r>
      <w:r>
        <w:rPr>
          <w:rFonts w:ascii="Times New Roman" w:hAnsi="Times New Roman"/>
          <w:b/>
          <w:i w:val="false"/>
          <w:color w:val="000000"/>
          <w:sz w:val="22"/>
        </w:rPr>
        <w:t xml:space="preserve">(455D) </w:t>
      </w:r>
      <w:r>
        <w:rPr>
          <w:rFonts w:ascii="Times New Roman" w:hAnsi="Times New Roman"/>
          <w:b/>
          <w:i w:val="false"/>
          <w:color w:val="000000"/>
          <w:sz w:val="22"/>
        </w:rPr>
        <w:t xml:space="preserve">Feedstock categories. </w:t>
      </w:r>
      <w:r>
        <w:rPr>
          <w:rFonts w:ascii="Times New Roman" w:hAnsi="Times New Roman"/>
          <w:b w:val="false"/>
          <w:i w:val="false"/>
          <w:color w:val="000000"/>
          <w:sz w:val="22"/>
        </w:rPr>
        <w:t>Compost feedstock are categorized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Type A feedstocks. </w:t>
      </w:r>
      <w:r>
        <w:rPr>
          <w:rFonts w:ascii="Times New Roman" w:hAnsi="Times New Roman"/>
          <w:b w:val="false"/>
          <w:i w:val="false"/>
          <w:color w:val="000000"/>
          <w:sz w:val="22"/>
        </w:rPr>
        <w:t>Type A feedstocks include yard waste, clean wood waste, crop residues, and other vegetative materials determined to pose a low level of risk to human health and the environment, including from physical contaminants and human pathogens.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Type B feedstocks. </w:t>
      </w:r>
      <w:r>
        <w:rPr>
          <w:rFonts w:ascii="Times New Roman" w:hAnsi="Times New Roman"/>
          <w:b w:val="false"/>
          <w:i w:val="false"/>
          <w:color w:val="000000"/>
          <w:sz w:val="22"/>
        </w:rPr>
        <w:t xml:space="preserve">Type B feedstocks include source-separated pre- and postconsumer food residuals; food processing residuals; dead animals; raw rendering material; certified compostable products; and animal excreta, manure, animal bedding and litter not regulated under </w:t>
      </w:r>
      <w:hyperlink r:id="rId11">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or other provisions of Iowa law. Type B feedstocks are materials that the department determines pose a moderate level of risk to human health and the environment or have a higher level of risk from physical contaminants and human pathogens compared to Type A feedstocks.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Type C feedstocks. </w:t>
      </w:r>
      <w:r>
        <w:rPr>
          <w:rFonts w:ascii="Times New Roman" w:hAnsi="Times New Roman"/>
          <w:b w:val="false"/>
          <w:i w:val="false"/>
          <w:color w:val="000000"/>
          <w:sz w:val="22"/>
        </w:rPr>
        <w:t>Type C feedstocks include industrial process waste, sludges, biosolids, diapers, solid or semi-solid material from composting toilets, and industrial by-products not covered in Type B feedstocks. Type C feedstocks consist of materials the department determines pose a higher level of risk to human health and the environment from physical and chemical contaminants and human pathogens compared to Type A and B feedstocks.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Materials prohibited from use as a feedstock. </w:t>
      </w:r>
      <w:r>
        <w:rPr>
          <w:rFonts w:ascii="Times New Roman" w:hAnsi="Times New Roman"/>
          <w:b w:val="false"/>
          <w:i w:val="false"/>
          <w:color w:val="000000"/>
          <w:sz w:val="22"/>
        </w:rPr>
        <w:t xml:space="preserve">Materials prohibited from use as a feedstock include asbestos-containing material, biomedical wastes, infectious waste, human remains, petroleum-containing wastes, seed treated with pesticide and industrial waste derived from seed treated with pesticides, toxic wastes as defined in </w:t>
      </w:r>
      <w:hyperlink r:id="rId12">
        <w:r>
          <w:rPr>
            <w:rStyle w:val="Hyperlink"/>
            <w:rFonts w:ascii="Times New Roman" w:hAnsi="Times New Roman"/>
            <w:b w:val="false"/>
            <w:i w:val="false"/>
            <w:color w:val="000000"/>
            <w:sz w:val="22"/>
          </w:rPr>
          <w:t>567—109.3</w:t>
        </w:r>
      </w:hyperlink>
      <w:r>
        <w:rPr>
          <w:rFonts w:ascii="Times New Roman" w:hAnsi="Times New Roman"/>
          <w:b w:val="false"/>
          <w:i w:val="false"/>
          <w:color w:val="000000"/>
          <w:sz w:val="22"/>
        </w:rPr>
        <w:t xml:space="preserve">(455B,455D), radiological wastes, hazardous wastes as defined in Iowa Code section </w:t>
      </w:r>
      <w:hyperlink r:id="rId13">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 xml:space="preserve">, materials containing metals that exceed the concentrations listed in </w:t>
      </w:r>
      <w:hyperlink r:id="rId14">
        <w:r>
          <w:rPr>
            <w:rStyle w:val="Hyperlink"/>
            <w:rFonts w:ascii="Times New Roman" w:hAnsi="Times New Roman"/>
            <w:b w:val="false"/>
            <w:i w:val="false"/>
            <w:color w:val="000000"/>
            <w:sz w:val="22"/>
          </w:rPr>
          <w:t>102.9(5)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materials that have direct process stream contact with or originate from a process that may release petroleum products, organic solvents, pesticides, or polychlorinated biphenyls (PCBs).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w:t>
      </w:r>
      <w:r>
        <w:rPr>
          <w:rFonts w:ascii="Times New Roman" w:hAnsi="Times New Roman"/>
          <w:b/>
          <w:i w:val="false"/>
          <w:color w:val="000000"/>
          <w:sz w:val="22"/>
        </w:rPr>
        <w:t xml:space="preserve">(455D)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The following activities are exempt from this division. These exemptions are not a defense to a nuisance action brought pursuant to Iowa Code chapter </w:t>
      </w:r>
      <w:hyperlink r:id="rId15">
        <w:r>
          <w:rPr>
            <w:rStyle w:val="Hyperlink"/>
            <w:rFonts w:ascii="Times New Roman" w:hAnsi="Times New Roman"/>
            <w:b w:val="false"/>
            <w:i w:val="false"/>
            <w:color w:val="000000"/>
            <w:sz w:val="22"/>
          </w:rPr>
          <w:t>657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val="false"/>
          <w:color w:val="000000"/>
          <w:sz w:val="22"/>
        </w:rPr>
        <w:t>Type A or Type B, or both, feedstocks from a single household composted on site by the owner or tenant for use at the owner’s or tenant’s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val="false"/>
          <w:color w:val="000000"/>
          <w:sz w:val="22"/>
        </w:rPr>
        <w:t>Composting of up to two tons per year of Type A feedstock or Type B feedstock, or both, excluding dead animals, singly or in combination, used on the same premises where it was composted. The feedstock may be generated off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Composting of manure that is subject to </w:t>
      </w:r>
      <w:hyperlink r:id="rId16">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and other provisions of Iowa law, unless mixed with wastes regulated pursuant to this chapter other than necessary bulking agents (such as wood chips, straw, cornstalks, bedding, and dry poultry litter).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102.4(4)</w:t>
      </w:r>
      <w:r>
        <w:rPr>
          <w:rFonts w:ascii="Times New Roman" w:hAnsi="Times New Roman"/>
          <w:b w:val="false"/>
          <w:i w:val="false"/>
          <w:color w:val="000000"/>
          <w:sz w:val="22"/>
        </w:rPr>
        <w:t> </w:t>
      </w:r>
      <w:r>
        <w:rPr>
          <w:rFonts w:ascii="Times New Roman" w:hAnsi="Times New Roman"/>
          <w:b w:val="false"/>
          <w:i w:val="false"/>
          <w:color w:val="000000"/>
          <w:sz w:val="22"/>
        </w:rPr>
        <w:t>Composting of dead animals, unless mixed with wastes regulated pursuant to this chapter other than necessary bulking agents (such as wood chips, straw, cornstalks, bedding, and dry poultry litter).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567—102.5</w:t>
      </w:r>
      <w:r>
        <w:rPr>
          <w:rFonts w:ascii="Times New Roman" w:hAnsi="Times New Roman"/>
          <w:b/>
          <w:i w:val="false"/>
          <w:color w:val="000000"/>
          <w:sz w:val="22"/>
        </w:rPr>
        <w:t xml:space="preserve">(455D) </w:t>
      </w:r>
      <w:r>
        <w:rPr>
          <w:rFonts w:ascii="Times New Roman" w:hAnsi="Times New Roman"/>
          <w:b/>
          <w:i w:val="false"/>
          <w:color w:val="000000"/>
          <w:sz w:val="22"/>
        </w:rPr>
        <w:t xml:space="preserve">General requirements for all composting activities not exempt. </w:t>
      </w:r>
      <w:r>
        <w:rPr>
          <w:rFonts w:ascii="Times New Roman" w:hAnsi="Times New Roman"/>
          <w:b w:val="false"/>
          <w:i w:val="false"/>
          <w:color w:val="000000"/>
          <w:sz w:val="22"/>
        </w:rPr>
        <w:t xml:space="preserve">Any composting facility that is not exempt under </w:t>
      </w:r>
      <w:hyperlink r:id="rId17">
        <w:r>
          <w:rPr>
            <w:rStyle w:val="Hyperlink"/>
            <w:rFonts w:ascii="Times New Roman" w:hAnsi="Times New Roman"/>
            <w:b w:val="false"/>
            <w:i w:val="false"/>
            <w:color w:val="000000"/>
            <w:sz w:val="22"/>
          </w:rPr>
          <w:t>567—102.4</w:t>
        </w:r>
      </w:hyperlink>
      <w:r>
        <w:rPr>
          <w:rFonts w:ascii="Times New Roman" w:hAnsi="Times New Roman"/>
          <w:b w:val="false"/>
          <w:i w:val="false"/>
          <w:color w:val="000000"/>
          <w:sz w:val="22"/>
        </w:rPr>
        <w:t>(455D) must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color w:val="000000"/>
          <w:sz w:val="22"/>
        </w:rPr>
        <w:t xml:space="preserve">Siting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composting facility shall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500 feet from any existing inhabited residence, not including the residence of a person owning or operating the compost facility, at the time the permit application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200 feet from public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100 feet from private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least 50 feet from property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least 100 feet from flowing or intermittent streams, lakes, or ponds.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Outside of wetlands.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Composting done within a 100-year floodplain shall be in accordance with all local and department regulations, including </w:t>
      </w:r>
      <w:hyperlink r:id="rId18">
        <w:r>
          <w:rPr>
            <w:rStyle w:val="Hyperlink"/>
            <w:rFonts w:ascii="Times New Roman" w:hAnsi="Times New Roman"/>
            <w:b w:val="false"/>
            <w:i w:val="false"/>
            <w:color w:val="000000"/>
            <w:sz w:val="22"/>
          </w:rPr>
          <w:t>567—71.5</w:t>
        </w:r>
      </w:hyperlink>
      <w:r>
        <w:rPr>
          <w:rFonts w:ascii="Times New Roman" w:hAnsi="Times New Roman"/>
          <w:b w:val="false"/>
          <w:i w:val="false"/>
          <w:color w:val="000000"/>
          <w:sz w:val="22"/>
        </w:rPr>
        <w:t>(455B). Sediment ponds, engineered wetlands, or other constructed waterways for the purpose of pollution control are excluded from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color w:val="000000"/>
          <w:sz w:val="22"/>
        </w:rPr>
        <w:t xml:space="preserve">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shall be prevented from running onto the composting facility from adjacent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Management or disposal of contact water and stormwater shall be in accordance with </w:t>
      </w:r>
      <w:hyperlink r:id="rId19">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Composting facilities shall be designed, constructed, and maintained so as to minimize ponding of water or liquids. Any ponding that does occur shall be corrected through routine facility maintenance within 48 hours after the termination of the event causing the ponding.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Composting not done in-vessel shall be done on a surface that will permit accessibility during periods of inclement weather. The receiving, processing, production, and curing shall take place on a surface of asphalt, concrete, compacted granular aggregate, clay, or similar relatively impermeable material. Composting facilities that only compost Type A feedstocks may have a surface of compacted soil. The surface must be maintained in a condition that prevents infiltration to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In-vessel composting shall be done in a container that does not leak, prevents access by vectors, and provides adequate aeration.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 the exception of in-vessel composting, the high-water table shall be at least 12 inches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color w:val="000000"/>
          <w:sz w:val="22"/>
        </w:rPr>
        <w:t xml:space="preserve">Operational requirements. </w:t>
      </w:r>
      <w:r>
        <w:rPr>
          <w:rFonts w:ascii="Times New Roman" w:hAnsi="Times New Roman"/>
          <w:b w:val="false"/>
          <w:i w:val="false"/>
          <w:color w:val="000000"/>
          <w:sz w:val="22"/>
        </w:rPr>
        <w:t>Composting facilities shall be operated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Aerobic conditions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Composting facilities shall be free of unsecured trash at the end of each operating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Non-compostable waste shall be removed or stored in a container or containment area and recycled or disposed of at a permitted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Organic materials shall be managed to minimize odors, dust, noise, litter, contact water, fire and scavenging by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Composting shall be performed in a manner that minimizes the formation of contact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of cured compost shall be limited to 18 months unless prior written approval from the department is granted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Compost shall not be applied to land, sold, or given away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Concentration of human-made inert materials such as glass, metal, and plastic is less than 1.5 percent by dry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size of any human-made inert materials is less than 13 mm (0.512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Finished compost that contains bones that have not fully decomposed may be applied to cropland.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w:t>
      </w:r>
      <w:r>
        <w:rPr>
          <w:rFonts w:ascii="Times New Roman" w:hAnsi="Times New Roman"/>
          <w:b/>
          <w:i w:val="false"/>
          <w:color w:val="000000"/>
          <w:sz w:val="22"/>
        </w:rPr>
        <w:t xml:space="preserve">(455D) </w:t>
      </w:r>
      <w:r>
        <w:rPr>
          <w:rFonts w:ascii="Times New Roman" w:hAnsi="Times New Roman"/>
          <w:b/>
          <w:i w:val="false"/>
          <w:color w:val="000000"/>
          <w:sz w:val="22"/>
        </w:rPr>
        <w:t xml:space="preserve">Tier 1 composting facility. </w:t>
      </w:r>
      <w:r>
        <w:rPr>
          <w:rFonts w:ascii="Times New Roman" w:hAnsi="Times New Roman"/>
          <w:b w:val="false"/>
          <w:i w:val="false"/>
          <w:color w:val="000000"/>
          <w:sz w:val="22"/>
        </w:rPr>
        <w:t>A Tier 1 facility is a compost facility that composts an unlimited amount of Type A, Type B, or both feedstocks generated on the premises and up to a total of 250 tons per year of Type A, Type B, or both feedstocks generated off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w:t>
      </w:r>
      <w:r>
        <w:rPr>
          <w:rFonts w:ascii="Times New Roman" w:hAnsi="Times New Roman"/>
          <w:b/>
          <w:i w:val="false"/>
          <w:color w:val="000000"/>
          <w:sz w:val="22"/>
        </w:rPr>
        <w:t xml:space="preserve">(455D) </w:t>
      </w:r>
      <w:r>
        <w:rPr>
          <w:rFonts w:ascii="Times New Roman" w:hAnsi="Times New Roman"/>
          <w:b/>
          <w:i w:val="false"/>
          <w:color w:val="000000"/>
          <w:sz w:val="22"/>
        </w:rPr>
        <w:t xml:space="preserve">Tier 2 composting facility. </w:t>
      </w:r>
      <w:r>
        <w:rPr>
          <w:rFonts w:ascii="Times New Roman" w:hAnsi="Times New Roman"/>
          <w:b w:val="false"/>
          <w:i w:val="false"/>
          <w:color w:val="000000"/>
          <w:sz w:val="22"/>
        </w:rPr>
        <w:t>A Tier 2 facility is a compost facility that composts an unlimited amount of Type A feedstock generated on premises, off premises, or both; an unlimited amount of Type B feedstocks generated on the premises; and up to 250 tons per year of Type B feedstocks generated off the premises. Tier 2 facilities are subject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val="false"/>
          <w:color w:val="000000"/>
          <w:sz w:val="22"/>
        </w:rPr>
        <w:t>Before the composting facility commences operation, the facility’s operator must notify the department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the composting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 that contains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landowner’s name, telephone number, email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telephone number, and email and mailing addresses of the facility’s operator and responsible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maximum throughput and capacity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method of composting to be employed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source of the feedstock.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Aerial photography identifying wells, streams, creeks, rivers, ponds, sinkholes, and drainage wells within one-half mile of the closest portion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val="false"/>
          <w:color w:val="000000"/>
          <w:sz w:val="22"/>
        </w:rPr>
        <w:t>The facility’s feedstock receiving, processing, and storage areas must be clearly defined.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w:t>
      </w:r>
      <w:r>
        <w:rPr>
          <w:rFonts w:ascii="Times New Roman" w:hAnsi="Times New Roman"/>
          <w:b w:val="false"/>
          <w:i w:val="false"/>
          <w:color w:val="000000"/>
          <w:sz w:val="22"/>
        </w:rPr>
        <w:t> </w:t>
      </w:r>
      <w:r>
        <w:rPr>
          <w:rFonts w:ascii="Times New Roman" w:hAnsi="Times New Roman"/>
          <w:b w:val="false"/>
          <w:i w:val="false"/>
          <w:color w:val="000000"/>
          <w:sz w:val="22"/>
        </w:rPr>
        <w:t>An annual report for the previous fiscal year beginning July 1 and ending June 30 shall be submitted to the department by July 31 of each year. The annual report shall be submitted using a form prescribed by the department.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 that the amount and type of feedstock accepted was within the criteria for a Tier 2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 of composting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Tons of finished compost sold, given away, or used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certified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September 23, 2027, the person responsible for daily operations shall be a certified compost operator as described in </w:t>
      </w:r>
      <w:hyperlink r:id="rId20">
        <w:r>
          <w:rPr>
            <w:rStyle w:val="Hyperlink"/>
            <w:rFonts w:ascii="Times New Roman" w:hAnsi="Times New Roman"/>
            <w:b w:val="false"/>
            <w:i w:val="false"/>
            <w:color w:val="000000"/>
            <w:sz w:val="22"/>
          </w:rPr>
          <w:t>567—102.11</w:t>
        </w:r>
      </w:hyperlink>
      <w:r>
        <w:rPr>
          <w:rFonts w:ascii="Times New Roman" w:hAnsi="Times New Roman"/>
          <w:b w:val="false"/>
          <w:i w:val="false"/>
          <w:color w:val="000000"/>
          <w:sz w:val="22"/>
        </w:rPr>
        <w:t>(455D).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567—102.8</w:t>
      </w:r>
      <w:r>
        <w:rPr>
          <w:rFonts w:ascii="Times New Roman" w:hAnsi="Times New Roman"/>
          <w:b/>
          <w:i w:val="false"/>
          <w:color w:val="000000"/>
          <w:sz w:val="22"/>
        </w:rPr>
        <w:t xml:space="preserve">(455D) </w:t>
      </w:r>
      <w:r>
        <w:rPr>
          <w:rFonts w:ascii="Times New Roman" w:hAnsi="Times New Roman"/>
          <w:b/>
          <w:i w:val="false"/>
          <w:color w:val="000000"/>
          <w:sz w:val="22"/>
        </w:rPr>
        <w:t xml:space="preserve">Tier 3 composting facilities. </w:t>
      </w:r>
      <w:r>
        <w:rPr>
          <w:rFonts w:ascii="Times New Roman" w:hAnsi="Times New Roman"/>
          <w:b w:val="false"/>
          <w:i w:val="false"/>
          <w:color w:val="000000"/>
          <w:sz w:val="22"/>
        </w:rPr>
        <w:t>A Tier 3 composting facility is a compost facility that composts an unlimited amount of Type A feedstock generated on or off the premises, an unlimited amount of type B feedstock generated on the premises, and up to 1,000 tons per year type B feedstock generated off premises. Tier 3 facilities shall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Before the composting facility commences operation, the department shall be notified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the composting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Landowner’s name, telephone number, email,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Responsible party’s name, telephone number, email,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Maximum throughput and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 of composting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Source of the feedstock.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Aerial photograph identifying wells, streams, creeks, rivers, ponds, sinkholes, and drainage wells within one-half mile of the closest portion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color w:val="000000"/>
          <w:sz w:val="22"/>
        </w:rPr>
        <w:t xml:space="preserve">Operational requirements. </w:t>
      </w:r>
      <w:r>
        <w:rPr>
          <w:rFonts w:ascii="Times New Roman" w:hAnsi="Times New Roman"/>
          <w:b w:val="false"/>
          <w:i w:val="false"/>
          <w:color w:val="000000"/>
          <w:sz w:val="22"/>
        </w:rPr>
        <w:t xml:space="preserve">In addition to the operational requirements in </w:t>
      </w:r>
      <w:hyperlink r:id="rId21">
        <w:r>
          <w:rPr>
            <w:rStyle w:val="Hyperlink"/>
            <w:rFonts w:ascii="Times New Roman" w:hAnsi="Times New Roman"/>
            <w:b w:val="false"/>
            <w:i w:val="false"/>
            <w:color w:val="000000"/>
            <w:sz w:val="22"/>
          </w:rPr>
          <w:t>102.5(4)</w:t>
        </w:r>
      </w:hyperlink>
      <w:r>
        <w:rPr>
          <w:rFonts w:ascii="Times New Roman" w:hAnsi="Times New Roman"/>
          <w:b w:val="false"/>
          <w:i w:val="false"/>
          <w:color w:val="000000"/>
          <w:sz w:val="22"/>
        </w:rPr>
        <w:t>, Tier 3 composting facilities shall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Tier 3 composting facilities must develop and follow an operations plan that describes operational procedures. This includes the method of composting; measures to control nuisance odors, vectors, fires, contact water, and stormwater; and plans for using or marketing finished compost. The operations plan must be reviewed annually and updated when there is a change to procedures, equipment, or feedstocks being processed. The operations plan shall be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responsible for daily operation of the facility shall be certified by a department-approved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Feedstocks with free liquid shall be mixed with drier feedstocks, bulking material, or compost so that the liquid is promptly absorbed and not allowed to flow as free liquid from the compost piles or windrows. Free liquid that is not absorbed shall be managed as contact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water shall be directed to a containment, recycling, treatment system, or any combination of the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the end of each operating day, all incoming Type B feedstocks must be processed into the active composting pile, transferred to leak-proof containment, or mixed with bulking material and covered in a manner that minimizes nuisance odors and scavenging by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September 23, 2027, the person responsible for daily operations shall be a certified compost operator as described in </w:t>
      </w:r>
      <w:hyperlink r:id="rId22">
        <w:r>
          <w:rPr>
            <w:rStyle w:val="Hyperlink"/>
            <w:rFonts w:ascii="Times New Roman" w:hAnsi="Times New Roman"/>
            <w:b w:val="false"/>
            <w:i w:val="false"/>
            <w:color w:val="000000"/>
            <w:sz w:val="22"/>
          </w:rPr>
          <w:t>567—102.11</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annual report for the previous fiscal year beginning July 1 and ending June 30 shall be submitted to the department by July 31 of each year. The report shall be submitted using a form prescribed by the department.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Confirmation that the amount and type of feedstock accepted was within the criteria for a Tier 3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 of composting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Tons of finished compost sold, given away or used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certified operator.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567—102.9</w:t>
      </w:r>
      <w:r>
        <w:rPr>
          <w:rFonts w:ascii="Times New Roman" w:hAnsi="Times New Roman"/>
          <w:b/>
          <w:i w:val="false"/>
          <w:color w:val="000000"/>
          <w:sz w:val="22"/>
        </w:rPr>
        <w:t xml:space="preserve">(455D) </w:t>
      </w:r>
      <w:r>
        <w:rPr>
          <w:rFonts w:ascii="Times New Roman" w:hAnsi="Times New Roman"/>
          <w:b/>
          <w:i w:val="false"/>
          <w:color w:val="000000"/>
          <w:sz w:val="22"/>
        </w:rPr>
        <w:t xml:space="preserve">Tier 4 composting facility. </w:t>
      </w:r>
      <w:r>
        <w:rPr>
          <w:rFonts w:ascii="Times New Roman" w:hAnsi="Times New Roman"/>
          <w:b w:val="false"/>
          <w:i w:val="false"/>
          <w:color w:val="000000"/>
          <w:sz w:val="22"/>
        </w:rPr>
        <w:t>A Tier 4 composting facility is a compost facility that composts any amount of Type A, B, and C feedstock. Tier 4 facilities shall comply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Tier 4 composting facilities shall not be operated without a permit from the department as described in </w:t>
      </w:r>
      <w:hyperlink r:id="rId23">
        <w:r>
          <w:rPr>
            <w:rStyle w:val="Hyperlink"/>
            <w:rFonts w:ascii="Times New Roman" w:hAnsi="Times New Roman"/>
            <w:b w:val="false"/>
            <w:i w:val="false"/>
            <w:color w:val="000000"/>
            <w:sz w:val="22"/>
          </w:rPr>
          <w:t>567—subrule 100.4(2)</w:t>
        </w:r>
      </w:hyperlink>
      <w:r>
        <w:rPr>
          <w:rFonts w:ascii="Times New Roman" w:hAnsi="Times New Roman"/>
          <w:b w:val="false"/>
          <w:i w:val="false"/>
          <w:color w:val="000000"/>
          <w:sz w:val="22"/>
        </w:rPr>
        <w:t xml:space="preserve">. A permit application shall be on a form prescribed by the department and include the following in addition to the requirements in </w:t>
      </w:r>
      <w:hyperlink r:id="rId24">
        <w:r>
          <w:rPr>
            <w:rStyle w:val="Hyperlink"/>
            <w:rFonts w:ascii="Times New Roman" w:hAnsi="Times New Roman"/>
            <w:b w:val="false"/>
            <w:i w:val="false"/>
            <w:color w:val="000000"/>
            <w:sz w:val="22"/>
          </w:rPr>
          <w:t>567—subrule 100.5(1)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Aerial photography identifying wells, streams, creeks, rivers, ponds, sinkholes, and drainage wells within one-half mile of the closest portion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 documents prepared by an Iowa-licensed professional engineer that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Dimensions, details, and capacities of the proposed receiving, processing, production, curing, and storage areas, as well as the contact water containment, recycling, or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 calculations justifying the size of the composting area for the volume of material to be composted.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 plans showing compliance with design requirements in </w:t>
      </w:r>
      <w:hyperlink r:id="rId25">
        <w:r>
          <w:rPr>
            <w:rStyle w:val="Hyperlink"/>
            <w:rFonts w:ascii="Times New Roman" w:hAnsi="Times New Roman"/>
            <w:b w:val="false"/>
            <w:i w:val="false"/>
            <w:color w:val="000000"/>
            <w:sz w:val="22"/>
          </w:rPr>
          <w:t>102.9(3)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stormwater management plan that prevents run-on to the operating base, as well as controls outside of the operating base for a 25-year 24-hour storm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flow diagram of all steps in the operational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operations plan addressing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method of composting, including description of the aeration method and the aeration frequency to be used to maintain aerobic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duration of composting with a time frame for receiving, processing, production, curing,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storage of feedstock, including quantity and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methods to minimize and manage odors, dust, vectors, noise, and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specific procedures to be followed in case of equipment breakdown, maintenance downtime, and fire in equipment, composting material, or buildings, including methods to be used to remove or dispose of accumulated waste and burned or damaged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Plans for using or marketing the finished compost.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method(s) of managing collected contact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method(s) of maintaining contact water management systems to maintain design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description of the monitoring, sampling, and analysis procedures and schedule for testing the composting, including sampling frequency, sample size and number, and sample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closure plan containing a description of the steps necessary to close the facility in compliance with </w:t>
      </w:r>
      <w:hyperlink r:id="rId26">
        <w:r>
          <w:rPr>
            <w:rStyle w:val="Hyperlink"/>
            <w:rFonts w:ascii="Times New Roman" w:hAnsi="Times New Roman"/>
            <w:b w:val="false"/>
            <w:i w:val="false"/>
            <w:color w:val="000000"/>
            <w:sz w:val="22"/>
          </w:rPr>
          <w:t>567—100.10</w:t>
        </w:r>
      </w:hyperlink>
      <w:r>
        <w:rPr>
          <w:rFonts w:ascii="Times New Roman" w:hAnsi="Times New Roman"/>
          <w:b w:val="false"/>
          <w:i w:val="false"/>
          <w:color w:val="000000"/>
          <w:sz w:val="22"/>
        </w:rPr>
        <w:t>(455B, 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person responsible for daily operation of the facility is certified by a department-approved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color w:val="000000"/>
          <w:sz w:val="22"/>
        </w:rPr>
        <w:t xml:space="preserve">Design requirements. </w:t>
      </w:r>
      <w:r>
        <w:rPr>
          <w:rFonts w:ascii="Times New Roman" w:hAnsi="Times New Roman"/>
          <w:b w:val="false"/>
          <w:i w:val="false"/>
          <w:color w:val="000000"/>
          <w:sz w:val="22"/>
        </w:rPr>
        <w:t xml:space="preserve">In addition to the requirements of </w:t>
      </w:r>
      <w:hyperlink r:id="rId27">
        <w:r>
          <w:rPr>
            <w:rStyle w:val="Hyperlink"/>
            <w:rFonts w:ascii="Times New Roman" w:hAnsi="Times New Roman"/>
            <w:b w:val="false"/>
            <w:i w:val="false"/>
            <w:color w:val="000000"/>
            <w:sz w:val="22"/>
          </w:rPr>
          <w:t>102.5(2)</w:t>
        </w:r>
      </w:hyperlink>
      <w:r>
        <w:rPr>
          <w:rFonts w:ascii="Times New Roman" w:hAnsi="Times New Roman"/>
          <w:b w:val="false"/>
          <w:i w:val="false"/>
          <w:color w:val="000000"/>
          <w:sz w:val="22"/>
        </w:rPr>
        <w:t>, Tier 4 composting facilities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operations shall take place on a foundation that will permit accessibility during periods of inclement weather. The foundation shall be maintained and repaired,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base/foundation used for receiving, processing, and production of feedstock must meet the following minimum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must support the load of the equipment, vehicles, materials, and all operations for the duration of the permit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base must have sufficient slope to prevent surface ponding and to transmit contact water to a containment structure to prevent liquids from entering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base must be protected with a wearing surface consisting of asphalt, concrete, compacted granular aggregate, or similar relatively impermeable material and underlain by a liner consisting of a minimum of 12 inches of recompacted clay or other approved material with a hydraulic conductivity of 1 × 10</w:t>
      </w:r>
      <w:r>
        <w:rPr>
          <w:rFonts w:ascii="Times New Roman" w:hAnsi="Times New Roman"/>
          <w:b w:val="false"/>
          <w:i w:val="false"/>
          <w:color w:val="000000"/>
          <w:sz w:val="11"/>
          <w:vertAlign w:val="superscript"/>
        </w:rPr>
        <w:t>-5</w:t>
      </w:r>
      <w:r>
        <w:rPr>
          <w:rFonts w:ascii="Times New Roman" w:hAnsi="Times New Roman"/>
          <w:b w:val="false"/>
          <w:i w:val="false"/>
          <w:color w:val="000000"/>
          <w:sz w:val="22"/>
        </w:rPr>
        <w:t xml:space="preserve"> cm/sec or less. The bottom of the liner shall be at least 12 inches above the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containment structure for contact water shall include a liner system consisting of a minimum of 12 inches of recompacted clay or other approved material with a hydraulic conductivity of 1 × 10</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or less. The bottom of the liner shall be at least five feet above the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design of the facility shall include specifications for documentation of quality control and assurance that the construction meets the minimum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Composting facilities permitted by the department prior to September 23, 2026, shall submit a compliance plan on or before September 23, 2027, that includes a schedule to verify compliance or obtain compliance with this subrule no later than September 23, 2031.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alternatives to these design requirements that provides the same level of environmental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r>
        <w:rPr>
          <w:rFonts w:ascii="Times New Roman" w:hAnsi="Times New Roman"/>
          <w:b w:val="false"/>
          <w:i w:val="false"/>
          <w:color w:val="000000"/>
          <w:sz w:val="22"/>
        </w:rPr>
        <w:t xml:space="preserve">In addition, the requirements of </w:t>
      </w:r>
      <w:hyperlink r:id="rId28">
        <w:r>
          <w:rPr>
            <w:rStyle w:val="Hyperlink"/>
            <w:rFonts w:ascii="Times New Roman" w:hAnsi="Times New Roman"/>
            <w:b w:val="false"/>
            <w:i w:val="false"/>
            <w:color w:val="000000"/>
            <w:sz w:val="22"/>
          </w:rPr>
          <w:t>567—102.4</w:t>
        </w:r>
      </w:hyperlink>
      <w:r>
        <w:rPr>
          <w:rFonts w:ascii="Times New Roman" w:hAnsi="Times New Roman"/>
          <w:b w:val="false"/>
          <w:i w:val="false"/>
          <w:color w:val="000000"/>
          <w:sz w:val="22"/>
        </w:rPr>
        <w:t>(455D), Tier 4 composting facilities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facility shall be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Access to the facility shall be restricted with a lockable gate at the entrance to the facility and perimeter access controlled by a fence or natural barrier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to the facility shall be allowed only when an employee, agent, or representative of the facility is on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Emergency access to the facility shall be provided. Fire lanes shall be maintained to provide access for firefighting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putrescible materials received must be incorporated into the composting process within 24 hours of receipt, unless storage of these materials is specified in the operations plan and authorized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Compost processing time and temperatures shall meet Process to Further Reduce Pathogens (PFRP) requirements in B.1 of </w:t>
      </w:r>
      <w:r>
        <w:rPr>
          <w:rFonts w:ascii="Times New Roman" w:hAnsi="Times New Roman"/>
          <w:b w:val="false"/>
          <w:i w:val="false"/>
          <w:color w:val="000000"/>
          <w:sz w:val="22"/>
        </w:rPr>
        <w:t>40 CFR Part 503</w:t>
      </w:r>
      <w:r>
        <w:rPr>
          <w:rFonts w:ascii="Times New Roman" w:hAnsi="Times New Roman"/>
          <w:b w:val="false"/>
          <w:i w:val="false"/>
          <w:color w:val="000000"/>
          <w:sz w:val="22"/>
        </w:rPr>
        <w:t>, Appendix B, and produce compost that meets the stability necessary for the intended use. Unless otherwise proposed in the operating plan and authorized in the permit, the permit holder shall test,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Twice weekly temperature readings of compost piles, batches, and windrows.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Weekly moisture levels of compost piles, batches, and windrows.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water shall be directed to a containment, recycling, or treatment system that prevents prohibited discharges to the stormwater system or a surface water. A containment system shall have a minimum of one foot of freeboard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responsible for daily operations shall be a certified compost operator as described in </w:t>
      </w:r>
      <w:hyperlink r:id="rId29">
        <w:r>
          <w:rPr>
            <w:rStyle w:val="Hyperlink"/>
            <w:rFonts w:ascii="Times New Roman" w:hAnsi="Times New Roman"/>
            <w:b w:val="false"/>
            <w:i w:val="false"/>
            <w:color w:val="000000"/>
            <w:sz w:val="22"/>
          </w:rPr>
          <w:t>567—102.11</w:t>
        </w:r>
      </w:hyperlink>
      <w:r>
        <w:rPr>
          <w:rFonts w:ascii="Times New Roman" w:hAnsi="Times New Roman"/>
          <w:b w:val="false"/>
          <w:i w:val="false"/>
          <w:color w:val="000000"/>
          <w:sz w:val="22"/>
        </w:rPr>
        <w:t>(455D). The department may require as a condition in the permit that a facility retain a certified compost operator during all regular operational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facility shall be conducted and documented on a quarterly basis at a minimum. If deficiencies are discovered during the visual inspection, actions taken to correct the deficiency shall be documented. The inspection shall at a minimum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condition of the pad. Portions of the pad that are under windrows or piles of curing or finished compost are not required to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that ponding is not occurring on the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that contact water is being directed to a containment, recycling, or treatment system and not discharging to the stormwater system or to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remaining capacity, amount of freeboard, and general condition of the contact water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condition of containers and aeration equipment used for in-vessel composting if applicable.</w:t>
      </w:r>
    </w:p>
    <w:p>
      <w:pPr>
        <w:spacing w:before="0" w:after="0"/>
        <w:ind w:left="120"/>
        <w:jc w:val="both"/>
      </w:pPr>
      <w:r>
        <w:rPr>
          <w:rFonts w:ascii="Times New Roman" w:hAnsi="Times New Roman"/>
          <w:b/>
          <w:i w:val="false"/>
          <w:color w:val="000000"/>
          <w:sz w:val="22"/>
        </w:rPr>
        <w:t>102.9(4)</w:t>
      </w:r>
      <w:r>
        <w:rPr>
          <w:rFonts w:ascii="Times New Roman" w:hAnsi="Times New Roman"/>
          <w:b w:val="false"/>
          <w:i w:val="false"/>
          <w:color w:val="000000"/>
          <w:sz w:val="22"/>
        </w:rPr>
        <w:t> </w:t>
      </w:r>
      <w:r>
        <w:rPr>
          <w:rFonts w:ascii="Times New Roman" w:hAnsi="Times New Roman"/>
          <w:b w:val="false"/>
          <w:i/>
          <w:color w:val="000000"/>
          <w:sz w:val="22"/>
        </w:rPr>
        <w:t xml:space="preserve">Product testing. </w:t>
      </w:r>
      <w:r>
        <w:rPr>
          <w:rFonts w:ascii="Times New Roman" w:hAnsi="Times New Roman"/>
          <w:b w:val="false"/>
          <w:i w:val="false"/>
          <w:color w:val="000000"/>
          <w:sz w:val="22"/>
        </w:rPr>
        <w:t>Prior to the use or sale, finished compost must be sampled and measurements taken for the purpose of product testing in a manner that is representative of the composting activity and consistent with Test Methods for Examination of Composting and Compost (TMECC) (2026) or other applicable standards approved by the department in the permit. Contaminants within finished compost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 density of fecal coliform bacteria shall be less than 1,000 most probable number (MPN) per gram of total solids (dry weight basis) or the density of Salmonella sp. bacteria in compost shall be less than three MPN per four grams of total solids (dry weight basis).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concentrations of all metals shall be less than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08"/>
        <w:gridCol w:w="5244"/>
      </w:tblGrid>
      <w:tr>
        <w:trPr>
          <w:trHeight w:val="195"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Metal</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Concentration mg/kg dry weight</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Arsenic (As)</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41</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Cadmium (Cd)</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Copper (Cu)</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Lead (Pb)</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Mercury (Hg)</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Nickel (Ni)</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420</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Selenium (Se)</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95"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Zinc (Zn)</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Compost shall be tested for stability using one of the methods listed in TMECC 5.08 (2026), Respirometry, or another method approved by the department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The following records shall be maintained by the facility for a period of three years, kept at the facility at all times, and submitted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Analytical results described in </w:t>
      </w:r>
      <w:hyperlink r:id="rId30">
        <w:r>
          <w:rPr>
            <w:rStyle w:val="Hyperlink"/>
            <w:rFonts w:ascii="Times New Roman" w:hAnsi="Times New Roman"/>
            <w:b w:val="false"/>
            <w:i w:val="false"/>
            <w:color w:val="000000"/>
            <w:sz w:val="22"/>
          </w:rPr>
          <w:t>102.9(5)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Types and weight of compostable materials and bulking agent, in tons, accepted at the facility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Weight of compost, in tons, removed from the facility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operations plan, the permit and annual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the volumes and dates of treatment, recycling, or disposal of unused contact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visual inspections conducted pursuant to </w:t>
      </w:r>
      <w:hyperlink r:id="rId31">
        <w:r>
          <w:rPr>
            <w:rStyle w:val="Hyperlink"/>
            <w:rFonts w:ascii="Times New Roman" w:hAnsi="Times New Roman"/>
            <w:b w:val="false"/>
            <w:i w:val="false"/>
            <w:color w:val="000000"/>
            <w:sz w:val="22"/>
          </w:rPr>
          <w:t>102.9(4)</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102.9(6)</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An annual report for the previous fiscal year beginning July 1 and ending June 30 shall be submitted to the department by July 31 of each year. The report shall be submitted using a form prescribed by the department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Tons of type A feedstock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Tons of type B feedstock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Tons of type C feedstock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Tons of finished compost sold, given away or used by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Method of composting.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of certified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the most recent results of the testing required in </w:t>
      </w:r>
      <w:hyperlink r:id="rId32">
        <w:r>
          <w:rPr>
            <w:rStyle w:val="Hyperlink"/>
            <w:rFonts w:ascii="Times New Roman" w:hAnsi="Times New Roman"/>
            <w:b w:val="false"/>
            <w:i w:val="false"/>
            <w:color w:val="000000"/>
            <w:sz w:val="22"/>
          </w:rPr>
          <w:t>102.9(4)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102.9(7)</w:t>
      </w:r>
      <w:r>
        <w:rPr>
          <w:rFonts w:ascii="Times New Roman" w:hAnsi="Times New Roman"/>
          <w:b w:val="false"/>
          <w:i w:val="false"/>
          <w:color w:val="000000"/>
          <w:sz w:val="22"/>
        </w:rPr>
        <w:t> </w:t>
      </w:r>
      <w:r>
        <w:rPr>
          <w:rFonts w:ascii="Times New Roman" w:hAnsi="Times New Roman"/>
          <w:b w:val="false"/>
          <w:i/>
          <w:color w:val="000000"/>
          <w:sz w:val="22"/>
        </w:rPr>
        <w:t xml:space="preserve">Closure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to implement the closure plan in </w:t>
      </w:r>
      <w:hyperlink r:id="rId33">
        <w:r>
          <w:rPr>
            <w:rStyle w:val="Hyperlink"/>
            <w:rFonts w:ascii="Times New Roman" w:hAnsi="Times New Roman"/>
            <w:b w:val="false"/>
            <w:i w:val="false"/>
            <w:color w:val="000000"/>
            <w:sz w:val="22"/>
          </w:rPr>
          <w:t>102.9(2)</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be submitted to the department at least 30 days prior to the proposed termination date for the facility. If needed, a request to modify the closure plan may be submitted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an alternative schedule is approved by the department, within six months of the facility’s ceasing operation, the facility shall properly dispose of all organic material, solid waste, and litter and remove all finished compost from the premises.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567—102.10</w:t>
      </w:r>
      <w:r>
        <w:rPr>
          <w:rFonts w:ascii="Times New Roman" w:hAnsi="Times New Roman"/>
          <w:b/>
          <w:i w:val="false"/>
          <w:color w:val="000000"/>
          <w:sz w:val="22"/>
        </w:rPr>
        <w:t xml:space="preserve">(455D) </w:t>
      </w:r>
      <w:r>
        <w:rPr>
          <w:rFonts w:ascii="Times New Roman" w:hAnsi="Times New Roman"/>
          <w:b/>
          <w:i w:val="false"/>
          <w:color w:val="000000"/>
          <w:sz w:val="22"/>
        </w:rPr>
        <w:t xml:space="preserve">Financial assurance. </w:t>
      </w:r>
      <w:r>
        <w:rPr>
          <w:rFonts w:ascii="Times New Roman" w:hAnsi="Times New Roman"/>
          <w:b w:val="false"/>
          <w:i w:val="false"/>
          <w:color w:val="000000"/>
          <w:sz w:val="22"/>
        </w:rPr>
        <w:t xml:space="preserve">Tier 4 composting facilities must obtain and submit a financial assurance instrument to the department. The financial assurance instrument shall provide monetary funds to properly dispose of any preprocessed and postprocessed materials that remain at a facility due to the owner’s or operator’s failure to properly close the site according to the schedule approved be the department in </w:t>
      </w:r>
      <w:hyperlink r:id="rId34">
        <w:r>
          <w:rPr>
            <w:rStyle w:val="Hyperlink"/>
            <w:rFonts w:ascii="Times New Roman" w:hAnsi="Times New Roman"/>
            <w:b w:val="false"/>
            <w:i w:val="false"/>
            <w:color w:val="000000"/>
            <w:sz w:val="22"/>
          </w:rPr>
          <w:t>102.9(9)</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within six months of permit suspension, termination, revocation, or expiration if no alternative schedule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until a financial assurance instrument has been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to the department at the time of application for a permit for a new composting facility. The owner or operator must provide continuous coverage for closure and submit proof of compliance, including an updated closure cost estimate, with each permit renewal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w:t>
      </w:r>
      <w:r>
        <w:rPr>
          <w:rFonts w:ascii="Times New Roman" w:hAnsi="Times New Roman"/>
          <w:b w:val="false"/>
          <w:i w:val="false"/>
          <w:color w:val="000000"/>
          <w:sz w:val="22"/>
        </w:rPr>
        <w:t> </w:t>
      </w:r>
      <w:r>
        <w:rPr>
          <w:rFonts w:ascii="Times New Roman" w:hAnsi="Times New Roman"/>
          <w:b w:val="false"/>
          <w:i/>
          <w:color w:val="000000"/>
          <w:sz w:val="22"/>
        </w:rPr>
        <w:t xml:space="preserve">Use of one financial assurance instrument for multiple permitted activities. </w:t>
      </w:r>
      <w:r>
        <w:rPr>
          <w:rFonts w:ascii="Times New Roman" w:hAnsi="Times New Roman"/>
          <w:b w:val="false"/>
          <w:i w:val="false"/>
          <w:color w:val="000000"/>
          <w:sz w:val="22"/>
        </w:rPr>
        <w:t xml:space="preserve">Composting facilities required to maintain financial assurance pursuant to any other provisions of </w:t>
      </w:r>
      <w:hyperlink r:id="rId35">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36">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 xml:space="preserve"> may satisfy the requirements of this rule by the use of one financial assurance instrument listed in </w:t>
      </w:r>
      <w:hyperlink r:id="rId37">
        <w:r>
          <w:rPr>
            <w:rStyle w:val="Hyperlink"/>
            <w:rFonts w:ascii="Times New Roman" w:hAnsi="Times New Roman"/>
            <w:b w:val="false"/>
            <w:i w:val="false"/>
            <w:color w:val="000000"/>
            <w:sz w:val="22"/>
          </w:rPr>
          <w:t>102.10(5)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The estimate submitted to the department must be certified by an Iowa-licensed professional engineer and must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costs, which include the cost to load the material, and total tip fees to properly dispose of the maximum tonnage of received materials that could be managed and stockpiled by the compost facility. Also included shall be the costs of properly removing any wastewater held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maintaining financial assurance pursuant to any other provisions of </w:t>
      </w:r>
      <w:hyperlink r:id="rId38">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3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if any, in accordance with </w:t>
      </w:r>
      <w:hyperlink r:id="rId40">
        <w:r>
          <w:rPr>
            <w:rStyle w:val="Hyperlink"/>
            <w:rFonts w:ascii="Times New Roman" w:hAnsi="Times New Roman"/>
            <w:b w:val="false"/>
            <w:i w:val="false"/>
            <w:color w:val="000000"/>
            <w:sz w:val="22"/>
          </w:rPr>
          <w:t>102.10(3)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w:t>
      </w:r>
      <w:hyperlink r:id="rId41">
        <w:r>
          <w:rPr>
            <w:rStyle w:val="Hyperlink"/>
            <w:rFonts w:ascii="Times New Roman" w:hAnsi="Times New Roman"/>
            <w:b w:val="false"/>
            <w:i w:val="false"/>
            <w:color w:val="000000"/>
            <w:sz w:val="22"/>
          </w:rPr>
          <w:t>102.10(4)</w:t>
        </w:r>
      </w:hyperlink>
      <w:r>
        <w:rPr>
          <w:rFonts w:ascii="Times New Roman" w:hAnsi="Times New Roman"/>
          <w:b w:val="false"/>
          <w:i w:val="false"/>
          <w:color w:val="000000"/>
          <w:sz w:val="22"/>
        </w:rPr>
        <w:t xml:space="preserve"> and shall not be canceled, revoked, disbursed, released, or allowed to terminate without the approval of the department. The language of the financial assurance instrument shall meet the criteria in </w:t>
      </w:r>
      <w:hyperlink r:id="rId42">
        <w:r>
          <w:rPr>
            <w:rStyle w:val="Hyperlink"/>
            <w:rFonts w:ascii="Times New Roman" w:hAnsi="Times New Roman"/>
            <w:b w:val="false"/>
            <w:i w:val="false"/>
            <w:color w:val="000000"/>
            <w:sz w:val="22"/>
          </w:rPr>
          <w:t>567—subrule 101.708(3)</w:t>
        </w:r>
      </w:hyperlink>
      <w:r>
        <w:rPr>
          <w:rFonts w:ascii="Times New Roman" w:hAnsi="Times New Roman"/>
          <w:b w:val="false"/>
          <w:i w:val="false"/>
          <w:color w:val="000000"/>
          <w:sz w:val="22"/>
        </w:rPr>
        <w:t>. Financial assurance shall be provided by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 pursuant to </w:t>
      </w:r>
      <w:hyperlink r:id="rId43">
        <w:r>
          <w:rPr>
            <w:rStyle w:val="Hyperlink"/>
            <w:rFonts w:ascii="Times New Roman" w:hAnsi="Times New Roman"/>
            <w:b w:val="false"/>
            <w:i w:val="false"/>
            <w:color w:val="000000"/>
            <w:sz w:val="22"/>
          </w:rPr>
          <w:t>567—subrule 101.707(1)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Surety bond, pursuant to </w:t>
      </w:r>
      <w:hyperlink r:id="rId44">
        <w:r>
          <w:rPr>
            <w:rStyle w:val="Hyperlink"/>
            <w:rFonts w:ascii="Times New Roman" w:hAnsi="Times New Roman"/>
            <w:b w:val="false"/>
            <w:i w:val="false"/>
            <w:color w:val="000000"/>
            <w:sz w:val="22"/>
          </w:rPr>
          <w:t>567—subrule 101.707(2)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Letter of credit, pursuant to </w:t>
      </w:r>
      <w:hyperlink r:id="rId45">
        <w:r>
          <w:rPr>
            <w:rStyle w:val="Hyperlink"/>
            <w:rFonts w:ascii="Times New Roman" w:hAnsi="Times New Roman"/>
            <w:b w:val="false"/>
            <w:i w:val="false"/>
            <w:color w:val="000000"/>
            <w:sz w:val="22"/>
          </w:rPr>
          <w:t>567—subrule 101.707(3)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Corporate guarantee pursuant to </w:t>
      </w:r>
      <w:hyperlink r:id="rId46">
        <w:r>
          <w:rPr>
            <w:rStyle w:val="Hyperlink"/>
            <w:rFonts w:ascii="Times New Roman" w:hAnsi="Times New Roman"/>
            <w:b w:val="false"/>
            <w:i w:val="false"/>
            <w:color w:val="000000"/>
            <w:sz w:val="22"/>
          </w:rPr>
          <w:t>567—subrule 101.707(7)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guarantee pursuant to </w:t>
      </w:r>
      <w:hyperlink r:id="rId47">
        <w:r>
          <w:rPr>
            <w:rStyle w:val="Hyperlink"/>
            <w:rFonts w:ascii="Times New Roman" w:hAnsi="Times New Roman"/>
            <w:b w:val="false"/>
            <w:i w:val="false"/>
            <w:color w:val="000000"/>
            <w:sz w:val="22"/>
          </w:rPr>
          <w:t>567—subrule 101.707(8)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dedicated fund pursuant to </w:t>
      </w:r>
      <w:hyperlink r:id="rId48">
        <w:r>
          <w:rPr>
            <w:rStyle w:val="Hyperlink"/>
            <w:rFonts w:ascii="Times New Roman" w:hAnsi="Times New Roman"/>
            <w:b w:val="false"/>
            <w:i w:val="false"/>
            <w:color w:val="000000"/>
            <w:sz w:val="22"/>
          </w:rPr>
          <w:t>567—subrule 101.707(9)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567—102.11</w:t>
      </w:r>
      <w:r>
        <w:rPr>
          <w:rFonts w:ascii="Times New Roman" w:hAnsi="Times New Roman"/>
          <w:b/>
          <w:i w:val="false"/>
          <w:color w:val="000000"/>
          <w:sz w:val="22"/>
        </w:rPr>
        <w:t xml:space="preserve">(455D) </w:t>
      </w:r>
      <w:r>
        <w:rPr>
          <w:rFonts w:ascii="Times New Roman" w:hAnsi="Times New Roman"/>
          <w:b/>
          <w:i w:val="false"/>
          <w:color w:val="000000"/>
          <w:sz w:val="22"/>
        </w:rPr>
        <w:t xml:space="preserve">Compost operator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To become a certified compost facility operator, an individual shall complete a compost operator training course that has been approved by the department, then apply for certification by the department. An operator certified by another state may have reciprocity subject to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r>
        <w:rPr>
          <w:rFonts w:ascii="Times New Roman" w:hAnsi="Times New Roman"/>
          <w:b w:val="false"/>
          <w:i w:val="false"/>
          <w:color w:val="000000"/>
          <w:sz w:val="22"/>
        </w:rPr>
        <w:t>To be approved by the department, an operator training course for a certified compost facility operator must have at least 24 contact hours and must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Basic principles of composting and decomposition.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Composting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Site design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Characteristics of various types of feedstocks and recipe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Construction of windrows or 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Monitoring and troubleshooting.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Uses and markets for compost.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102.11(3)</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Applications for certification shall be made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102.11(4)</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certification. </w:t>
      </w:r>
      <w:r>
        <w:rPr>
          <w:rFonts w:ascii="Times New Roman" w:hAnsi="Times New Roman"/>
          <w:b w:val="false"/>
          <w:i w:val="false"/>
          <w:color w:val="000000"/>
          <w:sz w:val="22"/>
        </w:rPr>
        <w:t>The department shall issue all compost operator certifications on a three-year cycle. This rule shall take effect relative solely to certifications on July 1, 2026, and a new cycle shall start at that time. The department may issue a certification at any time during a three-year cycle. Certificates are valid through the expiration date listed on the certification, which shall be the end of the most current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renewal is due prior to expiration of certification. If a certificate holder fails to apply for renewal within 30 days following expiration of the certificate, the applicant must then apply for a new certification in accordance with </w:t>
      </w:r>
      <w:hyperlink r:id="rId49">
        <w:r>
          <w:rPr>
            <w:rStyle w:val="Hyperlink"/>
            <w:rFonts w:ascii="Times New Roman" w:hAnsi="Times New Roman"/>
            <w:b w:val="false"/>
            <w:i w:val="false"/>
            <w:color w:val="000000"/>
            <w:sz w:val="22"/>
          </w:rPr>
          <w:t>102.11(1)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renew a certification, a certified operator must earn eight contact hours during each three-year period, except that a first-time certified operator is not required to earn contact hours prior to the first renewal of the certification. The certificates of operators not fulfilling the continuing education requirements will be void 30 days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contact hours will be granted must be related to compost and pre-approved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submitting an application for renewal that includes documentation of the contact hours completed during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individual cases involving hardship or extenuating circumstances, grant an extension of time of up to three months within which the applicant may fulfill the contact hour requirements. Hardship or extenuating circumstances include documented health-related confinement or other circumstances beyond the control of the certified operator that prevent attendance at the required activities. All requests for extensions must be made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deadline to apply for renewal and to fulfill continuing education requirements under this rule shall automatically be extended a length of time equal to any period in which the operator served honorably on active duty in military service within the three-year renewal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567—102.12</w:t>
      </w:r>
      <w:r>
        <w:rPr>
          <w:rFonts w:ascii="Times New Roman" w:hAnsi="Times New Roman"/>
          <w:b/>
          <w:i w:val="false"/>
          <w:color w:val="000000"/>
          <w:sz w:val="22"/>
        </w:rPr>
        <w:t xml:space="preserve">(455D) </w:t>
      </w:r>
      <w:r>
        <w:rPr>
          <w:rFonts w:ascii="Times New Roman" w:hAnsi="Times New Roman"/>
          <w:b/>
          <w:i w:val="false"/>
          <w:color w:val="000000"/>
          <w:sz w:val="22"/>
        </w:rPr>
        <w:t xml:space="preserve">Temporary operation without a certified operator. </w:t>
      </w:r>
      <w:r>
        <w:rPr>
          <w:rFonts w:ascii="Times New Roman" w:hAnsi="Times New Roman"/>
          <w:b w:val="false"/>
          <w:i w:val="false"/>
          <w:color w:val="000000"/>
          <w:sz w:val="22"/>
        </w:rPr>
        <w:t>Notwithstanding any other provision of these rules, the department in its sole discretion may authorize, in writing, a facility to temporarily operate without a certified operator for a period of six months when a certified operator is no longer available to the facility. The facility must make a request in writing to the department, explaining why a temporary authorization is needed and identify the efforts that will be made to obtain a certified operator.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567—102.13</w:t>
      </w:r>
      <w:r>
        <w:rPr>
          <w:rFonts w:ascii="Times New Roman" w:hAnsi="Times New Roman"/>
          <w:b w:val="false"/>
          <w:i w:val="false"/>
          <w:color w:val="000000"/>
          <w:sz w:val="22"/>
        </w:rPr>
        <w:t xml:space="preserve"> to </w:t>
      </w:r>
      <w:r>
        <w:rPr>
          <w:rFonts w:ascii="Times New Roman" w:hAnsi="Times New Roman"/>
          <w:b/>
          <w:i w:val="false"/>
          <w:color w:val="000000"/>
          <w:sz w:val="22"/>
        </w:rPr>
        <w:t>102.99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0">
        <w:r>
          <w:rPr>
            <w:rStyle w:val="Hyperlink"/>
            <w:rFonts w:ascii="Times New Roman" w:hAnsi="Times New Roman"/>
            <w:b w:val="false"/>
            <w:i w:val="false"/>
            <w:color w:val="000000"/>
            <w:sz w:val="22"/>
          </w:rPr>
          <w:t>455D.9</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LAND APPLICATION OF WASTE</w:t>
      </w:r>
    </w:p>
    <w:p>
      <w:pPr>
        <w:spacing w:before="0" w:after="0"/>
        <w:ind w:left="120"/>
        <w:jc w:val="both"/>
      </w:pPr>
      <w:r>
        <w:rPr>
          <w:rFonts w:ascii="Times New Roman" w:hAnsi="Times New Roman"/>
          <w:b/>
          <w:i w:val="false"/>
          <w:color w:val="000000"/>
          <w:sz w:val="22"/>
        </w:rPr>
        <w:t>567—102.100</w:t>
      </w:r>
      <w:r>
        <w:rPr>
          <w:rFonts w:ascii="Times New Roman" w:hAnsi="Times New Roman"/>
          <w:b/>
          <w:i w:val="false"/>
          <w:color w:val="000000"/>
          <w:sz w:val="22"/>
        </w:rPr>
        <w:t xml:space="preserve">(455B,17A) </w:t>
      </w:r>
      <w:r>
        <w:rPr>
          <w:rFonts w:ascii="Times New Roman" w:hAnsi="Times New Roman"/>
          <w:b/>
          <w:i w:val="false"/>
          <w:color w:val="000000"/>
          <w:sz w:val="22"/>
        </w:rPr>
        <w:t xml:space="preserve">Purpose; applicability; compliance. </w:t>
      </w:r>
      <w:r>
        <w:rPr>
          <w:rFonts w:ascii="Times New Roman" w:hAnsi="Times New Roman"/>
          <w:b w:val="false"/>
          <w:i w:val="false"/>
          <w:color w:val="000000"/>
          <w:sz w:val="22"/>
        </w:rPr>
        <w:t xml:space="preserve">This division shall apply to the land application of solid waste and industrial sludge, except as follows. It does not apply to sewage or other wastewater regulated by </w:t>
      </w:r>
      <w:hyperlink r:id="rId51">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through </w:t>
      </w:r>
      <w:hyperlink r:id="rId52">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domestic septage, sewage sludge, animal manure, animal bedding, crop residue, waste registered as a fertilizer or soil conditioner with IDALS, waste registered as a liming agent with IDALS, or finished compost.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567—102.101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3">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apply to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567—102.102</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of water supply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102.102(1)</w:t>
      </w:r>
      <w:r>
        <w:rPr>
          <w:rFonts w:ascii="Times New Roman" w:hAnsi="Times New Roman"/>
          <w:b w:val="false"/>
          <w:i w:val="false"/>
          <w:color w:val="000000"/>
          <w:sz w:val="22"/>
        </w:rPr>
        <w:t> </w:t>
      </w:r>
      <w:r>
        <w:rPr>
          <w:rFonts w:ascii="Times New Roman" w:hAnsi="Times New Roman"/>
          <w:b w:val="false"/>
          <w:i w:val="false"/>
          <w:color w:val="000000"/>
          <w:sz w:val="22"/>
        </w:rPr>
        <w:t>Sludges generated from water supply treatment may be applied to lawns, gardens, flower beds, or similar areas associated with residential use and crops that may be consumed by humans without prior heating or processing that are commonly available to the public in raw form (e.g., sweet corn, lettuce, carrots, asparagus, squash).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102.102(2)</w:t>
      </w:r>
      <w:r>
        <w:rPr>
          <w:rFonts w:ascii="Times New Roman" w:hAnsi="Times New Roman"/>
          <w:b w:val="false"/>
          <w:i w:val="false"/>
          <w:color w:val="000000"/>
          <w:sz w:val="22"/>
        </w:rPr>
        <w:t> </w:t>
      </w:r>
      <w:r>
        <w:rPr>
          <w:rFonts w:ascii="Times New Roman" w:hAnsi="Times New Roman"/>
          <w:b w:val="false"/>
          <w:i w:val="false"/>
          <w:color w:val="000000"/>
          <w:sz w:val="22"/>
        </w:rPr>
        <w:t>Land application of sludges generated from water supply treatment are exempt from the remainder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567—102.103</w:t>
      </w:r>
      <w:r>
        <w:rPr>
          <w:rFonts w:ascii="Times New Roman" w:hAnsi="Times New Roman"/>
          <w:b/>
          <w:i w:val="false"/>
          <w:color w:val="000000"/>
          <w:sz w:val="22"/>
        </w:rPr>
        <w:t xml:space="preserve">(455B) </w:t>
      </w:r>
      <w:r>
        <w:rPr>
          <w:rFonts w:ascii="Times New Roman" w:hAnsi="Times New Roman"/>
          <w:b/>
          <w:i w:val="false"/>
          <w:color w:val="000000"/>
          <w:sz w:val="22"/>
        </w:rPr>
        <w:t xml:space="preserve">Waste eligible for land application. </w:t>
      </w:r>
      <w:r>
        <w:rPr>
          <w:rFonts w:ascii="Times New Roman" w:hAnsi="Times New Roman"/>
          <w:b w:val="false"/>
          <w:i w:val="false"/>
          <w:color w:val="000000"/>
          <w:sz w:val="22"/>
        </w:rPr>
        <w:t>Material must conform with the following to land applied pursuant to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102.103(1)</w:t>
      </w:r>
      <w:r>
        <w:rPr>
          <w:rFonts w:ascii="Times New Roman" w:hAnsi="Times New Roman"/>
          <w:b w:val="false"/>
          <w:i w:val="false"/>
          <w:color w:val="000000"/>
          <w:sz w:val="22"/>
        </w:rPr>
        <w:t> </w:t>
      </w:r>
      <w:r>
        <w:rPr>
          <w:rFonts w:ascii="Times New Roman" w:hAnsi="Times New Roman"/>
          <w:b w:val="false"/>
          <w:i w:val="false"/>
          <w:color w:val="000000"/>
          <w:sz w:val="22"/>
        </w:rPr>
        <w:t>The material must either meet the definition of solid waste or be a sludge resulting from commercial or industrial wastewater treatment, water supply treatment, or air pollution control facility.</w:t>
      </w:r>
    </w:p>
    <w:p>
      <w:pPr>
        <w:spacing w:before="0" w:after="0"/>
        <w:ind w:left="120"/>
        <w:jc w:val="both"/>
      </w:pPr>
      <w:r>
        <w:rPr>
          <w:rFonts w:ascii="Times New Roman" w:hAnsi="Times New Roman"/>
          <w:b/>
          <w:i w:val="false"/>
          <w:color w:val="000000"/>
          <w:sz w:val="22"/>
        </w:rPr>
        <w:t>102.103(2)</w:t>
      </w:r>
      <w:r>
        <w:rPr>
          <w:rFonts w:ascii="Times New Roman" w:hAnsi="Times New Roman"/>
          <w:b w:val="false"/>
          <w:i w:val="false"/>
          <w:color w:val="000000"/>
          <w:sz w:val="22"/>
        </w:rPr>
        <w:t> </w:t>
      </w:r>
      <w:r>
        <w:rPr>
          <w:rFonts w:ascii="Times New Roman" w:hAnsi="Times New Roman"/>
          <w:b w:val="false"/>
          <w:i w:val="false"/>
          <w:color w:val="000000"/>
          <w:sz w:val="22"/>
        </w:rPr>
        <w:t>The waste shall not contain constituents in excess of the levels specified below measured on a dry weight basis.</w:t>
      </w:r>
    </w:p>
    <w:tbl>
      <w:tblPr>
        <w:tblW w:w="0" w:type="auto"/>
        <w:tblCellSpacing w:w="0" w:type="auto"/>
        <w:tblBorders>
          <w:top w:val="none"/>
          <w:left w:val="none"/>
          <w:bottom w:val="none"/>
          <w:right w:val="none"/>
          <w:insideH w:val="none"/>
          <w:insideV w:val="none"/>
        </w:tblBorders>
        <w:tblLayout w:type="fixed"/>
      </w:tblPr>
      <w:tblGrid>
        <w:gridCol w:w="2334"/>
        <w:gridCol w:w="2334"/>
        <w:gridCol w:w="2142"/>
        <w:gridCol w:w="2142"/>
      </w:tblGrid>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Constituents</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Levels</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Cumulative Loading Rate</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Arsenic</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41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41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Cadmium</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34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Chromium</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1200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2670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Copper</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1335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Lead</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267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Mercury</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Molybdenum</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66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Nickel</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420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420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373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Selenium</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89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Zinc</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2800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2490 lb/ac</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102.103(3)</w:t>
      </w:r>
      <w:r>
        <w:rPr>
          <w:rFonts w:ascii="Times New Roman" w:hAnsi="Times New Roman"/>
          <w:b w:val="false"/>
          <w:i w:val="false"/>
          <w:color w:val="000000"/>
          <w:sz w:val="22"/>
        </w:rPr>
        <w:t> </w:t>
      </w:r>
      <w:r>
        <w:rPr>
          <w:rFonts w:ascii="Times New Roman" w:hAnsi="Times New Roman"/>
          <w:b w:val="false"/>
          <w:i w:val="false"/>
          <w:color w:val="000000"/>
          <w:sz w:val="22"/>
        </w:rPr>
        <w:t>If the waste has other toxic constituents, the toxic constituents shall not be in excess of levels where there is a threat to human, animal, or plant life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102.103(4)</w:t>
      </w:r>
      <w:r>
        <w:rPr>
          <w:rFonts w:ascii="Times New Roman" w:hAnsi="Times New Roman"/>
          <w:b w:val="false"/>
          <w:i w:val="false"/>
          <w:color w:val="000000"/>
          <w:sz w:val="22"/>
        </w:rPr>
        <w:t> </w:t>
      </w:r>
      <w:r>
        <w:rPr>
          <w:rFonts w:ascii="Times New Roman" w:hAnsi="Times New Roman"/>
          <w:b w:val="false"/>
          <w:i w:val="false"/>
          <w:color w:val="000000"/>
          <w:sz w:val="22"/>
        </w:rPr>
        <w:t>The waste does not have a sodium absorption ratio in excess of levels where there is a threat to plant life. If high sodium absorption ratios are suspected, analytical testing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waste contains pathogens, the waste must be treated to reduce pathogen content by methods specified in </w:t>
      </w:r>
      <w:hyperlink r:id="rId55">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 xml:space="preserve"> prior to 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102.103(6)</w:t>
      </w:r>
      <w:r>
        <w:rPr>
          <w:rFonts w:ascii="Times New Roman" w:hAnsi="Times New Roman"/>
          <w:b w:val="false"/>
          <w:i w:val="false"/>
          <w:color w:val="000000"/>
          <w:sz w:val="22"/>
        </w:rPr>
        <w:t> </w:t>
      </w:r>
      <w:r>
        <w:rPr>
          <w:rFonts w:ascii="Times New Roman" w:hAnsi="Times New Roman"/>
          <w:b w:val="false"/>
          <w:i w:val="false"/>
          <w:color w:val="000000"/>
          <w:sz w:val="22"/>
        </w:rPr>
        <w:t>The waste shall not have direct process stream contact with or originate from a process that may release the following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Petroleum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Organic solvents,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Pharmaceuticals,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Polychlorinated biphenyls (PCBs).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102.103(7)</w:t>
      </w:r>
      <w:r>
        <w:rPr>
          <w:rFonts w:ascii="Times New Roman" w:hAnsi="Times New Roman"/>
          <w:b w:val="false"/>
          <w:i w:val="false"/>
          <w:color w:val="000000"/>
          <w:sz w:val="22"/>
        </w:rPr>
        <w:t> </w:t>
      </w:r>
      <w:r>
        <w:rPr>
          <w:rFonts w:ascii="Times New Roman" w:hAnsi="Times New Roman"/>
          <w:b w:val="false"/>
          <w:i w:val="false"/>
          <w:color w:val="000000"/>
          <w:sz w:val="22"/>
        </w:rPr>
        <w:t>The waste assimilates and would not be readily present in a visual analysis of a random sample collected two years following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567—102.104</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site restrictions. </w:t>
      </w:r>
    </w:p>
    <w:p>
      <w:pPr>
        <w:spacing w:before="0" w:after="0"/>
        <w:ind w:left="120"/>
        <w:jc w:val="both"/>
      </w:pPr>
      <w:r>
        <w:rPr>
          <w:rFonts w:ascii="Times New Roman" w:hAnsi="Times New Roman"/>
          <w:b/>
          <w:i w:val="false"/>
          <w:color w:val="000000"/>
          <w:sz w:val="22"/>
        </w:rPr>
        <w:t>102.104(1)</w:t>
      </w:r>
      <w:r>
        <w:rPr>
          <w:rFonts w:ascii="Times New Roman" w:hAnsi="Times New Roman"/>
          <w:b w:val="false"/>
          <w:i w:val="false"/>
          <w:color w:val="000000"/>
          <w:sz w:val="22"/>
        </w:rPr>
        <w:t> </w:t>
      </w:r>
      <w:r>
        <w:rPr>
          <w:rFonts w:ascii="Times New Roman" w:hAnsi="Times New Roman"/>
          <w:b w:val="false"/>
          <w:i w:val="false"/>
          <w:color w:val="000000"/>
          <w:sz w:val="22"/>
        </w:rPr>
        <w:t>The waste shall not be applied to soils classified as sand, loamy sand, or silt on the United States Department of Agriculture (USDA) textural classification chart, 1951 Soil Survey Manual, USDA Handbook No. 18.</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4350" w:hRule="atLeast"/>
        </w:trPr>
        <w:tc>
          <w:tcPr>
            <w:tcW w:w="8952" w:type="dxa"/>
            <w:tcBorders/>
            <w:tcMar>
              <w:top w:w="30" w:type="dxa"/>
              <w:left w:w="30" w:type="dxa"/>
              <w:bottom w:w="15" w:type="dxa"/>
              <w:right w:w="30" w:type="dxa"/>
            </w:tcMar>
            <w:vAlign w:val="top"/>
          </w:tcPr>
          <w:p>
            <w:pPr>
              <w:spacing w:before="0" w:after="0" w:line="264"/>
              <w:ind w:left="160"/>
              <w:jc w:val="center"/>
            </w:pPr>
            <w:r>
              <w:drawing>
                <wp:inline distT="0" distB="0" distL="0" distR="0">
                  <wp:extent cx="2743200" cy="27432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6"/>
                          <a:stretch>
                            <a:fillRect/>
                          </a:stretch>
                        </pic:blipFill>
                        <pic:spPr>
                          <a:xfrm>
                            <a:off x="0" y="0"/>
                            <a:ext cx="2743200" cy="2743200"/>
                          </a:xfrm>
                          <a:prstGeom prst="rect">
                            <a:avLst/>
                          </a:prstGeom>
                        </pic:spPr>
                      </pic:pic>
                    </a:graphicData>
                  </a:graphic>
                </wp:inline>
              </w:drawing>
            </w:r>
          </w:p>
        </w:tc>
      </w:tr>
      <w:tr>
        <w:trPr>
          <w:trHeight w:val="345" w:hRule="atLeast"/>
        </w:trPr>
        <w:tc>
          <w:tcPr>
            <w:tcW w:w="89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USDA textural classification chart. Sand size particles, 2-0.05 mm; </w:t>
            </w:r>
            <w:r>
              <w:br/>
            </w:r>
            <w:r>
              <w:rPr>
                <w:rFonts w:ascii="Times New Roman" w:hAnsi="Times New Roman"/>
                <w:b w:val="false"/>
                <w:i w:val="false"/>
                <w:color w:val="000000"/>
                <w:sz w:val="14"/>
              </w:rPr>
              <w:t>silt-sized particles, 0.05-.002 mm; and clay sized particles, less than .002 mm.</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102.104(2)</w:t>
      </w:r>
      <w:r>
        <w:rPr>
          <w:rFonts w:ascii="Times New Roman" w:hAnsi="Times New Roman"/>
          <w:b w:val="false"/>
          <w:i w:val="false"/>
          <w:color w:val="000000"/>
          <w:sz w:val="22"/>
        </w:rPr>
        <w:t> </w:t>
      </w:r>
      <w:r>
        <w:rPr>
          <w:rFonts w:ascii="Times New Roman" w:hAnsi="Times New Roman"/>
          <w:b w:val="false"/>
          <w:i w:val="false"/>
          <w:color w:val="000000"/>
          <w:sz w:val="22"/>
        </w:rPr>
        <w:t>Land application sites shall have soil pH maintained above 6.0 unless otherwise specified in a permit. If the soil pH is below these levels, it is acceptable to use agricultural lime to increase the pH to an acceptable level prior to land application of sludge.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102.104(3)</w:t>
      </w:r>
      <w:r>
        <w:rPr>
          <w:rFonts w:ascii="Times New Roman" w:hAnsi="Times New Roman"/>
          <w:b w:val="false"/>
          <w:i w:val="false"/>
          <w:color w:val="000000"/>
          <w:sz w:val="22"/>
        </w:rPr>
        <w:t> </w:t>
      </w:r>
      <w:r>
        <w:rPr>
          <w:rFonts w:ascii="Times New Roman" w:hAnsi="Times New Roman"/>
          <w:b w:val="false"/>
          <w:i w:val="false"/>
          <w:color w:val="000000"/>
          <w:sz w:val="22"/>
        </w:rPr>
        <w:t>The waste shall not be applied to ground having greater than 9 percent slope unless specific permit conditions specify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102.104(4)</w:t>
      </w:r>
      <w:r>
        <w:rPr>
          <w:rFonts w:ascii="Times New Roman" w:hAnsi="Times New Roman"/>
          <w:b w:val="false"/>
          <w:i w:val="false"/>
          <w:color w:val="000000"/>
          <w:sz w:val="22"/>
        </w:rPr>
        <w:t> </w:t>
      </w:r>
      <w:r>
        <w:rPr>
          <w:rFonts w:ascii="Times New Roman" w:hAnsi="Times New Roman"/>
          <w:b w:val="false"/>
          <w:i w:val="false"/>
          <w:color w:val="000000"/>
          <w:sz w:val="22"/>
        </w:rPr>
        <w:t>If the waste is applied to land subject to flooding more frequently than once in ten years, the waste shall be injected or shall be applied to the surface and mechanically incorporated into the soil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102.104(5)</w:t>
      </w:r>
      <w:r>
        <w:rPr>
          <w:rFonts w:ascii="Times New Roman" w:hAnsi="Times New Roman"/>
          <w:b w:val="false"/>
          <w:i w:val="false"/>
          <w:color w:val="000000"/>
          <w:sz w:val="22"/>
        </w:rPr>
        <w:t> </w:t>
      </w:r>
      <w:r>
        <w:rPr>
          <w:rFonts w:ascii="Times New Roman" w:hAnsi="Times New Roman"/>
          <w:b w:val="false"/>
          <w:i w:val="false"/>
          <w:color w:val="000000"/>
          <w:sz w:val="22"/>
        </w:rPr>
        <w:t>Application on frozen or snow-covered ground shall be limited to areas of less than 5 percent slope unless specific permit conditions specify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102.104(6)</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applied within 200 feet of an occupied residence nor within 500 feet of a well that is part of a public water supply, as defined in 567—subrule </w:t>
      </w:r>
      <w:hyperlink r:id="rId57">
        <w:r>
          <w:rPr>
            <w:rStyle w:val="Hyperlink"/>
            <w:rFonts w:ascii="Times New Roman" w:hAnsi="Times New Roman"/>
            <w:b w:val="false"/>
            <w:i w:val="false"/>
            <w:color w:val="000000"/>
            <w:sz w:val="22"/>
          </w:rPr>
          <w:t>40.2(1)</w:t>
        </w:r>
      </w:hyperlink>
      <w:r>
        <w:rPr>
          <w:rFonts w:ascii="Times New Roman" w:hAnsi="Times New Roman"/>
          <w:b w:val="false"/>
          <w:i w:val="false"/>
          <w:color w:val="000000"/>
          <w:sz w:val="22"/>
        </w:rPr>
        <w:t>, or 200 feet of all other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102.104(7)</w:t>
      </w:r>
      <w:r>
        <w:rPr>
          <w:rFonts w:ascii="Times New Roman" w:hAnsi="Times New Roman"/>
          <w:b w:val="false"/>
          <w:i w:val="false"/>
          <w:color w:val="000000"/>
          <w:sz w:val="22"/>
        </w:rPr>
        <w:t> </w:t>
      </w:r>
      <w:r>
        <w:rPr>
          <w:rFonts w:ascii="Times New Roman" w:hAnsi="Times New Roman"/>
          <w:b w:val="false"/>
          <w:i w:val="false"/>
          <w:color w:val="000000"/>
          <w:sz w:val="22"/>
        </w:rPr>
        <w:t>Waste shall not be applied to land used for growing crops that may be consumed by humans without prior heating or processing or those that are commonly available to the public in raw form unless crops grown on the land are not harvested for at least 14 months following 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102.104(8)</w:t>
      </w:r>
      <w:r>
        <w:rPr>
          <w:rFonts w:ascii="Times New Roman" w:hAnsi="Times New Roman"/>
          <w:b w:val="false"/>
          <w:i w:val="false"/>
          <w:color w:val="000000"/>
          <w:sz w:val="22"/>
        </w:rPr>
        <w:t> </w:t>
      </w:r>
      <w:r>
        <w:rPr>
          <w:rFonts w:ascii="Times New Roman" w:hAnsi="Times New Roman"/>
          <w:b w:val="false"/>
          <w:i w:val="false"/>
          <w:color w:val="000000"/>
          <w:sz w:val="22"/>
        </w:rPr>
        <w:t>A site shall not be used for land application of waste from more than one generator in the same growing season or for a spring land application after land application the previous fall.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567—102.105</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All land application projects shall be operated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102.105(1)</w:t>
      </w:r>
      <w:r>
        <w:rPr>
          <w:rFonts w:ascii="Times New Roman" w:hAnsi="Times New Roman"/>
          <w:b w:val="false"/>
          <w:i w:val="false"/>
          <w:color w:val="000000"/>
          <w:sz w:val="22"/>
        </w:rPr>
        <w:t> </w:t>
      </w:r>
      <w:r>
        <w:rPr>
          <w:rFonts w:ascii="Times New Roman" w:hAnsi="Times New Roman"/>
          <w:b w:val="false"/>
          <w:i w:val="false"/>
          <w:color w:val="000000"/>
          <w:sz w:val="22"/>
        </w:rPr>
        <w:t>If solid waste is applied within 200 feet of a stream, lake, sinkhole, or tile line surface intake located downgradient of the land application site, it shall be injected or applied to the surface and mechanically incorporated into the soil within 48 hours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102.105(2)</w:t>
      </w:r>
      <w:r>
        <w:rPr>
          <w:rFonts w:ascii="Times New Roman" w:hAnsi="Times New Roman"/>
          <w:b w:val="false"/>
          <w:i w:val="false"/>
          <w:color w:val="000000"/>
          <w:sz w:val="22"/>
        </w:rPr>
        <w:t> </w:t>
      </w:r>
      <w:r>
        <w:rPr>
          <w:rFonts w:ascii="Times New Roman" w:hAnsi="Times New Roman"/>
          <w:b w:val="false"/>
          <w:i w:val="false"/>
          <w:color w:val="000000"/>
          <w:sz w:val="22"/>
        </w:rPr>
        <w:t>If waste is applied to land where crops being grown will be grazed by or fed to livestock within two months of waste application, or where cereal grains will be harvested within two months of waste application, the waste shall be injected or shall be applied to the surface and mechanically incorporated into the soil unless specific permit conditions specify otherwise. The general public shall not be given access to the disposal site during waste disposal and for a minimum of two months after waste disposal operations have 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102.105(3)</w:t>
      </w:r>
      <w:r>
        <w:rPr>
          <w:rFonts w:ascii="Times New Roman" w:hAnsi="Times New Roman"/>
          <w:b w:val="false"/>
          <w:i w:val="false"/>
          <w:color w:val="000000"/>
          <w:sz w:val="22"/>
        </w:rPr>
        <w:t> </w:t>
      </w:r>
      <w:r>
        <w:rPr>
          <w:rFonts w:ascii="Times New Roman" w:hAnsi="Times New Roman"/>
          <w:b w:val="false"/>
          <w:i w:val="false"/>
          <w:color w:val="000000"/>
          <w:sz w:val="22"/>
        </w:rPr>
        <w:t>If the waste is putrescible, it shall be injected or mechanically incorporated within 24 hours or otherwise managed to prevent runoff and odor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102.105(4)</w:t>
      </w:r>
      <w:r>
        <w:rPr>
          <w:rFonts w:ascii="Times New Roman" w:hAnsi="Times New Roman"/>
          <w:b w:val="false"/>
          <w:i w:val="false"/>
          <w:color w:val="000000"/>
          <w:sz w:val="22"/>
        </w:rPr>
        <w:t> </w:t>
      </w:r>
      <w:r>
        <w:rPr>
          <w:rFonts w:ascii="Times New Roman" w:hAnsi="Times New Roman"/>
          <w:b w:val="false"/>
          <w:i w:val="false"/>
          <w:color w:val="000000"/>
          <w:sz w:val="22"/>
        </w:rPr>
        <w:t>Land application shall not take place during or immediately preceding expected rains or other occasions when runoff may result unless subsurface injection methods are utilized. Additionally, land application shall not take place during periods of high groundwater conditions or during flooding.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102.105(5)</w:t>
      </w:r>
      <w:r>
        <w:rPr>
          <w:rFonts w:ascii="Times New Roman" w:hAnsi="Times New Roman"/>
          <w:b w:val="false"/>
          <w:i w:val="false"/>
          <w:color w:val="000000"/>
          <w:sz w:val="22"/>
        </w:rPr>
        <w:t> </w:t>
      </w:r>
      <w:r>
        <w:rPr>
          <w:rFonts w:ascii="Times New Roman" w:hAnsi="Times New Roman"/>
          <w:b w:val="false"/>
          <w:i w:val="false"/>
          <w:color w:val="000000"/>
          <w:sz w:val="22"/>
        </w:rPr>
        <w:t>The application of nitrogen available from the waste and any other sources shall not exceed the acceptable agronomic application rates for the vegetation to be grown on the site over the next year. The total application of phosphorus and potassium shall not exceed the acceptable agronomic application rates for the site and crops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102.105(6)</w:t>
      </w:r>
      <w:r>
        <w:rPr>
          <w:rFonts w:ascii="Times New Roman" w:hAnsi="Times New Roman"/>
          <w:b w:val="false"/>
          <w:i w:val="false"/>
          <w:color w:val="000000"/>
          <w:sz w:val="22"/>
        </w:rPr>
        <w:t> </w:t>
      </w:r>
      <w:r>
        <w:rPr>
          <w:rFonts w:ascii="Times New Roman" w:hAnsi="Times New Roman"/>
          <w:b w:val="false"/>
          <w:i w:val="false"/>
          <w:color w:val="000000"/>
          <w:sz w:val="22"/>
        </w:rPr>
        <w:t>Waste may be staged prior to application at the application site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Putrescible waste shall not be staged for more than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Non-putrescible waste shall not be staged for longer than two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staged within 200 feet of an occupied residence nor within 500 feet of a well that is part of a public water supply, as defined in 567—subrule </w:t>
      </w:r>
      <w:hyperlink r:id="rId58">
        <w:r>
          <w:rPr>
            <w:rStyle w:val="Hyperlink"/>
            <w:rFonts w:ascii="Times New Roman" w:hAnsi="Times New Roman"/>
            <w:b w:val="false"/>
            <w:i w:val="false"/>
            <w:color w:val="000000"/>
            <w:sz w:val="22"/>
          </w:rPr>
          <w:t>40.2(1)</w:t>
        </w:r>
      </w:hyperlink>
      <w:r>
        <w:rPr>
          <w:rFonts w:ascii="Times New Roman" w:hAnsi="Times New Roman"/>
          <w:b w:val="false"/>
          <w:i w:val="false"/>
          <w:color w:val="000000"/>
          <w:sz w:val="22"/>
        </w:rPr>
        <w:t>, or 200 feet of all other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shall not be staged on soils classified as sand, loamy sand, or silt on the USDA textural classification chart shown in </w:t>
      </w:r>
      <w:hyperlink r:id="rId59">
        <w:r>
          <w:rPr>
            <w:rStyle w:val="Hyperlink"/>
            <w:rFonts w:ascii="Times New Roman" w:hAnsi="Times New Roman"/>
            <w:b w:val="false"/>
            <w:i w:val="false"/>
            <w:color w:val="000000"/>
            <w:sz w:val="22"/>
          </w:rPr>
          <w:t>567—subrule 102.104(6)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Runoff from the waste must be controlled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weather or extenuating circumstances prevent application from taking place, the generator must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102.105(7)</w:t>
      </w:r>
      <w:r>
        <w:rPr>
          <w:rFonts w:ascii="Times New Roman" w:hAnsi="Times New Roman"/>
          <w:b w:val="false"/>
          <w:i w:val="false"/>
          <w:color w:val="000000"/>
          <w:sz w:val="22"/>
        </w:rPr>
        <w:t> </w:t>
      </w:r>
      <w:r>
        <w:rPr>
          <w:rFonts w:ascii="Times New Roman" w:hAnsi="Times New Roman"/>
          <w:b w:val="false"/>
          <w:i w:val="false"/>
          <w:color w:val="000000"/>
          <w:sz w:val="22"/>
        </w:rPr>
        <w:t>When waste is supplied to other persons for land application, the generating facility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recipient of the applicable requirements of the waste disposal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generating facility determines that the recipient is not complying with applicable requirements of the waste disposal program or the land application criteria, the generating facility shall work with the recipient to obtain compliance with the requirements. If subsequent compliance cannot be achieved, the generating facility shall not supply additional waste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 all persons involved in waste disposal operations of the potential health hazards associated with waste disposal, including informing them of the cautions and recommended practices that should be followed to minimize these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102.105(8)</w:t>
      </w:r>
      <w:r>
        <w:rPr>
          <w:rFonts w:ascii="Times New Roman" w:hAnsi="Times New Roman"/>
          <w:b w:val="false"/>
          <w:i w:val="false"/>
          <w:color w:val="000000"/>
          <w:sz w:val="22"/>
        </w:rPr>
        <w:t> </w:t>
      </w:r>
      <w:r>
        <w:rPr>
          <w:rFonts w:ascii="Times New Roman" w:hAnsi="Times New Roman"/>
          <w:b w:val="false"/>
          <w:i w:val="false"/>
          <w:color w:val="000000"/>
          <w:sz w:val="22"/>
        </w:rPr>
        <w:t>The generator shall maintain records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Analysis of waste to document compliance with </w:t>
      </w:r>
      <w:hyperlink r:id="rId60">
        <w:r>
          <w:rPr>
            <w:rStyle w:val="Hyperlink"/>
            <w:rFonts w:ascii="Times New Roman" w:hAnsi="Times New Roman"/>
            <w:b w:val="false"/>
            <w:i w:val="false"/>
            <w:color w:val="000000"/>
            <w:sz w:val="22"/>
          </w:rPr>
          <w:t>102.103(2)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land application for each site, which shall be maintained for five years; be made available to the department upon request; and include dates of application, application rate, and quantity of waste applied.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567—102.106</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permit. </w:t>
      </w:r>
      <w:r>
        <w:rPr>
          <w:rFonts w:ascii="Times New Roman" w:hAnsi="Times New Roman"/>
          <w:b w:val="false"/>
          <w:i w:val="false"/>
          <w:color w:val="000000"/>
          <w:sz w:val="22"/>
        </w:rPr>
        <w:t xml:space="preserve">Land application of waste at a rate that does not exceed two dry tons per acre per year and that meets the requirements of </w:t>
      </w:r>
      <w:hyperlink r:id="rId61">
        <w:r>
          <w:rPr>
            <w:rStyle w:val="Hyperlink"/>
            <w:rFonts w:ascii="Times New Roman" w:hAnsi="Times New Roman"/>
            <w:b w:val="false"/>
            <w:i w:val="false"/>
            <w:color w:val="000000"/>
            <w:sz w:val="22"/>
          </w:rPr>
          <w:t>567—102.103</w:t>
        </w:r>
      </w:hyperlink>
      <w:r>
        <w:rPr>
          <w:rFonts w:ascii="Times New Roman" w:hAnsi="Times New Roman"/>
          <w:b w:val="false"/>
          <w:i w:val="false"/>
          <w:color w:val="000000"/>
          <w:sz w:val="22"/>
        </w:rPr>
        <w:t xml:space="preserve">(455B), </w:t>
      </w:r>
      <w:hyperlink r:id="rId62">
        <w:r>
          <w:rPr>
            <w:rStyle w:val="Hyperlink"/>
            <w:rFonts w:ascii="Times New Roman" w:hAnsi="Times New Roman"/>
            <w:b w:val="false"/>
            <w:i w:val="false"/>
            <w:color w:val="000000"/>
            <w:sz w:val="22"/>
          </w:rPr>
          <w:t>567—102.104</w:t>
        </w:r>
      </w:hyperlink>
      <w:r>
        <w:rPr>
          <w:rFonts w:ascii="Times New Roman" w:hAnsi="Times New Roman"/>
          <w:b w:val="false"/>
          <w:i w:val="false"/>
          <w:color w:val="000000"/>
          <w:sz w:val="22"/>
        </w:rPr>
        <w:t xml:space="preserve">(455B), and </w:t>
      </w:r>
      <w:hyperlink r:id="rId63">
        <w:r>
          <w:rPr>
            <w:rStyle w:val="Hyperlink"/>
            <w:rFonts w:ascii="Times New Roman" w:hAnsi="Times New Roman"/>
            <w:b w:val="false"/>
            <w:i w:val="false"/>
            <w:color w:val="000000"/>
            <w:sz w:val="22"/>
          </w:rPr>
          <w:t>567—102.105</w:t>
        </w:r>
      </w:hyperlink>
      <w:r>
        <w:rPr>
          <w:rFonts w:ascii="Times New Roman" w:hAnsi="Times New Roman"/>
          <w:b w:val="false"/>
          <w:i w:val="false"/>
          <w:color w:val="000000"/>
          <w:sz w:val="22"/>
        </w:rPr>
        <w:t>(455B) may be land applied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102.106(1)</w:t>
      </w:r>
      <w:r>
        <w:rPr>
          <w:rFonts w:ascii="Times New Roman" w:hAnsi="Times New Roman"/>
          <w:b w:val="false"/>
          <w:i w:val="false"/>
          <w:color w:val="000000"/>
          <w:sz w:val="22"/>
        </w:rPr>
        <w:t> </w:t>
      </w:r>
      <w:r>
        <w:rPr>
          <w:rFonts w:ascii="Times New Roman" w:hAnsi="Times New Roman"/>
          <w:b w:val="false"/>
          <w:i w:val="false"/>
          <w:color w:val="000000"/>
          <w:sz w:val="22"/>
        </w:rPr>
        <w:t>The maximum application rate shall be reduced if analysis of the waste indicates that a two ton per acre per year rate would provide nutrient levels in excess of crop nutrient requirements or would provide heavy metals concentrations in the soil at levels that may be detrimental to crop production or hazardous to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102.106(2)</w:t>
      </w:r>
      <w:r>
        <w:rPr>
          <w:rFonts w:ascii="Times New Roman" w:hAnsi="Times New Roman"/>
          <w:b w:val="false"/>
          <w:i w:val="false"/>
          <w:color w:val="000000"/>
          <w:sz w:val="22"/>
        </w:rPr>
        <w:t> </w:t>
      </w:r>
      <w:r>
        <w:rPr>
          <w:rFonts w:ascii="Times New Roman" w:hAnsi="Times New Roman"/>
          <w:b w:val="false"/>
          <w:i w:val="false"/>
          <w:color w:val="000000"/>
          <w:sz w:val="22"/>
        </w:rPr>
        <w:t>All material must be staged on ground eligible for 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102.106(3)</w:t>
      </w:r>
      <w:r>
        <w:rPr>
          <w:rFonts w:ascii="Times New Roman" w:hAnsi="Times New Roman"/>
          <w:b w:val="false"/>
          <w:i w:val="false"/>
          <w:color w:val="000000"/>
          <w:sz w:val="22"/>
        </w:rPr>
        <w:t> </w:t>
      </w:r>
      <w:r>
        <w:rPr>
          <w:rFonts w:ascii="Times New Roman" w:hAnsi="Times New Roman"/>
          <w:b w:val="false"/>
          <w:i w:val="false"/>
          <w:color w:val="000000"/>
          <w:sz w:val="22"/>
        </w:rPr>
        <w:t>Before the initial land application, the applicator must notify the department in writing. This notice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generator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responsible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waste including the process to generate it, chemical analyses showing compliance with </w:t>
      </w:r>
      <w:hyperlink r:id="rId64">
        <w:r>
          <w:rPr>
            <w:rStyle w:val="Hyperlink"/>
            <w:rFonts w:ascii="Times New Roman" w:hAnsi="Times New Roman"/>
            <w:b w:val="false"/>
            <w:i w:val="false"/>
            <w:color w:val="000000"/>
            <w:sz w:val="22"/>
          </w:rPr>
          <w:t>102.103(2)</w:t>
        </w:r>
      </w:hyperlink>
      <w:r>
        <w:rPr>
          <w:rFonts w:ascii="Times New Roman" w:hAnsi="Times New Roman"/>
          <w:b w:val="false"/>
          <w:i w:val="false"/>
          <w:color w:val="000000"/>
          <w:sz w:val="22"/>
        </w:rPr>
        <w:t xml:space="preserve">, and any additional analysis that the department may require to adequately define the waste. Chemical analysis shall be done by a laboratory certified pursuant to </w:t>
      </w:r>
      <w:hyperlink r:id="rId65">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Quantities of waste to be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aerial photo with the site outlined and any areas ineligible for application marked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Number of acres eligible for land application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landowner’s name and contact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567—102.107</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w:t>
      </w:r>
      <w:r>
        <w:rPr>
          <w:rFonts w:ascii="Times New Roman" w:hAnsi="Times New Roman"/>
          <w:b w:val="false"/>
          <w:i w:val="false"/>
          <w:color w:val="000000"/>
          <w:sz w:val="22"/>
        </w:rPr>
        <w:t xml:space="preserve">Prior to any land application of solid waste not exempted in </w:t>
      </w:r>
      <w:hyperlink r:id="rId66">
        <w:r>
          <w:rPr>
            <w:rStyle w:val="Hyperlink"/>
            <w:rFonts w:ascii="Times New Roman" w:hAnsi="Times New Roman"/>
            <w:b w:val="false"/>
            <w:i w:val="false"/>
            <w:color w:val="000000"/>
            <w:sz w:val="22"/>
          </w:rPr>
          <w:t>567—102.102</w:t>
        </w:r>
      </w:hyperlink>
      <w:r>
        <w:rPr>
          <w:rFonts w:ascii="Times New Roman" w:hAnsi="Times New Roman"/>
          <w:b w:val="false"/>
          <w:i w:val="false"/>
          <w:color w:val="000000"/>
          <w:sz w:val="22"/>
        </w:rPr>
        <w:t xml:space="preserve">(455B) or </w:t>
      </w:r>
      <w:hyperlink r:id="rId67">
        <w:r>
          <w:rPr>
            <w:rStyle w:val="Hyperlink"/>
            <w:rFonts w:ascii="Times New Roman" w:hAnsi="Times New Roman"/>
            <w:b w:val="false"/>
            <w:i w:val="false"/>
            <w:color w:val="000000"/>
            <w:sz w:val="22"/>
          </w:rPr>
          <w:t>567—102.106</w:t>
        </w:r>
      </w:hyperlink>
      <w:r>
        <w:rPr>
          <w:rFonts w:ascii="Times New Roman" w:hAnsi="Times New Roman"/>
          <w:b w:val="false"/>
          <w:i w:val="false"/>
          <w:color w:val="000000"/>
          <w:sz w:val="22"/>
        </w:rPr>
        <w:t xml:space="preserve">(455B), a solid waste management permit pursuant to </w:t>
      </w:r>
      <w:hyperlink r:id="rId68">
        <w:r>
          <w:rPr>
            <w:rStyle w:val="Hyperlink"/>
            <w:rFonts w:ascii="Times New Roman" w:hAnsi="Times New Roman"/>
            <w:b w:val="false"/>
            <w:i w:val="false"/>
            <w:color w:val="000000"/>
            <w:sz w:val="22"/>
          </w:rPr>
          <w:t>567—subrule 100.4(2)</w:t>
        </w:r>
      </w:hyperlink>
      <w:r>
        <w:rPr>
          <w:rFonts w:ascii="Times New Roman" w:hAnsi="Times New Roman"/>
          <w:b w:val="false"/>
          <w:i w:val="false"/>
          <w:color w:val="000000"/>
          <w:sz w:val="22"/>
        </w:rPr>
        <w:t xml:space="preserve"> must be obtained by the waste generator.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102.107(1)</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 xml:space="preserve">In lieu of the permit application requirements in </w:t>
      </w:r>
      <w:hyperlink r:id="rId69">
        <w:r>
          <w:rPr>
            <w:rStyle w:val="Hyperlink"/>
            <w:rFonts w:ascii="Times New Roman" w:hAnsi="Times New Roman"/>
            <w:b w:val="false"/>
            <w:i w:val="false"/>
            <w:color w:val="000000"/>
            <w:sz w:val="22"/>
          </w:rPr>
          <w:t>567—subrule 100.5(1)</w:t>
        </w:r>
      </w:hyperlink>
      <w:r>
        <w:rPr>
          <w:rFonts w:ascii="Times New Roman" w:hAnsi="Times New Roman"/>
          <w:b w:val="false"/>
          <w:i w:val="false"/>
          <w:color w:val="000000"/>
          <w:sz w:val="22"/>
        </w:rPr>
        <w:t>, all permit applications for land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permit applicant (generator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Agronomist affiliated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source, and expected volume or weight of waste to be handled per day, week, and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the source, quantity, and method of treatment of the waste prior to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Chemical analyses showing compliance with </w:t>
      </w:r>
      <w:hyperlink r:id="rId70">
        <w:r>
          <w:rPr>
            <w:rStyle w:val="Hyperlink"/>
            <w:rFonts w:ascii="Times New Roman" w:hAnsi="Times New Roman"/>
            <w:b w:val="false"/>
            <w:i w:val="false"/>
            <w:color w:val="000000"/>
            <w:sz w:val="22"/>
          </w:rPr>
          <w:t>102.103(2)</w:t>
        </w:r>
      </w:hyperlink>
      <w:r>
        <w:rPr>
          <w:rFonts w:ascii="Times New Roman" w:hAnsi="Times New Roman"/>
          <w:b w:val="false"/>
          <w:i w:val="false"/>
          <w:color w:val="000000"/>
          <w:sz w:val="22"/>
        </w:rPr>
        <w:t xml:space="preserve"> and any additional analysis that the department may require to adequately define the waste. Chemical analysis shall be done by a laboratory certified pursuant to </w:t>
      </w:r>
      <w:hyperlink r:id="rId71">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description of the land application process to be used, including the method and rate of application, and information indicating how the operational requirements of </w:t>
      </w:r>
      <w:hyperlink r:id="rId72">
        <w:r>
          <w:rPr>
            <w:rStyle w:val="Hyperlink"/>
            <w:rFonts w:ascii="Times New Roman" w:hAnsi="Times New Roman"/>
            <w:b w:val="false"/>
            <w:i w:val="false"/>
            <w:color w:val="000000"/>
            <w:sz w:val="22"/>
          </w:rPr>
          <w:t>567—102.105</w:t>
        </w:r>
      </w:hyperlink>
      <w:r>
        <w:rPr>
          <w:rFonts w:ascii="Times New Roman" w:hAnsi="Times New Roman"/>
          <w:b w:val="false"/>
          <w:i w:val="false"/>
          <w:color w:val="000000"/>
          <w:sz w:val="22"/>
        </w:rPr>
        <w:t>(455B)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table of all application sites that includes the name of the site, legal description, county, acres eligible for land application, and the name of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each land application site,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aerial photograph of sufficient scale to show all homes, buildings, lakes, ponds, watercourses, wetlands, dry runs, roads, and other applicable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map or aerial photo showing all wells located within 500 feet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soil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Water table levels of the site, including the frequency and duration of any expected high-water table or flooding.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or legal entitlement to use the site for the disposal of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102.107(2)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permit holder shall have a certified professional agronomist perform an annual inspection of all sites utilized in the previous year to ensure soil properties and constituents being applied are suitable and will not exceed agronomic rates for the crop that will be produced the following summer. The agronomist will review soil test results to ensure that the application of the waste will not cause buildup of nutrients in the soil. The results of this inspection shall be submitted to the department’s main office by April 1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holder shall submit an annual report summarizing the records required in </w:t>
      </w:r>
      <w:hyperlink r:id="rId73">
        <w:r>
          <w:rPr>
            <w:rStyle w:val="Hyperlink"/>
            <w:rFonts w:ascii="Times New Roman" w:hAnsi="Times New Roman"/>
            <w:b w:val="false"/>
            <w:i w:val="false"/>
            <w:color w:val="000000"/>
            <w:sz w:val="22"/>
          </w:rPr>
          <w:t>102.105(8)</w:t>
        </w:r>
        <w:r>
          <w:rPr>
            <w:rFonts w:ascii="Times New Roman" w:hAnsi="Times New Roman"/>
            <w:b w:val="false"/>
            <w:i/>
            <w:color w:val="000000"/>
            <w:sz w:val="22"/>
          </w:rPr>
          <w:t>“b”</w:t>
        </w:r>
      </w:hyperlink>
      <w:r>
        <w:rPr>
          <w:rFonts w:ascii="Times New Roman" w:hAnsi="Times New Roman"/>
          <w:b w:val="false"/>
          <w:i w:val="false"/>
          <w:color w:val="000000"/>
          <w:sz w:val="22"/>
        </w:rPr>
        <w:t xml:space="preserve"> to the department’s main office on a form provided by the department. The report will be for July through June and is due by October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Sampling and analyses of the permitted waste shall be performed and submitted to the department according to a schedule stipulated in the permit. At a minimum, an analysis shall be submitted with each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102.107(3)</w:t>
      </w:r>
      <w:r>
        <w:rPr>
          <w:rFonts w:ascii="Times New Roman" w:hAnsi="Times New Roman"/>
          <w:b w:val="false"/>
          <w:i w:val="false"/>
          <w:color w:val="000000"/>
          <w:sz w:val="22"/>
        </w:rPr>
        <w:t> </w:t>
      </w:r>
      <w:r>
        <w:rPr>
          <w:rFonts w:ascii="Times New Roman" w:hAnsi="Times New Roman"/>
          <w:b w:val="false"/>
          <w:i/>
          <w:color w:val="000000"/>
          <w:sz w:val="22"/>
        </w:rPr>
        <w:t xml:space="preserve">Temporary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may allow for storage of stabilized sludge and solid waste at application sites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stored within 200 feet of an occupied residence nor within 500 feet of a well that is part of a public water supply, as defined in 567—subrule </w:t>
      </w:r>
      <w:hyperlink r:id="rId74">
        <w:r>
          <w:rPr>
            <w:rStyle w:val="Hyperlink"/>
            <w:rFonts w:ascii="Times New Roman" w:hAnsi="Times New Roman"/>
            <w:b w:val="false"/>
            <w:i w:val="false"/>
            <w:color w:val="000000"/>
            <w:sz w:val="22"/>
          </w:rPr>
          <w:t>40.2(1)</w:t>
        </w:r>
      </w:hyperlink>
      <w:r>
        <w:rPr>
          <w:rFonts w:ascii="Times New Roman" w:hAnsi="Times New Roman"/>
          <w:b w:val="false"/>
          <w:i w:val="false"/>
          <w:color w:val="000000"/>
          <w:sz w:val="22"/>
        </w:rPr>
        <w:t>, or 200 feet of all other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shall not be stored on soils classified as sand, loamy sand, or silt on the USDA textural classification chart shown in </w:t>
      </w:r>
      <w:hyperlink r:id="rId75">
        <w:r>
          <w:rPr>
            <w:rStyle w:val="Hyperlink"/>
            <w:rFonts w:ascii="Times New Roman" w:hAnsi="Times New Roman"/>
            <w:b w:val="false"/>
            <w:i w:val="false"/>
            <w:color w:val="000000"/>
            <w:sz w:val="22"/>
          </w:rPr>
          <w:t>102.104(6)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stored may not exceed the amount needed for the next application window for that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material stored must be land applied the next application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weather or extenuating circumstances prevent application from taking place, the applicant must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Runoff shall be controlled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assurance in accordance with </w:t>
      </w:r>
      <w:hyperlink r:id="rId76">
        <w:r>
          <w:rPr>
            <w:rStyle w:val="Hyperlink"/>
            <w:rFonts w:ascii="Times New Roman" w:hAnsi="Times New Roman"/>
            <w:b w:val="false"/>
            <w:i w:val="false"/>
            <w:color w:val="000000"/>
            <w:sz w:val="22"/>
          </w:rPr>
          <w:t>567—102.108</w:t>
        </w:r>
      </w:hyperlink>
      <w:r>
        <w:rPr>
          <w:rFonts w:ascii="Times New Roman" w:hAnsi="Times New Roman"/>
          <w:b w:val="false"/>
          <w:i w:val="false"/>
          <w:color w:val="000000"/>
          <w:sz w:val="22"/>
        </w:rPr>
        <w:t>(455B)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may allow for storage of stabilized sludge and solid waste at a consolidation point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stored within 200 feet of an occupied residence nor within 500 feet of a well that is part of a public water supply, as defined in 567—subrule </w:t>
      </w:r>
      <w:hyperlink r:id="rId77">
        <w:r>
          <w:rPr>
            <w:rStyle w:val="Hyperlink"/>
            <w:rFonts w:ascii="Times New Roman" w:hAnsi="Times New Roman"/>
            <w:b w:val="false"/>
            <w:i w:val="false"/>
            <w:color w:val="000000"/>
            <w:sz w:val="22"/>
          </w:rPr>
          <w:t>40.2(1)</w:t>
        </w:r>
      </w:hyperlink>
      <w:r>
        <w:rPr>
          <w:rFonts w:ascii="Times New Roman" w:hAnsi="Times New Roman"/>
          <w:b w:val="false"/>
          <w:i w:val="false"/>
          <w:color w:val="000000"/>
          <w:sz w:val="22"/>
        </w:rPr>
        <w:t>, or 200 feet of all other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storage surface shall be made of asphalt, concrete, compacted granular aggregate, clay, or similar relatively impermeable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material stored must be land applied the next application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weather or extenuating circumstances prevent application from taking place, the applicant must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Runoff from the waste shall be controlled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assurance in accordance with </w:t>
      </w:r>
      <w:hyperlink r:id="rId78">
        <w:r>
          <w:rPr>
            <w:rStyle w:val="Hyperlink"/>
            <w:rFonts w:ascii="Times New Roman" w:hAnsi="Times New Roman"/>
            <w:b w:val="false"/>
            <w:i w:val="false"/>
            <w:color w:val="000000"/>
            <w:sz w:val="22"/>
          </w:rPr>
          <w:t>567—102.108</w:t>
        </w:r>
      </w:hyperlink>
      <w:r>
        <w:rPr>
          <w:rFonts w:ascii="Times New Roman" w:hAnsi="Times New Roman"/>
          <w:b w:val="false"/>
          <w:i w:val="false"/>
          <w:color w:val="000000"/>
          <w:sz w:val="22"/>
        </w:rPr>
        <w:t>(455B) has been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567—102.108</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w:t>
      </w:r>
      <w:r>
        <w:rPr>
          <w:rFonts w:ascii="Times New Roman" w:hAnsi="Times New Roman"/>
          <w:b w:val="false"/>
          <w:i w:val="false"/>
          <w:color w:val="000000"/>
          <w:sz w:val="22"/>
        </w:rPr>
        <w:t>The holder of a solid waste management permit for the land application of wastes that has received authorization to temporarily store waste at the application site(s) or a consolidation point must obtain and submit a financial assurance instrument to the department. The financial assurance instrument shall provide monetary funds for the purpose of properly disposing of or having a third-party land apply any stored wastes due to the permit holder’s failure to properly land apply wastes in accordance with this division and the applicable permit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102.108(1)</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by at the time of application for a permit to land apply solid wastes. The owner or operator must provide continuous coverage for closure and submit proof of compliance, including an updated closure cost estimate, with each permit renewal thereafter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102.108(2)</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The estimate submitted to the department must be certified by a professional engineer and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labor and transportation costs and total tip fees to properly dispose of all solid wastes equal to the maximum storage capacity of all approved storage areas,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Third-party labor costs to land apply all solid wastes equal to the maximum storage capacity of all approved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102.108(3)</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w:t>
      </w:r>
      <w:hyperlink r:id="rId79">
        <w:r>
          <w:rPr>
            <w:rStyle w:val="Hyperlink"/>
            <w:rFonts w:ascii="Times New Roman" w:hAnsi="Times New Roman"/>
            <w:b w:val="false"/>
            <w:i w:val="false"/>
            <w:color w:val="000000"/>
            <w:sz w:val="22"/>
          </w:rPr>
          <w:t>102.10(4)</w:t>
        </w:r>
      </w:hyperlink>
      <w:r>
        <w:rPr>
          <w:rFonts w:ascii="Times New Roman" w:hAnsi="Times New Roman"/>
          <w:b w:val="false"/>
          <w:i w:val="false"/>
          <w:color w:val="000000"/>
          <w:sz w:val="22"/>
        </w:rPr>
        <w:t xml:space="preserve"> and shall not be canceled, revoked, disbursed, released, or allowed to terminate without the approval of the department. The language of the financial assurance instrument shall meet the criteria in </w:t>
      </w:r>
      <w:hyperlink r:id="rId80">
        <w:r>
          <w:rPr>
            <w:rStyle w:val="Hyperlink"/>
            <w:rFonts w:ascii="Times New Roman" w:hAnsi="Times New Roman"/>
            <w:b w:val="false"/>
            <w:i w:val="false"/>
            <w:color w:val="000000"/>
            <w:sz w:val="22"/>
          </w:rPr>
          <w:t>567—subrule 101.708(3)</w:t>
        </w:r>
      </w:hyperlink>
      <w:r>
        <w:rPr>
          <w:rFonts w:ascii="Times New Roman" w:hAnsi="Times New Roman"/>
          <w:b w:val="false"/>
          <w:i w:val="false"/>
          <w:color w:val="000000"/>
          <w:sz w:val="22"/>
        </w:rPr>
        <w:t>. Financial assurance shall be provided by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 pursuant to </w:t>
      </w:r>
      <w:hyperlink r:id="rId81">
        <w:r>
          <w:rPr>
            <w:rStyle w:val="Hyperlink"/>
            <w:rFonts w:ascii="Times New Roman" w:hAnsi="Times New Roman"/>
            <w:b w:val="false"/>
            <w:i w:val="false"/>
            <w:color w:val="000000"/>
            <w:sz w:val="22"/>
          </w:rPr>
          <w:t>567—subrule 101.707(1)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Surety bond pursuant to </w:t>
      </w:r>
      <w:hyperlink r:id="rId82">
        <w:r>
          <w:rPr>
            <w:rStyle w:val="Hyperlink"/>
            <w:rFonts w:ascii="Times New Roman" w:hAnsi="Times New Roman"/>
            <w:b w:val="false"/>
            <w:i w:val="false"/>
            <w:color w:val="000000"/>
            <w:sz w:val="22"/>
          </w:rPr>
          <w:t>567—subrule 101.707(2)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Letter of credit pursuant to </w:t>
      </w:r>
      <w:hyperlink r:id="rId83">
        <w:r>
          <w:rPr>
            <w:rStyle w:val="Hyperlink"/>
            <w:rFonts w:ascii="Times New Roman" w:hAnsi="Times New Roman"/>
            <w:b w:val="false"/>
            <w:i w:val="false"/>
            <w:color w:val="000000"/>
            <w:sz w:val="22"/>
          </w:rPr>
          <w:t>567—subrule 101.707(3)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Corporate guarantee pursuant to </w:t>
      </w:r>
      <w:hyperlink r:id="rId84">
        <w:r>
          <w:rPr>
            <w:rStyle w:val="Hyperlink"/>
            <w:rFonts w:ascii="Times New Roman" w:hAnsi="Times New Roman"/>
            <w:b w:val="false"/>
            <w:i w:val="false"/>
            <w:color w:val="000000"/>
            <w:sz w:val="22"/>
          </w:rPr>
          <w:t>567—subrule 101.707(7)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567—102.109</w:t>
      </w:r>
      <w:r>
        <w:rPr>
          <w:rFonts w:ascii="Times New Roman" w:hAnsi="Times New Roman"/>
          <w:b w:val="false"/>
          <w:i w:val="false"/>
          <w:color w:val="000000"/>
          <w:sz w:val="22"/>
        </w:rPr>
        <w:t xml:space="preserve"> to </w:t>
      </w:r>
      <w:r>
        <w:rPr>
          <w:rFonts w:ascii="Times New Roman" w:hAnsi="Times New Roman"/>
          <w:b/>
          <w:i w:val="false"/>
          <w:color w:val="000000"/>
          <w:sz w:val="22"/>
        </w:rPr>
        <w:t>102.199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5">
        <w:r>
          <w:rPr>
            <w:rStyle w:val="Hyperlink"/>
            <w:rFonts w:ascii="Times New Roman" w:hAnsi="Times New Roman"/>
            <w:b w:val="false"/>
            <w:i w:val="false"/>
            <w:color w:val="000000"/>
            <w:sz w:val="22"/>
          </w:rPr>
          <w:t>455B.173</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LANDFARMING OF PETROLEUM-CONTAMINATED SOIL</w:t>
      </w:r>
    </w:p>
    <w:p>
      <w:pPr>
        <w:spacing w:before="0" w:after="0"/>
        <w:ind w:left="120"/>
        <w:jc w:val="both"/>
      </w:pPr>
      <w:r>
        <w:rPr>
          <w:rFonts w:ascii="Times New Roman" w:hAnsi="Times New Roman"/>
          <w:b/>
          <w:i w:val="false"/>
          <w:color w:val="000000"/>
          <w:sz w:val="22"/>
        </w:rPr>
        <w:t>567—102.200</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division is to establish rules for the safe and effective remediation and disposal of petroleum-contaminated soil (PCS) through landfarming.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102.201(1)</w:t>
      </w:r>
      <w:r>
        <w:rPr>
          <w:rFonts w:ascii="Times New Roman" w:hAnsi="Times New Roman"/>
          <w:b w:val="false"/>
          <w:i w:val="false"/>
          <w:color w:val="000000"/>
          <w:sz w:val="22"/>
        </w:rPr>
        <w:t> </w:t>
      </w:r>
      <w:r>
        <w:rPr>
          <w:rFonts w:ascii="Times New Roman" w:hAnsi="Times New Roman"/>
          <w:b w:val="false"/>
          <w:i w:val="false"/>
          <w:color w:val="000000"/>
          <w:sz w:val="22"/>
        </w:rPr>
        <w:t>These rules apply to the landfarming of soils contaminated with biodegradable petroleum products including but not limited to gasoline, diesel fuel, kerosene, jet fuel, motor oil, hydraulic fluid, or some combination thereof. All PCS landfarming activities in which three or more cubic yards of PCS are excavated shall comply with this division. Uncontaminated soil that is excavated during the removal of the PCS shall not be counted toward the three-cubic-yard applicability threshold.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102.201(2)</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PCS that is being disposed of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102.201(3)</w:t>
      </w:r>
      <w:r>
        <w:rPr>
          <w:rFonts w:ascii="Times New Roman" w:hAnsi="Times New Roman"/>
          <w:b w:val="false"/>
          <w:i w:val="false"/>
          <w:color w:val="000000"/>
          <w:sz w:val="22"/>
        </w:rPr>
        <w:t> </w:t>
      </w:r>
      <w:r>
        <w:rPr>
          <w:rFonts w:ascii="Times New Roman" w:hAnsi="Times New Roman"/>
          <w:b w:val="false"/>
          <w:i w:val="false"/>
          <w:color w:val="000000"/>
          <w:sz w:val="22"/>
        </w:rPr>
        <w:t>The issuance of a landfarm permit by the department in no way relieves the generator or permit holder of the responsibility of complying with all other local, state, or federal statutes, ordinances, and rules and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102.201(4)</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102.201(5)</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out in Iowa Code section </w:t>
      </w:r>
      <w:hyperlink r:id="rId87">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shall be considered to be incorporated by reference in these rules. For the purposes of this division, the definitions found in </w:t>
      </w:r>
      <w:hyperlink r:id="rId88">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567—102.203</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Landfarming application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PCS shall not be landfarmed without a solid waste management permit for landfarm application from the department pursuant to </w:t>
      </w:r>
      <w:hyperlink r:id="rId89">
        <w:r>
          <w:rPr>
            <w:rStyle w:val="Hyperlink"/>
            <w:rFonts w:ascii="Times New Roman" w:hAnsi="Times New Roman"/>
            <w:b w:val="false"/>
            <w:i w:val="false"/>
            <w:color w:val="000000"/>
            <w:sz w:val="22"/>
          </w:rPr>
          <w:t>567—subrule 100.4(2)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102.203(2)</w:t>
      </w:r>
      <w:r>
        <w:rPr>
          <w:rFonts w:ascii="Times New Roman" w:hAnsi="Times New Roman"/>
          <w:b w:val="false"/>
          <w:i w:val="false"/>
          <w:color w:val="000000"/>
          <w:sz w:val="22"/>
        </w:rPr>
        <w:t> </w:t>
      </w:r>
      <w:r>
        <w:rPr>
          <w:rFonts w:ascii="Times New Roman" w:hAnsi="Times New Roman"/>
          <w:b w:val="false"/>
          <w:i/>
          <w:color w:val="000000"/>
          <w:sz w:val="22"/>
        </w:rPr>
        <w:t xml:space="preserve">Landfarm application permit. </w:t>
      </w:r>
      <w:r>
        <w:rPr>
          <w:rFonts w:ascii="Times New Roman" w:hAnsi="Times New Roman"/>
          <w:b w:val="false"/>
          <w:i w:val="false"/>
          <w:color w:val="000000"/>
          <w:sz w:val="22"/>
        </w:rPr>
        <w:t xml:space="preserve">Upon issuance of a landfarm application permit, the permit holder is authorized to apply PCS to the land to create one or more landfarms. This permit requires that landfarms be used for only one application of a particular source and type of PCS. This permit requires that no other PCS be applied within 15 feet of the area of land used as a landfarm until the landfarm is closed pursuant to </w:t>
      </w:r>
      <w:hyperlink r:id="rId90">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102.203(3)</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operation. </w:t>
      </w:r>
      <w:r>
        <w:rPr>
          <w:rFonts w:ascii="Times New Roman" w:hAnsi="Times New Roman"/>
          <w:b w:val="false"/>
          <w:i w:val="false"/>
          <w:color w:val="000000"/>
          <w:sz w:val="22"/>
        </w:rPr>
        <w:t>Landfarms shall be constructed and operated according to these rules, any plans and specifications approved by the department, and the conditions of the permit. Any approved plans and specifications shall constitute a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102.203(4)</w:t>
      </w:r>
      <w:r>
        <w:rPr>
          <w:rFonts w:ascii="Times New Roman" w:hAnsi="Times New Roman"/>
          <w:b w:val="false"/>
          <w:i w:val="false"/>
          <w:color w:val="000000"/>
          <w:sz w:val="22"/>
        </w:rPr>
        <w:t> </w:t>
      </w:r>
      <w:r>
        <w:rPr>
          <w:rFonts w:ascii="Times New Roman" w:hAnsi="Times New Roman"/>
          <w:b w:val="false"/>
          <w:i/>
          <w:color w:val="000000"/>
          <w:sz w:val="22"/>
        </w:rPr>
        <w:t xml:space="preserve">Duration of permits. </w:t>
      </w:r>
      <w:r>
        <w:rPr>
          <w:rFonts w:ascii="Times New Roman" w:hAnsi="Times New Roman"/>
          <w:b w:val="false"/>
          <w:i w:val="false"/>
          <w:color w:val="000000"/>
          <w:sz w:val="22"/>
        </w:rPr>
        <w:t>Landfarm application permits shall be issued and may be renewed for a three-year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567—102.204</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information. </w:t>
      </w:r>
      <w:r>
        <w:rPr>
          <w:rFonts w:ascii="Times New Roman" w:hAnsi="Times New Roman"/>
          <w:b w:val="false"/>
          <w:i w:val="false"/>
          <w:color w:val="000000"/>
          <w:sz w:val="22"/>
        </w:rPr>
        <w:t xml:space="preserve">To apply for a landfarm application permit, the applicant shall submit the following information to the department in addition to the requirements of </w:t>
      </w:r>
      <w:hyperlink r:id="rId91">
        <w:r>
          <w:rPr>
            <w:rStyle w:val="Hyperlink"/>
            <w:rFonts w:ascii="Times New Roman" w:hAnsi="Times New Roman"/>
            <w:b w:val="false"/>
            <w:i w:val="false"/>
            <w:color w:val="000000"/>
            <w:sz w:val="22"/>
          </w:rPr>
          <w:t>567—subrule 100.5(1)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102.204(1)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 responsible for recordkeeping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102.204(2)</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of operations that complies with the requirements of </w:t>
      </w:r>
      <w:hyperlink r:id="rId92">
        <w:r>
          <w:rPr>
            <w:rStyle w:val="Hyperlink"/>
            <w:rFonts w:ascii="Times New Roman" w:hAnsi="Times New Roman"/>
            <w:b w:val="false"/>
            <w:i w:val="false"/>
            <w:color w:val="000000"/>
            <w:sz w:val="22"/>
          </w:rPr>
          <w:t>567—102.208</w:t>
        </w:r>
      </w:hyperlink>
      <w:r>
        <w:rPr>
          <w:rFonts w:ascii="Times New Roman" w:hAnsi="Times New Roman"/>
          <w:b w:val="false"/>
          <w:i w:val="false"/>
          <w:color w:val="000000"/>
          <w:sz w:val="22"/>
        </w:rPr>
        <w:t xml:space="preserve">(455B) and </w:t>
      </w:r>
      <w:hyperlink r:id="rId93">
        <w:r>
          <w:rPr>
            <w:rStyle w:val="Hyperlink"/>
            <w:rFonts w:ascii="Times New Roman" w:hAnsi="Times New Roman"/>
            <w:b w:val="false"/>
            <w:i w:val="false"/>
            <w:color w:val="000000"/>
            <w:sz w:val="22"/>
          </w:rPr>
          <w:t>567—102.210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102.204(3)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(ERRAP) pursuant to </w:t>
      </w:r>
      <w:hyperlink r:id="rId94">
        <w:r>
          <w:rPr>
            <w:rStyle w:val="Hyperlink"/>
            <w:rFonts w:ascii="Times New Roman" w:hAnsi="Times New Roman"/>
            <w:b w:val="false"/>
            <w:i w:val="false"/>
            <w:color w:val="000000"/>
            <w:sz w:val="22"/>
          </w:rPr>
          <w:t>567—102.209</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567—102.205</w:t>
      </w:r>
      <w:r>
        <w:rPr>
          <w:rFonts w:ascii="Times New Roman" w:hAnsi="Times New Roman"/>
          <w:b/>
          <w:i w:val="false"/>
          <w:color w:val="000000"/>
          <w:sz w:val="22"/>
        </w:rPr>
        <w:t xml:space="preserve">(455B) </w:t>
      </w:r>
      <w:r>
        <w:rPr>
          <w:rFonts w:ascii="Times New Roman" w:hAnsi="Times New Roman"/>
          <w:b/>
          <w:i w:val="false"/>
          <w:color w:val="000000"/>
          <w:sz w:val="22"/>
        </w:rPr>
        <w:t xml:space="preserve">PCS analysis and characterization.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102.205(1)</w:t>
      </w:r>
      <w:r>
        <w:rPr>
          <w:rFonts w:ascii="Times New Roman" w:hAnsi="Times New Roman"/>
          <w:b w:val="false"/>
          <w:i w:val="false"/>
          <w:color w:val="000000"/>
          <w:sz w:val="22"/>
        </w:rPr>
        <w:t> </w:t>
      </w:r>
      <w:r>
        <w:rPr>
          <w:rFonts w:ascii="Times New Roman" w:hAnsi="Times New Roman"/>
          <w:b w:val="false"/>
          <w:i/>
          <w:color w:val="000000"/>
          <w:sz w:val="22"/>
        </w:rPr>
        <w:t xml:space="preserve"> Source identification. </w:t>
      </w:r>
      <w:r>
        <w:rPr>
          <w:rFonts w:ascii="Times New Roman" w:hAnsi="Times New Roman"/>
          <w:b w:val="false"/>
          <w:i w:val="false"/>
          <w:color w:val="000000"/>
          <w:sz w:val="22"/>
        </w:rPr>
        <w:t>The name and address of the contaminated site from which the PCS originated and the spill or underground storage tank (UST) registration number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102.205(2)</w:t>
      </w:r>
      <w:r>
        <w:rPr>
          <w:rFonts w:ascii="Times New Roman" w:hAnsi="Times New Roman"/>
          <w:b w:val="false"/>
          <w:i w:val="false"/>
          <w:color w:val="000000"/>
          <w:sz w:val="22"/>
        </w:rPr>
        <w:t> </w:t>
      </w:r>
      <w:r>
        <w:rPr>
          <w:rFonts w:ascii="Times New Roman" w:hAnsi="Times New Roman"/>
          <w:b w:val="false"/>
          <w:i/>
          <w:color w:val="000000"/>
          <w:sz w:val="22"/>
        </w:rPr>
        <w:t xml:space="preserve">Type classification. </w:t>
      </w:r>
      <w:r>
        <w:rPr>
          <w:rFonts w:ascii="Times New Roman" w:hAnsi="Times New Roman"/>
          <w:b w:val="false"/>
          <w:i w:val="false"/>
          <w:color w:val="000000"/>
          <w:sz w:val="22"/>
        </w:rPr>
        <w:t>The PCS shall be classified by type according to the petroleum product’s trade name (e.g., gasoline, diesel fuel) or according to the trade names if there is a mixture of petroleum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102.205(3)</w:t>
      </w:r>
      <w:r>
        <w:rPr>
          <w:rFonts w:ascii="Times New Roman" w:hAnsi="Times New Roman"/>
          <w:b w:val="false"/>
          <w:i w:val="false"/>
          <w:color w:val="000000"/>
          <w:sz w:val="22"/>
        </w:rPr>
        <w:t> </w:t>
      </w:r>
      <w:r>
        <w:rPr>
          <w:rFonts w:ascii="Times New Roman" w:hAnsi="Times New Roman"/>
          <w:b w:val="false"/>
          <w:i/>
          <w:color w:val="000000"/>
          <w:sz w:val="22"/>
        </w:rPr>
        <w:t xml:space="preserve">Chemical testing. </w:t>
      </w:r>
      <w:r>
        <w:rPr>
          <w:rFonts w:ascii="Times New Roman" w:hAnsi="Times New Roman"/>
          <w:b w:val="false"/>
          <w:i w:val="false"/>
          <w:color w:val="000000"/>
          <w:sz w:val="22"/>
        </w:rPr>
        <w:t>The following analyses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Benzene, toluene, ethylbenzene, and xylene (BTEX) testing. The PCS shall be tested for BTEX.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Total extractable hydrocarbons as diesel (TEH-diesel) testing. The PCS shall be tested for TEH-diesel.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metals testing. If the history of the petroleum-contaminated site is known to have included solvents, batteries, leaded fuel, waste oil, or a gas station in operation prior to 1985, then the PCS shall be tested for total Resource Conservation and Recovery Act (RCRA) metals.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102.205(4)</w:t>
      </w:r>
      <w:r>
        <w:rPr>
          <w:rFonts w:ascii="Times New Roman" w:hAnsi="Times New Roman"/>
          <w:b w:val="false"/>
          <w:i w:val="false"/>
          <w:color w:val="000000"/>
          <w:sz w:val="22"/>
        </w:rPr>
        <w:t> </w:t>
      </w:r>
      <w:r>
        <w:rPr>
          <w:rFonts w:ascii="Times New Roman" w:hAnsi="Times New Roman"/>
          <w:b w:val="false"/>
          <w:i/>
          <w:color w:val="000000"/>
          <w:sz w:val="22"/>
        </w:rPr>
        <w:t xml:space="preserve">Department-supervised emergency cleanups. </w:t>
      </w:r>
      <w:r>
        <w:rPr>
          <w:rFonts w:ascii="Times New Roman" w:hAnsi="Times New Roman"/>
          <w:b w:val="false"/>
          <w:i w:val="false"/>
          <w:color w:val="000000"/>
          <w:sz w:val="22"/>
        </w:rPr>
        <w:t xml:space="preserve">PCS originating from the cleanup of a spill or expedited over-excavation at a tank closure or upgrade under department jurisdiction shall be characterized and tested as follows before being landfarmed. Such PCS may be landfarmed prior to chemical testing, pursuant to the application rate in </w:t>
      </w:r>
      <w:hyperlink r:id="rId95">
        <w:r>
          <w:rPr>
            <w:rStyle w:val="Hyperlink"/>
            <w:rFonts w:ascii="Times New Roman" w:hAnsi="Times New Roman"/>
            <w:b w:val="false"/>
            <w:i w:val="false"/>
            <w:color w:val="000000"/>
            <w:sz w:val="22"/>
          </w:rPr>
          <w:t>102.208(7)</w:t>
        </w:r>
      </w:hyperlink>
      <w:r>
        <w:rPr>
          <w:rFonts w:ascii="Times New Roman" w:hAnsi="Times New Roman"/>
          <w:b w:val="false"/>
          <w:i w:val="false"/>
          <w:color w:val="000000"/>
          <w:sz w:val="22"/>
        </w:rPr>
        <w:t xml:space="preserve"> and reporting requirements of </w:t>
      </w:r>
      <w:hyperlink r:id="rId96">
        <w:r>
          <w:rPr>
            <w:rStyle w:val="Hyperlink"/>
            <w:rFonts w:ascii="Times New Roman" w:hAnsi="Times New Roman"/>
            <w:b w:val="false"/>
            <w:i w:val="false"/>
            <w:color w:val="000000"/>
            <w:sz w:val="22"/>
          </w:rPr>
          <w:t>567—102.210</w:t>
        </w:r>
      </w:hyperlink>
      <w:r>
        <w:rPr>
          <w:rFonts w:ascii="Times New Roman" w:hAnsi="Times New Roman"/>
          <w:b w:val="false"/>
          <w:i w:val="false"/>
          <w:color w:val="000000"/>
          <w:sz w:val="22"/>
        </w:rPr>
        <w:t>(455B), if permission is obtained from department emergency response personnel or the department field office with jurisdiction over the landfarm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102.205(5)</w:t>
      </w:r>
      <w:r>
        <w:rPr>
          <w:rFonts w:ascii="Times New Roman" w:hAnsi="Times New Roman"/>
          <w:b w:val="false"/>
          <w:i w:val="false"/>
          <w:color w:val="000000"/>
          <w:sz w:val="22"/>
        </w:rPr>
        <w:t> </w:t>
      </w:r>
      <w:r>
        <w:rPr>
          <w:rFonts w:ascii="Times New Roman" w:hAnsi="Times New Roman"/>
          <w:b w:val="false"/>
          <w:i/>
          <w:color w:val="000000"/>
          <w:sz w:val="22"/>
        </w:rPr>
        <w:t xml:space="preserve">Other cleanups. </w:t>
      </w:r>
      <w:r>
        <w:rPr>
          <w:rFonts w:ascii="Times New Roman" w:hAnsi="Times New Roman"/>
          <w:b w:val="false"/>
          <w:i w:val="false"/>
          <w:color w:val="000000"/>
          <w:sz w:val="22"/>
        </w:rPr>
        <w:t xml:space="preserve">PCS not originating from a department-supervised emergency cleanup pursuant to </w:t>
      </w:r>
      <w:hyperlink r:id="rId97">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xml:space="preserve"> shall be characterized and tested as follows before being landfarmed. PCS originating from a cleanup pursuant to </w:t>
      </w:r>
      <w:hyperlink r:id="rId9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may utilize those test results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102.205(6)</w:t>
      </w:r>
      <w:r>
        <w:rPr>
          <w:rFonts w:ascii="Times New Roman" w:hAnsi="Times New Roman"/>
          <w:b w:val="false"/>
          <w:i w:val="false"/>
          <w:color w:val="000000"/>
          <w:sz w:val="22"/>
        </w:rPr>
        <w:t> </w:t>
      </w:r>
      <w:r>
        <w:rPr>
          <w:rFonts w:ascii="Times New Roman" w:hAnsi="Times New Roman"/>
          <w:b w:val="false"/>
          <w:i/>
          <w:color w:val="000000"/>
          <w:sz w:val="22"/>
        </w:rPr>
        <w:t xml:space="preserve">Tar balls. </w:t>
      </w:r>
      <w:r>
        <w:rPr>
          <w:rFonts w:ascii="Times New Roman" w:hAnsi="Times New Roman"/>
          <w:b w:val="false"/>
          <w:i w:val="false"/>
          <w:color w:val="000000"/>
          <w:sz w:val="22"/>
        </w:rPr>
        <w:t>PCS that has the potential to produce tar balls shall not be landfarmed. Such PCS may be disposed of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102.205(7)</w:t>
      </w:r>
      <w:r>
        <w:rPr>
          <w:rFonts w:ascii="Times New Roman" w:hAnsi="Times New Roman"/>
          <w:b w:val="false"/>
          <w:i w:val="false"/>
          <w:color w:val="000000"/>
          <w:sz w:val="22"/>
        </w:rPr>
        <w:t> </w:t>
      </w:r>
      <w:r>
        <w:rPr>
          <w:rFonts w:ascii="Times New Roman" w:hAnsi="Times New Roman"/>
          <w:b w:val="false"/>
          <w:i/>
          <w:color w:val="000000"/>
          <w:sz w:val="22"/>
        </w:rPr>
        <w:t xml:space="preserve">Other tests. </w:t>
      </w:r>
      <w:r>
        <w:rPr>
          <w:rFonts w:ascii="Times New Roman" w:hAnsi="Times New Roman"/>
          <w:b w:val="false"/>
          <w:i w:val="false"/>
          <w:color w:val="000000"/>
          <w:sz w:val="22"/>
        </w:rPr>
        <w:t>The department may require testing of the PCS for other chemicals of concern.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567—102.206</w:t>
      </w:r>
      <w:r>
        <w:rPr>
          <w:rFonts w:ascii="Times New Roman" w:hAnsi="Times New Roman"/>
          <w:b/>
          <w:i w:val="false"/>
          <w:color w:val="000000"/>
          <w:sz w:val="22"/>
        </w:rPr>
        <w:t xml:space="preserve">(455B) </w:t>
      </w:r>
      <w:r>
        <w:rPr>
          <w:rFonts w:ascii="Times New Roman" w:hAnsi="Times New Roman"/>
          <w:b/>
          <w:i w:val="false"/>
          <w:color w:val="000000"/>
          <w:sz w:val="22"/>
        </w:rPr>
        <w:t xml:space="preserve">Site exploration and suitability requirements for landfarms. </w:t>
      </w:r>
      <w:r>
        <w:rPr>
          <w:rFonts w:ascii="Times New Roman" w:hAnsi="Times New Roman"/>
          <w:b w:val="false"/>
          <w:i w:val="false"/>
          <w:color w:val="000000"/>
          <w:sz w:val="22"/>
        </w:rPr>
        <w:t>All landfarms shall meet the following site exploration and suitability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102.206(1)</w:t>
      </w:r>
      <w:r>
        <w:rPr>
          <w:rFonts w:ascii="Times New Roman" w:hAnsi="Times New Roman"/>
          <w:b w:val="false"/>
          <w:i w:val="false"/>
          <w:color w:val="000000"/>
          <w:sz w:val="22"/>
        </w:rPr>
        <w:t> </w:t>
      </w:r>
      <w:r>
        <w:rPr>
          <w:rFonts w:ascii="Times New Roman" w:hAnsi="Times New Roman"/>
          <w:b w:val="false"/>
          <w:i/>
          <w:color w:val="000000"/>
          <w:sz w:val="22"/>
        </w:rPr>
        <w:t xml:space="preserve">Previous use. </w:t>
      </w:r>
      <w:r>
        <w:rPr>
          <w:rFonts w:ascii="Times New Roman" w:hAnsi="Times New Roman"/>
          <w:b w:val="false"/>
          <w:i w:val="false"/>
          <w:color w:val="000000"/>
          <w:sz w:val="22"/>
        </w:rPr>
        <w:t>The landfarm applicator shall obtain written confirmation from the site owner of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any other landfarm created in the past three years within 15 feet of the proposed landfarm plot has been closed pursuant to </w:t>
      </w:r>
      <w:hyperlink r:id="rId99">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no area within 15 feet of the proposed landfarm plot has been used as a landfarm in the past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102.206(2)</w:t>
      </w:r>
      <w:r>
        <w:rPr>
          <w:rFonts w:ascii="Times New Roman" w:hAnsi="Times New Roman"/>
          <w:b w:val="false"/>
          <w:i w:val="false"/>
          <w:color w:val="000000"/>
          <w:sz w:val="22"/>
        </w:rPr>
        <w:t> </w:t>
      </w:r>
      <w:r>
        <w:rPr>
          <w:rFonts w:ascii="Times New Roman" w:hAnsi="Times New Roman"/>
          <w:b w:val="false"/>
          <w:i/>
          <w:color w:val="000000"/>
          <w:sz w:val="22"/>
        </w:rPr>
        <w:t xml:space="preserve">Wells. </w:t>
      </w:r>
      <w:r>
        <w:rPr>
          <w:rFonts w:ascii="Times New Roman" w:hAnsi="Times New Roman"/>
          <w:b w:val="false"/>
          <w:i w:val="false"/>
          <w:color w:val="000000"/>
          <w:sz w:val="22"/>
        </w:rPr>
        <w:t>PCS shall not be landfarmed or stored within 500 feet of a well that is being used or could be used for human or livestock consumption. The department may also exempt from this requirement extraction wells utilized as part of a remediation system. PCS shall not be landfarmed or stored within 500 feet of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102.206(3)</w:t>
      </w:r>
      <w:r>
        <w:rPr>
          <w:rFonts w:ascii="Times New Roman" w:hAnsi="Times New Roman"/>
          <w:b w:val="false"/>
          <w:i w:val="false"/>
          <w:color w:val="000000"/>
          <w:sz w:val="22"/>
        </w:rPr>
        <w:t> </w:t>
      </w:r>
      <w:r>
        <w:rPr>
          <w:rFonts w:ascii="Times New Roman" w:hAnsi="Times New Roman"/>
          <w:b w:val="false"/>
          <w:i/>
          <w:color w:val="000000"/>
          <w:sz w:val="22"/>
        </w:rPr>
        <w:t xml:space="preserve">Sinkholes. </w:t>
      </w:r>
      <w:r>
        <w:rPr>
          <w:rFonts w:ascii="Times New Roman" w:hAnsi="Times New Roman"/>
          <w:b w:val="false"/>
          <w:i w:val="false"/>
          <w:color w:val="000000"/>
          <w:sz w:val="22"/>
        </w:rPr>
        <w:t>PCS shall not be landfarmed or stored within 500 feet of a sinkhole.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102.206(4)</w:t>
      </w:r>
      <w:r>
        <w:rPr>
          <w:rFonts w:ascii="Times New Roman" w:hAnsi="Times New Roman"/>
          <w:b w:val="false"/>
          <w:i w:val="false"/>
          <w:color w:val="000000"/>
          <w:sz w:val="22"/>
        </w:rPr>
        <w:t> </w:t>
      </w:r>
      <w:r>
        <w:rPr>
          <w:rFonts w:ascii="Times New Roman" w:hAnsi="Times New Roman"/>
          <w:b w:val="false"/>
          <w:i/>
          <w:color w:val="000000"/>
          <w:sz w:val="22"/>
        </w:rPr>
        <w:t xml:space="preserve">Surface waters of the state. </w:t>
      </w:r>
      <w:r>
        <w:rPr>
          <w:rFonts w:ascii="Times New Roman" w:hAnsi="Times New Roman"/>
          <w:b w:val="false"/>
          <w:i w:val="false"/>
          <w:color w:val="000000"/>
          <w:sz w:val="22"/>
        </w:rPr>
        <w:t>PCS shall not be landfarmed or stored within 200 feet of a stream, lake, pond, wetland, or other surface water of the state. The department may waive the setback requirement for surface waters that have been constructed for pollution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102.206(5)</w:t>
      </w:r>
      <w:r>
        <w:rPr>
          <w:rFonts w:ascii="Times New Roman" w:hAnsi="Times New Roman"/>
          <w:b w:val="false"/>
          <w:i w:val="false"/>
          <w:color w:val="000000"/>
          <w:sz w:val="22"/>
        </w:rPr>
        <w:t> </w:t>
      </w:r>
      <w:r>
        <w:rPr>
          <w:rFonts w:ascii="Times New Roman" w:hAnsi="Times New Roman"/>
          <w:b w:val="false"/>
          <w:i/>
          <w:color w:val="000000"/>
          <w:sz w:val="22"/>
        </w:rPr>
        <w:t xml:space="preserve">Tile lines. </w:t>
      </w:r>
      <w:r>
        <w:rPr>
          <w:rFonts w:ascii="Times New Roman" w:hAnsi="Times New Roman"/>
          <w:b w:val="false"/>
          <w:i w:val="false"/>
          <w:color w:val="000000"/>
          <w:sz w:val="22"/>
        </w:rPr>
        <w:t>PCS shall not be landfarmed or stored within 200 feet of a tile line surface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102.206(6)</w:t>
      </w:r>
      <w:r>
        <w:rPr>
          <w:rFonts w:ascii="Times New Roman" w:hAnsi="Times New Roman"/>
          <w:b w:val="false"/>
          <w:i w:val="false"/>
          <w:color w:val="000000"/>
          <w:sz w:val="22"/>
        </w:rPr>
        <w:t> </w:t>
      </w:r>
      <w:r>
        <w:rPr>
          <w:rFonts w:ascii="Times New Roman" w:hAnsi="Times New Roman"/>
          <w:b w:val="false"/>
          <w:i/>
          <w:color w:val="000000"/>
          <w:sz w:val="22"/>
        </w:rPr>
        <w:t xml:space="preserve">Housing and sensitive populations. </w:t>
      </w:r>
      <w:r>
        <w:rPr>
          <w:rFonts w:ascii="Times New Roman" w:hAnsi="Times New Roman"/>
          <w:b w:val="false"/>
          <w:i w:val="false"/>
          <w:color w:val="000000"/>
          <w:sz w:val="22"/>
        </w:rPr>
        <w:t>PCS shall not be landfarmed or stored within 200 feet of an occupied residence, recreational area, child care facility, educational facility,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102.206(7)</w:t>
      </w:r>
      <w:r>
        <w:rPr>
          <w:rFonts w:ascii="Times New Roman" w:hAnsi="Times New Roman"/>
          <w:b w:val="false"/>
          <w:i w:val="false"/>
          <w:color w:val="000000"/>
          <w:sz w:val="22"/>
        </w:rPr>
        <w:t> </w:t>
      </w:r>
      <w:r>
        <w:rPr>
          <w:rFonts w:ascii="Times New Roman" w:hAnsi="Times New Roman"/>
          <w:b w:val="false"/>
          <w:i/>
          <w:color w:val="000000"/>
          <w:sz w:val="22"/>
        </w:rPr>
        <w:t xml:space="preserve">Floodplains. </w:t>
      </w:r>
      <w:r>
        <w:rPr>
          <w:rFonts w:ascii="Times New Roman" w:hAnsi="Times New Roman"/>
          <w:b w:val="false"/>
          <w:i w:val="false"/>
          <w:color w:val="000000"/>
          <w:sz w:val="22"/>
        </w:rPr>
        <w:t>PCS shall not be landfarmed or stored within a 100-year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102.206(8)</w:t>
      </w:r>
      <w:r>
        <w:rPr>
          <w:rFonts w:ascii="Times New Roman" w:hAnsi="Times New Roman"/>
          <w:b w:val="false"/>
          <w:i w:val="false"/>
          <w:color w:val="000000"/>
          <w:sz w:val="22"/>
        </w:rPr>
        <w:t> </w:t>
      </w:r>
      <w:r>
        <w:rPr>
          <w:rFonts w:ascii="Times New Roman" w:hAnsi="Times New Roman"/>
          <w:b w:val="false"/>
          <w:i/>
          <w:color w:val="000000"/>
          <w:sz w:val="22"/>
        </w:rPr>
        <w:t xml:space="preserve">Slope. </w:t>
      </w:r>
      <w:r>
        <w:rPr>
          <w:rFonts w:ascii="Times New Roman" w:hAnsi="Times New Roman"/>
          <w:b w:val="false"/>
          <w:i w:val="false"/>
          <w:color w:val="000000"/>
          <w:sz w:val="22"/>
        </w:rPr>
        <w:t>PCS shall not be landfarmed or stored on slopes greater than 5 percent. This requirement may be satisfied by utilizing USDA soil maps.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102.206(9)</w:t>
      </w:r>
      <w:r>
        <w:rPr>
          <w:rFonts w:ascii="Times New Roman" w:hAnsi="Times New Roman"/>
          <w:b w:val="false"/>
          <w:i w:val="false"/>
          <w:color w:val="000000"/>
          <w:sz w:val="22"/>
        </w:rPr>
        <w:t> </w:t>
      </w:r>
      <w:r>
        <w:rPr>
          <w:rFonts w:ascii="Times New Roman" w:hAnsi="Times New Roman"/>
          <w:b w:val="false"/>
          <w:i/>
          <w:color w:val="000000"/>
          <w:sz w:val="22"/>
        </w:rPr>
        <w:t xml:space="preserve">Soil properties for landfarm plot. </w:t>
      </w:r>
      <w:r>
        <w:rPr>
          <w:rFonts w:ascii="Times New Roman" w:hAnsi="Times New Roman"/>
          <w:b w:val="false"/>
          <w:i w:val="false"/>
          <w:color w:val="000000"/>
          <w:sz w:val="22"/>
        </w:rPr>
        <w:t>All soils in the landfarm plot of the landfarm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USDA textural soil classification. </w:t>
      </w:r>
      <w:r>
        <w:rPr>
          <w:rFonts w:ascii="Times New Roman" w:hAnsi="Times New Roman"/>
          <w:b w:val="false"/>
          <w:i w:val="false"/>
          <w:color w:val="000000"/>
          <w:sz w:val="22"/>
        </w:rPr>
        <w:t>Soils in the landfarm plot of landfarms shall be clay, sandy clay, sandy clay loam, sandy loam, silty clay, silty clay loam, clay loam, loam, or silt loam as classified by the USDA Textural Classification Chart for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Stones and debris. </w:t>
      </w:r>
      <w:r>
        <w:rPr>
          <w:rFonts w:ascii="Times New Roman" w:hAnsi="Times New Roman"/>
          <w:b w:val="false"/>
          <w:i w:val="false"/>
          <w:color w:val="000000"/>
          <w:sz w:val="22"/>
        </w:rPr>
        <w:t>Soils in the landfarm plot shall be free of stones and debris larger than four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pH. </w:t>
      </w:r>
      <w:r>
        <w:rPr>
          <w:rFonts w:ascii="Times New Roman" w:hAnsi="Times New Roman"/>
          <w:b w:val="false"/>
          <w:i w:val="false"/>
          <w:color w:val="000000"/>
          <w:sz w:val="22"/>
        </w:rPr>
        <w:t>Soils in the landfarm plot shall have a pH greater than or equal to 6 and less than or equal to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Bedrock separation. </w:t>
      </w:r>
      <w:r>
        <w:rPr>
          <w:rFonts w:ascii="Times New Roman" w:hAnsi="Times New Roman"/>
          <w:b w:val="false"/>
          <w:i w:val="false"/>
          <w:color w:val="000000"/>
          <w:sz w:val="22"/>
        </w:rPr>
        <w:t>The landfarm plot shall have a minimum of six feet of soil over bedrock.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567—102.207</w:t>
      </w:r>
      <w:r>
        <w:rPr>
          <w:rFonts w:ascii="Times New Roman" w:hAnsi="Times New Roman"/>
          <w:b/>
          <w:i w:val="false"/>
          <w:color w:val="000000"/>
          <w:sz w:val="22"/>
        </w:rPr>
        <w:t xml:space="preserve">(455B) </w:t>
      </w:r>
      <w:r>
        <w:rPr>
          <w:rFonts w:ascii="Times New Roman" w:hAnsi="Times New Roman"/>
          <w:b/>
          <w:i w:val="false"/>
          <w:color w:val="000000"/>
          <w:sz w:val="22"/>
        </w:rPr>
        <w:t xml:space="preserve">PCS storage areas. </w:t>
      </w:r>
      <w:r>
        <w:rPr>
          <w:rFonts w:ascii="Times New Roman" w:hAnsi="Times New Roman"/>
          <w:b w:val="false"/>
          <w:i w:val="false"/>
          <w:color w:val="000000"/>
          <w:sz w:val="22"/>
        </w:rPr>
        <w:t>PCS shall be stored on an impervious surface, under a roof of tarp to minimize the infiltration of precipitation, or in an area with minimal potential for stormwater run-on.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567—102.208</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 operating requirements. </w:t>
      </w:r>
      <w:r>
        <w:rPr>
          <w:rFonts w:ascii="Times New Roman" w:hAnsi="Times New Roman"/>
          <w:b w:val="false"/>
          <w:i w:val="false"/>
          <w:color w:val="000000"/>
          <w:sz w:val="22"/>
        </w:rPr>
        <w:t>All landfarms shall comply with the following operating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w:t>
      </w:r>
      <w:r>
        <w:rPr>
          <w:rFonts w:ascii="Times New Roman" w:hAnsi="Times New Roman"/>
          <w:b w:val="false"/>
          <w:i w:val="false"/>
          <w:color w:val="000000"/>
          <w:sz w:val="22"/>
        </w:rPr>
        <w:t> </w:t>
      </w:r>
      <w:r>
        <w:rPr>
          <w:rFonts w:ascii="Times New Roman" w:hAnsi="Times New Roman"/>
          <w:b w:val="false"/>
          <w:i/>
          <w:color w:val="000000"/>
          <w:sz w:val="22"/>
        </w:rPr>
        <w:t xml:space="preserve">Standard PCS. </w:t>
      </w:r>
      <w:r>
        <w:rPr>
          <w:rFonts w:ascii="Times New Roman" w:hAnsi="Times New Roman"/>
          <w:b w:val="false"/>
          <w:i w:val="false"/>
          <w:color w:val="000000"/>
          <w:sz w:val="22"/>
        </w:rPr>
        <w:t>Only standard PCS may be land applied or stored at a landfarm without a permit amendment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102.208(2)</w:t>
      </w:r>
      <w:r>
        <w:rPr>
          <w:rFonts w:ascii="Times New Roman" w:hAnsi="Times New Roman"/>
          <w:b w:val="false"/>
          <w:i w:val="false"/>
          <w:color w:val="000000"/>
          <w:sz w:val="22"/>
        </w:rPr>
        <w:t> </w:t>
      </w:r>
      <w:r>
        <w:rPr>
          <w:rFonts w:ascii="Times New Roman" w:hAnsi="Times New Roman"/>
          <w:b w:val="false"/>
          <w:i/>
          <w:color w:val="000000"/>
          <w:sz w:val="22"/>
        </w:rPr>
        <w:t xml:space="preserve">Nonstandard PCS. </w:t>
      </w:r>
      <w:r>
        <w:rPr>
          <w:rFonts w:ascii="Times New Roman" w:hAnsi="Times New Roman"/>
          <w:b w:val="false"/>
          <w:i w:val="false"/>
          <w:color w:val="000000"/>
          <w:sz w:val="22"/>
        </w:rPr>
        <w:t xml:space="preserve">A permit amendment from the department, pursuant to </w:t>
      </w:r>
      <w:hyperlink r:id="rId100">
        <w:r>
          <w:rPr>
            <w:rStyle w:val="Hyperlink"/>
            <w:rFonts w:ascii="Times New Roman" w:hAnsi="Times New Roman"/>
            <w:b w:val="false"/>
            <w:i w:val="false"/>
            <w:color w:val="000000"/>
            <w:sz w:val="22"/>
          </w:rPr>
          <w:t>567—subrule 100.5(4)</w:t>
        </w:r>
      </w:hyperlink>
      <w:r>
        <w:rPr>
          <w:rFonts w:ascii="Times New Roman" w:hAnsi="Times New Roman"/>
          <w:b w:val="false"/>
          <w:i w:val="false"/>
          <w:color w:val="000000"/>
          <w:sz w:val="22"/>
        </w:rPr>
        <w:t xml:space="preserve"> shall be obtained for each particular source and type of nonstandard PCS before that PCS may be land applied or stored at a landfarm. The permit amendment application shall include a justification of how the PCS can be safely and effectively remediated by landfarming.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102.208(3)</w:t>
      </w:r>
      <w:r>
        <w:rPr>
          <w:rFonts w:ascii="Times New Roman" w:hAnsi="Times New Roman"/>
          <w:b w:val="false"/>
          <w:i w:val="false"/>
          <w:color w:val="000000"/>
          <w:sz w:val="22"/>
        </w:rPr>
        <w:t> </w:t>
      </w:r>
      <w:r>
        <w:rPr>
          <w:rFonts w:ascii="Times New Roman" w:hAnsi="Times New Roman"/>
          <w:b w:val="false"/>
          <w:i/>
          <w:color w:val="000000"/>
          <w:sz w:val="22"/>
        </w:rPr>
        <w:t xml:space="preserve">Saturated or slurry PCS. </w:t>
      </w:r>
      <w:r>
        <w:rPr>
          <w:rFonts w:ascii="Times New Roman" w:hAnsi="Times New Roman"/>
          <w:b w:val="false"/>
          <w:i w:val="false"/>
          <w:color w:val="000000"/>
          <w:sz w:val="22"/>
        </w:rPr>
        <w:t>PCS in a saturated or slurry condition shall not be applied to the land or stored at a landfarm. PCS in such a condition shall be bulked with other biodegradable materials (e.g., compost, mulch) until it is no longer saturated or in a slurry before it is applied to the land or stored at a landfarm.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102.208(4)</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 xml:space="preserve">PCS shall be stored during the non-landfarm season, except as allowed by </w:t>
      </w:r>
      <w:hyperlink r:id="rId101">
        <w:r>
          <w:rPr>
            <w:rStyle w:val="Hyperlink"/>
            <w:rFonts w:ascii="Times New Roman" w:hAnsi="Times New Roman"/>
            <w:b w:val="false"/>
            <w:i w:val="false"/>
            <w:color w:val="000000"/>
            <w:sz w:val="22"/>
          </w:rPr>
          <w:t>102.208(4)</w:t>
        </w:r>
      </w:hyperlink>
      <w:r>
        <w:rPr>
          <w:rFonts w:ascii="Times New Roman" w:hAnsi="Times New Roman"/>
          <w:b w:val="false"/>
          <w:i w:val="false"/>
          <w:color w:val="000000"/>
          <w:sz w:val="22"/>
        </w:rPr>
        <w:t>. PCS may be stored for up to seven days during landfarm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102.208(5)</w:t>
      </w:r>
      <w:r>
        <w:rPr>
          <w:rFonts w:ascii="Times New Roman" w:hAnsi="Times New Roman"/>
          <w:b w:val="false"/>
          <w:i w:val="false"/>
          <w:color w:val="000000"/>
          <w:sz w:val="22"/>
        </w:rPr>
        <w:t> </w:t>
      </w:r>
      <w:r>
        <w:rPr>
          <w:rFonts w:ascii="Times New Roman" w:hAnsi="Times New Roman"/>
          <w:b w:val="false"/>
          <w:i/>
          <w:color w:val="000000"/>
          <w:sz w:val="22"/>
        </w:rPr>
        <w:t xml:space="preserve">Non-landfarm season.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PCS shall only be applied to the land during non-landfarm season if the PCS must be applied to the land as part of an emergency cleanup supervised by the department pursuant to </w:t>
      </w:r>
      <w:hyperlink r:id="rId102">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xml:space="preserve"> or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landfarm plot is free of snow.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slope of the landfarm plot is less than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PCS is incorporated into the soil as soon as site conditions allow.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102.208(6)</w:t>
      </w:r>
      <w:r>
        <w:rPr>
          <w:rFonts w:ascii="Times New Roman" w:hAnsi="Times New Roman"/>
          <w:b w:val="false"/>
          <w:i w:val="false"/>
          <w:color w:val="000000"/>
          <w:sz w:val="22"/>
        </w:rPr>
        <w:t> </w:t>
      </w:r>
      <w:r>
        <w:rPr>
          <w:rFonts w:ascii="Times New Roman" w:hAnsi="Times New Roman"/>
          <w:b w:val="false"/>
          <w:i/>
          <w:color w:val="000000"/>
          <w:sz w:val="22"/>
        </w:rPr>
        <w:t xml:space="preserve">PCS plot requirements. </w:t>
      </w:r>
      <w:r>
        <w:rPr>
          <w:rFonts w:ascii="Times New Roman" w:hAnsi="Times New Roman"/>
          <w:b w:val="false"/>
          <w:i w:val="false"/>
          <w:color w:val="000000"/>
          <w:sz w:val="22"/>
        </w:rPr>
        <w:t>One application of a particular source and type of PCS may be applied to a landfarm plot. A landfarm may only apply a subsequent application of PCS to a previously utilized landfarm plot if such application is in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plot has been tested pursuant to </w:t>
      </w:r>
      <w:hyperlink r:id="rId103">
        <w:r>
          <w:rPr>
            <w:rStyle w:val="Hyperlink"/>
            <w:rFonts w:ascii="Times New Roman" w:hAnsi="Times New Roman"/>
            <w:b w:val="false"/>
            <w:i w:val="false"/>
            <w:color w:val="000000"/>
            <w:sz w:val="22"/>
          </w:rPr>
          <w:t>102.205(2)</w:t>
        </w:r>
      </w:hyperlink>
      <w:r>
        <w:rPr>
          <w:rFonts w:ascii="Times New Roman" w:hAnsi="Times New Roman"/>
          <w:b w:val="false"/>
          <w:i/>
          <w:color w:val="000000"/>
          <w:sz w:val="22"/>
        </w:rPr>
        <w:t>“c”</w:t>
      </w:r>
      <w:r>
        <w:rPr>
          <w:rFonts w:ascii="Times New Roman" w:hAnsi="Times New Roman"/>
          <w:b w:val="false"/>
          <w:i w:val="false"/>
          <w:color w:val="000000"/>
          <w:sz w:val="22"/>
        </w:rPr>
        <w:t xml:space="preserve">(1), </w:t>
      </w:r>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 and the results demonstrate that petroleum constituent concentrations are less than 0.54 mg/kg for benzene, 42 mg/kg for toluene, 15 mg/kg for ethylbenzene, 3800 mg/kg for TEH-diesel, and 0.02 mg/kg for MTBE.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subsequent application of a particular source and type of PCS may not be applied within 15 feet of an area used as a single-use landfarm until the single-use landfarm is closed pursuant to </w:t>
      </w:r>
      <w:hyperlink r:id="rId104">
        <w:r>
          <w:rPr>
            <w:rStyle w:val="Hyperlink"/>
            <w:rFonts w:ascii="Times New Roman" w:hAnsi="Times New Roman"/>
            <w:b w:val="false"/>
            <w:i w:val="false"/>
            <w:color w:val="000000"/>
            <w:sz w:val="22"/>
          </w:rPr>
          <w:t>102.211(2)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102.208(7)</w:t>
      </w:r>
      <w:r>
        <w:rPr>
          <w:rFonts w:ascii="Times New Roman" w:hAnsi="Times New Roman"/>
          <w:b w:val="false"/>
          <w:i w:val="false"/>
          <w:color w:val="000000"/>
          <w:sz w:val="22"/>
        </w:rPr>
        <w:t> </w:t>
      </w:r>
      <w:r>
        <w:rPr>
          <w:rFonts w:ascii="Times New Roman" w:hAnsi="Times New Roman"/>
          <w:b w:val="false"/>
          <w:i/>
          <w:color w:val="000000"/>
          <w:sz w:val="22"/>
        </w:rPr>
        <w:t xml:space="preserve">PCS application rates. </w:t>
      </w:r>
      <w:r>
        <w:rPr>
          <w:rFonts w:ascii="Times New Roman" w:hAnsi="Times New Roman"/>
          <w:b w:val="false"/>
          <w:i w:val="false"/>
          <w:color w:val="000000"/>
          <w:sz w:val="22"/>
        </w:rPr>
        <w:t xml:space="preserve">PCS shall be land applied at a rate that is as uniform as practical over an area sufficient to satisfy the greater of the following area requirements. However, PCS from an emergency cleanup supervised by the department pursuant to </w:t>
      </w:r>
      <w:hyperlink r:id="rId105">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xml:space="preserve"> may instead be land applied at a rate of 162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landfarm area per cubic yard (yd</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of PCS, that is as uniform as practical, and in which no layer of unincorporated PCS is thicker than two inches.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Petroleum constituents. </w:t>
      </w:r>
      <w:r>
        <w:rPr>
          <w:rFonts w:ascii="Times New Roman" w:hAnsi="Times New Roman"/>
          <w:b w:val="false"/>
          <w:i w:val="false"/>
          <w:color w:val="000000"/>
          <w:sz w:val="22"/>
        </w:rPr>
        <w:t>PCS shall be land applied over the largest area required by the following:</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PCS contaminated with benzene shall be land applied in accordance with Table 1. The average concentration of benzene in the PCS shall be used to determine the landfarm area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required per cubic yard (yd</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of PCS to be land applied. The average concentration of benzene shall be calculated from all soil boring test results that are within the PCS excavation area. The application shall be as uniform as practical over the area required.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14"/>
        <w:gridCol w:w="2046"/>
        <w:gridCol w:w="2046"/>
        <w:gridCol w:w="2046"/>
      </w:tblGrid>
      <w:tr>
        <w:trPr>
          <w:trHeight w:val="195"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Table 1</w:t>
            </w:r>
          </w:p>
        </w:tc>
      </w:tr>
      <w:tr>
        <w:trPr>
          <w:trHeight w:val="270" w:hRule="atLeast"/>
        </w:trPr>
        <w:tc>
          <w:tcPr>
            <w:tcW w:w="28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0&lt; mg/kg ≤10</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 ft</w:t>
            </w:r>
            <w:r>
              <w:rPr>
                <w:rFonts w:ascii="Times New Roman" w:hAnsi="Times New Roman"/>
                <w:b w:val="false"/>
                <w:i w:val="false"/>
                <w:color w:val="000000"/>
                <w:sz w:val="14"/>
                <w:vertAlign w:val="superscript"/>
              </w:rPr>
              <w:t>2</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inches</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537 yd</w:t>
            </w:r>
            <w:r>
              <w:rPr>
                <w:rFonts w:ascii="Times New Roman" w:hAnsi="Times New Roman"/>
                <w:b w:val="false"/>
                <w:i w:val="false"/>
                <w:color w:val="000000"/>
                <w:sz w:val="14"/>
                <w:vertAlign w:val="superscript"/>
              </w:rPr>
              <w:t>3</w:t>
            </w:r>
          </w:p>
        </w:tc>
      </w:tr>
      <w:tr>
        <w:trPr>
          <w:trHeight w:val="270" w:hRule="atLeast"/>
        </w:trPr>
        <w:tc>
          <w:tcPr>
            <w:tcW w:w="28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10&lt; mg/kg ≤20</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162 ft</w:t>
            </w:r>
            <w:r>
              <w:rPr>
                <w:rFonts w:ascii="Times New Roman" w:hAnsi="Times New Roman"/>
                <w:b w:val="false"/>
                <w:i w:val="false"/>
                <w:color w:val="000000"/>
                <w:sz w:val="14"/>
                <w:vertAlign w:val="superscript"/>
              </w:rPr>
              <w:t>2</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inches</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268 yd</w:t>
            </w:r>
            <w:r>
              <w:rPr>
                <w:rFonts w:ascii="Times New Roman" w:hAnsi="Times New Roman"/>
                <w:b w:val="false"/>
                <w:i w:val="false"/>
                <w:color w:val="000000"/>
                <w:sz w:val="14"/>
                <w:vertAlign w:val="superscript"/>
              </w:rPr>
              <w:t>3</w:t>
            </w:r>
          </w:p>
        </w:tc>
      </w:tr>
      <w:tr>
        <w:trPr>
          <w:trHeight w:val="270" w:hRule="atLeast"/>
        </w:trPr>
        <w:tc>
          <w:tcPr>
            <w:tcW w:w="28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20&lt; mg/kg</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324 ft</w:t>
            </w:r>
            <w:r>
              <w:rPr>
                <w:rFonts w:ascii="Times New Roman" w:hAnsi="Times New Roman"/>
                <w:b w:val="false"/>
                <w:i w:val="false"/>
                <w:color w:val="000000"/>
                <w:sz w:val="14"/>
                <w:vertAlign w:val="superscript"/>
              </w:rPr>
              <w:t>2</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inch</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134 yd</w:t>
            </w:r>
            <w:r>
              <w:rPr>
                <w:rFonts w:ascii="Times New Roman" w:hAnsi="Times New Roman"/>
                <w:b w:val="false"/>
                <w:i w:val="false"/>
                <w:color w:val="000000"/>
                <w:sz w:val="14"/>
                <w:vertAlign w:val="superscript"/>
              </w:rPr>
              <w:t>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PCS that is not contaminated with benzene or MTBE, but is contaminated with toluene, ethylbenzene, xylene, TEH-diesel, or some combination thereof, shall be land applied at a rate of 81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landfarm area per cubic yard (yd</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of PCS. The application shall be as uniform as practical, and no layer of unincorporated PCS shall be thicker than four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Total RCRA metals. </w:t>
      </w:r>
      <w:r>
        <w:rPr>
          <w:rFonts w:ascii="Times New Roman" w:hAnsi="Times New Roman"/>
          <w:b w:val="false"/>
          <w:i w:val="false"/>
          <w:color w:val="000000"/>
          <w:sz w:val="22"/>
        </w:rPr>
        <w:t xml:space="preserve">PCS that has been tested for heavy metals pursuant to </w:t>
      </w:r>
      <w:hyperlink r:id="rId106">
        <w:r>
          <w:rPr>
            <w:rStyle w:val="Hyperlink"/>
            <w:rFonts w:ascii="Times New Roman" w:hAnsi="Times New Roman"/>
            <w:b w:val="false"/>
            <w:i w:val="false"/>
            <w:color w:val="000000"/>
            <w:sz w:val="22"/>
          </w:rPr>
          <w:t>102.205(1)</w:t>
        </w:r>
      </w:hyperlink>
      <w:r>
        <w:rPr>
          <w:rFonts w:ascii="Times New Roman" w:hAnsi="Times New Roman"/>
          <w:b w:val="false"/>
          <w:i/>
          <w:color w:val="000000"/>
          <w:sz w:val="22"/>
        </w:rPr>
        <w:t>“c”</w:t>
      </w:r>
      <w:r>
        <w:rPr>
          <w:rFonts w:ascii="Times New Roman" w:hAnsi="Times New Roman"/>
          <w:b w:val="false"/>
          <w:i w:val="false"/>
          <w:color w:val="000000"/>
          <w:sz w:val="22"/>
        </w:rPr>
        <w:t>(3) shall be applied at a rate that is as uniform as practical, that results in no layer of PCS thicker than four inches, and that upon incorporation produces a landfarm soil that satisfies the following requirements. This analysis requires prior testing of background levels of RCRA metals at the proposed landfarm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RCRA metals are less than 2,500 milligrams per kilogram (mg/kg).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particular concentration of a RCRA metal is less than the appropriate statewide standard for soil developed pursuant to </w:t>
      </w:r>
      <w:hyperlink r:id="rId107">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Division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102.208(8)</w:t>
      </w:r>
      <w:r>
        <w:rPr>
          <w:rFonts w:ascii="Times New Roman" w:hAnsi="Times New Roman"/>
          <w:b w:val="false"/>
          <w:i w:val="false"/>
          <w:color w:val="000000"/>
          <w:sz w:val="22"/>
        </w:rPr>
        <w:t> </w:t>
      </w:r>
      <w:r>
        <w:rPr>
          <w:rFonts w:ascii="Times New Roman" w:hAnsi="Times New Roman"/>
          <w:b w:val="false"/>
          <w:i/>
          <w:color w:val="000000"/>
          <w:sz w:val="22"/>
        </w:rPr>
        <w:t xml:space="preserve">Flagging. </w:t>
      </w:r>
      <w:r>
        <w:rPr>
          <w:rFonts w:ascii="Times New Roman" w:hAnsi="Times New Roman"/>
          <w:b w:val="false"/>
          <w:i w:val="false"/>
          <w:color w:val="000000"/>
          <w:sz w:val="22"/>
        </w:rPr>
        <w:t xml:space="preserve">The landfarm plot(s) upon which PCS is land applied shall be delineated with flags for one year after land application or until the landfarm is closed pursuant to </w:t>
      </w:r>
      <w:hyperlink r:id="rId108">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 whichever is shorter.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102.208(9)</w:t>
      </w:r>
      <w:r>
        <w:rPr>
          <w:rFonts w:ascii="Times New Roman" w:hAnsi="Times New Roman"/>
          <w:b w:val="false"/>
          <w:i w:val="false"/>
          <w:color w:val="000000"/>
          <w:sz w:val="22"/>
        </w:rPr>
        <w:t> </w:t>
      </w:r>
      <w:r>
        <w:rPr>
          <w:rFonts w:ascii="Times New Roman" w:hAnsi="Times New Roman"/>
          <w:b w:val="false"/>
          <w:i/>
          <w:color w:val="000000"/>
          <w:sz w:val="22"/>
        </w:rPr>
        <w:t xml:space="preserve">Removal of solid waste and rubble. </w:t>
      </w:r>
      <w:r>
        <w:rPr>
          <w:rFonts w:ascii="Times New Roman" w:hAnsi="Times New Roman"/>
          <w:b w:val="false"/>
          <w:i w:val="false"/>
          <w:color w:val="000000"/>
          <w:sz w:val="22"/>
        </w:rPr>
        <w:t>All solid waste that is not PCS shall be removed and properly disposed of prior to the landfarming of PCS. All rubble, stones, and debris larger than four inches in diameter, or that interfere with incorporating and turning the PCS, shall also be removed and properly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102.208(10)</w:t>
      </w:r>
      <w:r>
        <w:rPr>
          <w:rFonts w:ascii="Times New Roman" w:hAnsi="Times New Roman"/>
          <w:b w:val="false"/>
          <w:i w:val="false"/>
          <w:color w:val="000000"/>
          <w:sz w:val="22"/>
        </w:rPr>
        <w:t> </w:t>
      </w:r>
      <w:r>
        <w:rPr>
          <w:rFonts w:ascii="Times New Roman" w:hAnsi="Times New Roman"/>
          <w:b w:val="false"/>
          <w:i/>
          <w:color w:val="000000"/>
          <w:sz w:val="22"/>
        </w:rPr>
        <w:t xml:space="preserve">PCS incorporation. </w:t>
      </w:r>
      <w:r>
        <w:rPr>
          <w:rFonts w:ascii="Times New Roman" w:hAnsi="Times New Roman"/>
          <w:b w:val="false"/>
          <w:i w:val="false"/>
          <w:color w:val="000000"/>
          <w:sz w:val="22"/>
        </w:rPr>
        <w:t>PCS shall be incorporated into the soil by tilling, disking, or other suitable means within 48 hours of being land applied or before the next precipitation event, whichever is sooner. PCS shall not be incorporated deeper than 12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102.208(11)</w:t>
      </w:r>
      <w:r>
        <w:rPr>
          <w:rFonts w:ascii="Times New Roman" w:hAnsi="Times New Roman"/>
          <w:b w:val="false"/>
          <w:i w:val="false"/>
          <w:color w:val="000000"/>
          <w:sz w:val="22"/>
        </w:rPr>
        <w:t> </w:t>
      </w:r>
      <w:r>
        <w:rPr>
          <w:rFonts w:ascii="Times New Roman" w:hAnsi="Times New Roman"/>
          <w:b w:val="false"/>
          <w:i/>
          <w:color w:val="000000"/>
          <w:sz w:val="22"/>
        </w:rPr>
        <w:t xml:space="preserve">Turning the PCS. </w:t>
      </w:r>
      <w:r>
        <w:rPr>
          <w:rFonts w:ascii="Times New Roman" w:hAnsi="Times New Roman"/>
          <w:b w:val="false"/>
          <w:i w:val="false"/>
          <w:color w:val="000000"/>
          <w:sz w:val="22"/>
        </w:rPr>
        <w:t>After incorporation, the PCS shall be turned by tilling, disking, or other suitable means at least once per month for the first three months during landfarm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102.208(12)</w:t>
      </w:r>
      <w:r>
        <w:rPr>
          <w:rFonts w:ascii="Times New Roman" w:hAnsi="Times New Roman"/>
          <w:b w:val="false"/>
          <w:i w:val="false"/>
          <w:color w:val="000000"/>
          <w:sz w:val="22"/>
        </w:rPr>
        <w:t> </w:t>
      </w:r>
      <w:r>
        <w:rPr>
          <w:rFonts w:ascii="Times New Roman" w:hAnsi="Times New Roman"/>
          <w:b w:val="false"/>
          <w:i/>
          <w:color w:val="000000"/>
          <w:sz w:val="22"/>
        </w:rPr>
        <w:t xml:space="preserve">No crops for consumption. </w:t>
      </w:r>
      <w:r>
        <w:rPr>
          <w:rFonts w:ascii="Times New Roman" w:hAnsi="Times New Roman"/>
          <w:b w:val="false"/>
          <w:i w:val="false"/>
          <w:color w:val="000000"/>
          <w:sz w:val="22"/>
        </w:rPr>
        <w:t xml:space="preserve">Landfarms shall not grow crops within 15 feet of a landfarm plot that is flagged pursuant to </w:t>
      </w:r>
      <w:hyperlink r:id="rId109">
        <w:r>
          <w:rPr>
            <w:rStyle w:val="Hyperlink"/>
            <w:rFonts w:ascii="Times New Roman" w:hAnsi="Times New Roman"/>
            <w:b w:val="false"/>
            <w:i w:val="false"/>
            <w:color w:val="000000"/>
            <w:sz w:val="22"/>
          </w:rPr>
          <w:t>102.208(7)</w:t>
        </w:r>
      </w:hyperlink>
      <w:r>
        <w:rPr>
          <w:rFonts w:ascii="Times New Roman" w:hAnsi="Times New Roman"/>
          <w:b w:val="false"/>
          <w:i w:val="false"/>
          <w:color w:val="000000"/>
          <w:sz w:val="22"/>
        </w:rPr>
        <w:t xml:space="preserve">. Crops for human and livestock consumption may be grown at a single-use landfarm after the landfarm plot is no longer required to be flagged pursuant to </w:t>
      </w:r>
      <w:hyperlink r:id="rId110">
        <w:r>
          <w:rPr>
            <w:rStyle w:val="Hyperlink"/>
            <w:rFonts w:ascii="Times New Roman" w:hAnsi="Times New Roman"/>
            <w:b w:val="false"/>
            <w:i w:val="false"/>
            <w:color w:val="000000"/>
            <w:sz w:val="22"/>
          </w:rPr>
          <w:t>102.208(7)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102.208(13)</w:t>
      </w:r>
      <w:r>
        <w:rPr>
          <w:rFonts w:ascii="Times New Roman" w:hAnsi="Times New Roman"/>
          <w:b w:val="false"/>
          <w:i w:val="false"/>
          <w:color w:val="000000"/>
          <w:sz w:val="22"/>
        </w:rPr>
        <w:t> </w:t>
      </w:r>
      <w:r>
        <w:rPr>
          <w:rFonts w:ascii="Times New Roman" w:hAnsi="Times New Roman"/>
          <w:b w:val="false"/>
          <w:i/>
          <w:color w:val="000000"/>
          <w:sz w:val="22"/>
        </w:rPr>
        <w:t xml:space="preserve">Removal of PCS from a landfarm. </w:t>
      </w:r>
      <w:r>
        <w:rPr>
          <w:rFonts w:ascii="Times New Roman" w:hAnsi="Times New Roman"/>
          <w:b w:val="false"/>
          <w:i w:val="false"/>
          <w:color w:val="000000"/>
          <w:sz w:val="22"/>
        </w:rPr>
        <w:t xml:space="preserve">PCS shall not be removed from a landfarm until the landfarm is closed pursuant to </w:t>
      </w:r>
      <w:hyperlink r:id="rId111">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 or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sample from each 2,500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(e.g., 50-foot × 50-foot area) of landfarm plot is analyzed pursuant to </w:t>
      </w:r>
      <w:hyperlink r:id="rId112">
        <w:r>
          <w:rPr>
            <w:rStyle w:val="Hyperlink"/>
            <w:rFonts w:ascii="Times New Roman" w:hAnsi="Times New Roman"/>
            <w:b w:val="false"/>
            <w:i w:val="false"/>
            <w:color w:val="000000"/>
            <w:sz w:val="22"/>
          </w:rPr>
          <w:t>102.205(2)</w:t>
        </w:r>
      </w:hyperlink>
      <w:r>
        <w:rPr>
          <w:rFonts w:ascii="Times New Roman" w:hAnsi="Times New Roman"/>
          <w:b w:val="false"/>
          <w:i/>
          <w:color w:val="000000"/>
          <w:sz w:val="22"/>
        </w:rPr>
        <w:t>“c”</w:t>
      </w:r>
      <w:r>
        <w:rPr>
          <w:rFonts w:ascii="Times New Roman" w:hAnsi="Times New Roman"/>
          <w:b w:val="false"/>
          <w:i w:val="false"/>
          <w:color w:val="000000"/>
          <w:sz w:val="22"/>
        </w:rPr>
        <w:t xml:space="preserve">(1), </w:t>
      </w:r>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 A minimum of one sample per landfarm plot shall be obtained. All samples shall be obtained from between the top two to six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tests in </w:t>
      </w:r>
      <w:hyperlink r:id="rId113">
        <w:r>
          <w:rPr>
            <w:rStyle w:val="Hyperlink"/>
            <w:rFonts w:ascii="Times New Roman" w:hAnsi="Times New Roman"/>
            <w:b w:val="false"/>
            <w:i w:val="false"/>
            <w:color w:val="000000"/>
            <w:sz w:val="22"/>
          </w:rPr>
          <w:t>102.211(2)</w:t>
        </w:r>
      </w:hyperlink>
      <w:r>
        <w:rPr>
          <w:rFonts w:ascii="Times New Roman" w:hAnsi="Times New Roman"/>
          <w:b w:val="false"/>
          <w:i/>
          <w:color w:val="000000"/>
          <w:sz w:val="22"/>
        </w:rPr>
        <w:t>“a”</w:t>
      </w:r>
      <w:r>
        <w:rPr>
          <w:rFonts w:ascii="Times New Roman" w:hAnsi="Times New Roman"/>
          <w:b w:val="false"/>
          <w:i w:val="false"/>
          <w:color w:val="000000"/>
          <w:sz w:val="22"/>
        </w:rPr>
        <w:t xml:space="preserve"> demonstrate that petroleum constituent concentrations for benzene, toluene, ethylbenzene, TEH-diesel, and MTBE are below the detection limits required by </w:t>
      </w:r>
      <w:hyperlink r:id="rId11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the lab results, amount of PCS removed, and the exact final location of the PCS shall be maintained by the landfarm.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567—102.209</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and remedial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102.209(1)</w:t>
      </w:r>
      <w:r>
        <w:rPr>
          <w:rFonts w:ascii="Times New Roman" w:hAnsi="Times New Roman"/>
          <w:b w:val="false"/>
          <w:i w:val="false"/>
          <w:color w:val="000000"/>
          <w:sz w:val="22"/>
        </w:rPr>
        <w:t> </w:t>
      </w:r>
      <w:r>
        <w:rPr>
          <w:rFonts w:ascii="Times New Roman" w:hAnsi="Times New Roman"/>
          <w:b w:val="false"/>
          <w:i/>
          <w:color w:val="000000"/>
          <w:sz w:val="22"/>
        </w:rPr>
        <w:t xml:space="preserve">ERRAP. </w:t>
      </w:r>
      <w:r>
        <w:rPr>
          <w:rFonts w:ascii="Times New Roman" w:hAnsi="Times New Roman"/>
          <w:b w:val="false"/>
          <w:i w:val="false"/>
          <w:color w:val="000000"/>
          <w:sz w:val="22"/>
        </w:rPr>
        <w:t xml:space="preserve">An ERRAP as described in </w:t>
      </w:r>
      <w:hyperlink r:id="rId115">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 shall be maintained as part of the landfarming application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102.209(2)</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ERRAP documents shall be readily available. Landfarm applicators shall ensure that employees have either physical or digital access to the ERRAP document when conducting landfarm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102.209(3)</w:t>
      </w:r>
      <w:r>
        <w:rPr>
          <w:rFonts w:ascii="Times New Roman" w:hAnsi="Times New Roman"/>
          <w:b w:val="false"/>
          <w:i w:val="false"/>
          <w:color w:val="000000"/>
          <w:sz w:val="22"/>
        </w:rPr>
        <w:t> </w:t>
      </w:r>
      <w:r>
        <w:rPr>
          <w:rFonts w:ascii="Times New Roman" w:hAnsi="Times New Roman"/>
          <w:b w:val="false"/>
          <w:i/>
          <w:color w:val="000000"/>
          <w:sz w:val="22"/>
        </w:rPr>
        <w:t xml:space="preserve">Employee training. </w:t>
      </w:r>
      <w:r>
        <w:rPr>
          <w:rFonts w:ascii="Times New Roman" w:hAnsi="Times New Roman"/>
          <w:b w:val="false"/>
          <w:i w:val="false"/>
          <w:color w:val="000000"/>
          <w:sz w:val="22"/>
        </w:rPr>
        <w:t>At a minimum, all employees shall receive annual training sufficient to understand and utilize ERRAP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567—102.210</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Reporting and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102.210(1)</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following information shall be submitted to the department on a form provided by the department. All reporting submissions shall include the name, address, and telephone number of the landfarm and permit holder, as well as the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Storage notification. </w:t>
      </w:r>
      <w:r>
        <w:rPr>
          <w:rFonts w:ascii="Times New Roman" w:hAnsi="Times New Roman"/>
          <w:b w:val="false"/>
          <w:i w:val="false"/>
          <w:color w:val="000000"/>
          <w:sz w:val="22"/>
        </w:rPr>
        <w:t xml:space="preserve">Landfarms shall submit the following information to the department and department field office with jurisdiction over the landfarm before receipt of the PCS for storage; however, at least 30 days’ notification is encouraged. PCS storage information from an emergency cleanup supervised by the department pursuant to </w:t>
      </w:r>
      <w:hyperlink r:id="rId116">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however, shall be reported within seven days of the emergency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PCS is expected to be delivered for storage at the landfarm.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PCS will be stored at the landfarm.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spill number, UST registration number, and leaking UST (LUST) number,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Land application notification. </w:t>
      </w:r>
      <w:r>
        <w:rPr>
          <w:rFonts w:ascii="Times New Roman" w:hAnsi="Times New Roman"/>
          <w:b w:val="false"/>
          <w:i w:val="false"/>
          <w:color w:val="000000"/>
          <w:sz w:val="22"/>
        </w:rPr>
        <w:t xml:space="preserve">Landfarms shall submit the following information to the department and department field office with jurisdiction over the landfarm before land application; however, at least 30 days’ notification is encouraged. PCS information from an emergency cleanup supervised by the department pursuant to </w:t>
      </w:r>
      <w:hyperlink r:id="rId117">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however, shall be reported within seven days of the emergency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PCS is expected to be applied to the land. If the PCS is not applied on this date, the department shall be informed of the actual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physical address or parcel identification number for the landfarm location, a legible topographic map or aerial photo, a USDA soil map with key, and a map of the 100-year floodplain illustrating and labeling where the PCS is to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rate calculations pursuant to </w:t>
      </w:r>
      <w:hyperlink r:id="rId118">
        <w:r>
          <w:rPr>
            <w:rStyle w:val="Hyperlink"/>
            <w:rFonts w:ascii="Times New Roman" w:hAnsi="Times New Roman"/>
            <w:b w:val="false"/>
            <w:i w:val="false"/>
            <w:color w:val="000000"/>
            <w:sz w:val="22"/>
          </w:rPr>
          <w:t>102.208(6)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spill number, UST registration number, and LUST number,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PCS analysis and characterization. </w:t>
      </w:r>
      <w:r>
        <w:rPr>
          <w:rFonts w:ascii="Times New Roman" w:hAnsi="Times New Roman"/>
          <w:b w:val="false"/>
          <w:i w:val="false"/>
          <w:color w:val="000000"/>
          <w:sz w:val="22"/>
        </w:rPr>
        <w:t xml:space="preserve">Information on the analysis and characterization of the PCS pursuant to </w:t>
      </w:r>
      <w:hyperlink r:id="rId119">
        <w:r>
          <w:rPr>
            <w:rStyle w:val="Hyperlink"/>
            <w:rFonts w:ascii="Times New Roman" w:hAnsi="Times New Roman"/>
            <w:b w:val="false"/>
            <w:i w:val="false"/>
            <w:color w:val="000000"/>
            <w:sz w:val="22"/>
          </w:rPr>
          <w:t>567—102.205</w:t>
        </w:r>
      </w:hyperlink>
      <w:r>
        <w:rPr>
          <w:rFonts w:ascii="Times New Roman" w:hAnsi="Times New Roman"/>
          <w:b w:val="false"/>
          <w:i w:val="false"/>
          <w:color w:val="000000"/>
          <w:sz w:val="22"/>
        </w:rPr>
        <w:t xml:space="preserve">(455B) shall be submitted to the department before receipt of the PCS for storage or land application; however, at least 30 days’ notification is encouraged. PCS analysis and characterization information from an emergency cleanup supervised by the department pursuant to </w:t>
      </w:r>
      <w:hyperlink r:id="rId120">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however, shall be reported within 60 days of the emergency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102.210(2)</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All landfarm applicators shall maintain records of all information related to compliance with this division and the permit throughout the life of the landfarm and for three years after landfarm closure pursuant to </w:t>
      </w:r>
      <w:hyperlink r:id="rId121">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 This information shall be available to the department upon request. Applicable information includes but is not limited to the following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application information pursuant to </w:t>
      </w:r>
      <w:hyperlink r:id="rId122">
        <w:r>
          <w:rPr>
            <w:rStyle w:val="Hyperlink"/>
            <w:rFonts w:ascii="Times New Roman" w:hAnsi="Times New Roman"/>
            <w:b w:val="false"/>
            <w:i w:val="false"/>
            <w:color w:val="000000"/>
            <w:sz w:val="22"/>
          </w:rPr>
          <w:t>567—102.204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PCS analysis and characterization pursuant to </w:t>
      </w:r>
      <w:hyperlink r:id="rId123">
        <w:r>
          <w:rPr>
            <w:rStyle w:val="Hyperlink"/>
            <w:rFonts w:ascii="Times New Roman" w:hAnsi="Times New Roman"/>
            <w:b w:val="false"/>
            <w:i w:val="false"/>
            <w:color w:val="000000"/>
            <w:sz w:val="22"/>
          </w:rPr>
          <w:t>567—102.205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Site suitability information pursuant to </w:t>
      </w:r>
      <w:hyperlink r:id="rId124">
        <w:r>
          <w:rPr>
            <w:rStyle w:val="Hyperlink"/>
            <w:rFonts w:ascii="Times New Roman" w:hAnsi="Times New Roman"/>
            <w:b w:val="false"/>
            <w:i w:val="false"/>
            <w:color w:val="000000"/>
            <w:sz w:val="22"/>
          </w:rPr>
          <w:t>567—102.206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design requirements pursuant to </w:t>
      </w:r>
      <w:hyperlink r:id="rId125">
        <w:r>
          <w:rPr>
            <w:rStyle w:val="Hyperlink"/>
            <w:rFonts w:ascii="Times New Roman" w:hAnsi="Times New Roman"/>
            <w:b w:val="false"/>
            <w:i w:val="false"/>
            <w:color w:val="000000"/>
            <w:sz w:val="22"/>
          </w:rPr>
          <w:t>567—102.207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Operations information pursuant to </w:t>
      </w:r>
      <w:hyperlink r:id="rId126">
        <w:r>
          <w:rPr>
            <w:rStyle w:val="Hyperlink"/>
            <w:rFonts w:ascii="Times New Roman" w:hAnsi="Times New Roman"/>
            <w:b w:val="false"/>
            <w:i w:val="false"/>
            <w:color w:val="000000"/>
            <w:sz w:val="22"/>
          </w:rPr>
          <w:t>567—102.208</w:t>
        </w:r>
      </w:hyperlink>
      <w:r>
        <w:rPr>
          <w:rFonts w:ascii="Times New Roman" w:hAnsi="Times New Roman"/>
          <w:b w:val="false"/>
          <w:i w:val="false"/>
          <w:color w:val="000000"/>
          <w:sz w:val="22"/>
        </w:rPr>
        <w:t xml:space="preserve">(455B), in particular, application rate calculations pursuant to </w:t>
      </w:r>
      <w:hyperlink r:id="rId127">
        <w:r>
          <w:rPr>
            <w:rStyle w:val="Hyperlink"/>
            <w:rFonts w:ascii="Times New Roman" w:hAnsi="Times New Roman"/>
            <w:b w:val="false"/>
            <w:i w:val="false"/>
            <w:color w:val="000000"/>
            <w:sz w:val="22"/>
          </w:rPr>
          <w:t>102.208(6)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ERRAP documents pursuant to </w:t>
      </w:r>
      <w:hyperlink r:id="rId128">
        <w:r>
          <w:rPr>
            <w:rStyle w:val="Hyperlink"/>
            <w:rFonts w:ascii="Times New Roman" w:hAnsi="Times New Roman"/>
            <w:b w:val="false"/>
            <w:i w:val="false"/>
            <w:color w:val="000000"/>
            <w:sz w:val="22"/>
          </w:rPr>
          <w:t>567—102.209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submitted pursuant to </w:t>
      </w:r>
      <w:hyperlink r:id="rId129">
        <w:r>
          <w:rPr>
            <w:rStyle w:val="Hyperlink"/>
            <w:rFonts w:ascii="Times New Roman" w:hAnsi="Times New Roman"/>
            <w:b w:val="false"/>
            <w:i w:val="false"/>
            <w:color w:val="000000"/>
            <w:sz w:val="22"/>
          </w:rPr>
          <w:t>102.210(1)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information pursuant to </w:t>
      </w:r>
      <w:hyperlink r:id="rId130">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567—102.211</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102.211(1)</w:t>
      </w:r>
      <w:r>
        <w:rPr>
          <w:rFonts w:ascii="Times New Roman" w:hAnsi="Times New Roman"/>
          <w:b w:val="false"/>
          <w:i w:val="false"/>
          <w:color w:val="000000"/>
          <w:sz w:val="22"/>
        </w:rPr>
        <w:t> </w:t>
      </w:r>
      <w:r>
        <w:rPr>
          <w:rFonts w:ascii="Times New Roman" w:hAnsi="Times New Roman"/>
          <w:b w:val="false"/>
          <w:i w:val="false"/>
          <w:color w:val="000000"/>
          <w:sz w:val="22"/>
        </w:rPr>
        <w:t>A landfarm shall be closed three years after the application of PCS unless otherwise authorized or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102.211(2)</w:t>
      </w:r>
      <w:r>
        <w:rPr>
          <w:rFonts w:ascii="Times New Roman" w:hAnsi="Times New Roman"/>
          <w:b w:val="false"/>
          <w:i w:val="false"/>
          <w:color w:val="000000"/>
          <w:sz w:val="22"/>
        </w:rPr>
        <w:t> </w:t>
      </w:r>
      <w:r>
        <w:rPr>
          <w:rFonts w:ascii="Times New Roman" w:hAnsi="Times New Roman"/>
          <w:b w:val="false"/>
          <w:i w:val="false"/>
          <w:color w:val="000000"/>
          <w:sz w:val="22"/>
        </w:rPr>
        <w:t>A landfarm may be closed if, at least six months after the application of PCS, documentation has been submitted and acknowledged in writing by the department that each landfarm plot has been tested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sample from each 10,000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(e.g., 100-foot × 100-foot area) of landfarm plot is analyzed pursuant to </w:t>
      </w:r>
      <w:hyperlink r:id="rId131">
        <w:r>
          <w:rPr>
            <w:rStyle w:val="Hyperlink"/>
            <w:rFonts w:ascii="Times New Roman" w:hAnsi="Times New Roman"/>
            <w:b w:val="false"/>
            <w:i w:val="false"/>
            <w:color w:val="000000"/>
            <w:sz w:val="22"/>
          </w:rPr>
          <w:t>102.205(2)</w:t>
        </w:r>
      </w:hyperlink>
      <w:r>
        <w:rPr>
          <w:rFonts w:ascii="Times New Roman" w:hAnsi="Times New Roman"/>
          <w:b w:val="false"/>
          <w:i/>
          <w:color w:val="000000"/>
          <w:sz w:val="22"/>
        </w:rPr>
        <w:t>“c”</w:t>
      </w:r>
      <w:r>
        <w:rPr>
          <w:rFonts w:ascii="Times New Roman" w:hAnsi="Times New Roman"/>
          <w:b w:val="false"/>
          <w:i w:val="false"/>
          <w:color w:val="000000"/>
          <w:sz w:val="22"/>
        </w:rPr>
        <w:t xml:space="preserve">(1), </w:t>
      </w:r>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 A minimum of one sample per landfarm plot shall be obtained. All samples shall be obtained from between the top two to six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tests in </w:t>
      </w:r>
      <w:hyperlink r:id="rId132">
        <w:r>
          <w:rPr>
            <w:rStyle w:val="Hyperlink"/>
            <w:rFonts w:ascii="Times New Roman" w:hAnsi="Times New Roman"/>
            <w:b w:val="false"/>
            <w:i w:val="false"/>
            <w:color w:val="000000"/>
            <w:sz w:val="22"/>
          </w:rPr>
          <w:t>102.211(2)</w:t>
        </w:r>
      </w:hyperlink>
      <w:r>
        <w:rPr>
          <w:rFonts w:ascii="Times New Roman" w:hAnsi="Times New Roman"/>
          <w:b w:val="false"/>
          <w:i/>
          <w:color w:val="000000"/>
          <w:sz w:val="22"/>
        </w:rPr>
        <w:t>“a”</w:t>
      </w:r>
      <w:r>
        <w:rPr>
          <w:rFonts w:ascii="Times New Roman" w:hAnsi="Times New Roman"/>
          <w:b w:val="false"/>
          <w:i w:val="false"/>
          <w:color w:val="000000"/>
          <w:sz w:val="22"/>
        </w:rPr>
        <w:t xml:space="preserve"> demonstrate that petroleum constituent concentrations are less than 0.54 mg/kg for benzene, 42 mg/kg for toluene, 15 mg/kg for ethylbenzene, 3800 mg/kg for TEH-diesel and 0.02 mg/kg for MTBE.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567—102.212</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requirements for landfarms. </w:t>
      </w:r>
      <w:r>
        <w:rPr>
          <w:rFonts w:ascii="Times New Roman" w:hAnsi="Times New Roman"/>
          <w:b w:val="false"/>
          <w:i w:val="false"/>
          <w:color w:val="000000"/>
          <w:sz w:val="22"/>
        </w:rPr>
        <w:t xml:space="preserve">The holder of a sanitary disposal project permit for a landfarm must obtain and submit a financial assurance instrument to the department in accordance with this rule. The financial assurance instrument shall provide monetary funds for the purpose of conducting closure activities at the landfarm plot(s) due to the permit holder’s failure to properly close the site as required in accordance with </w:t>
      </w:r>
      <w:hyperlink r:id="rId133">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of a landfarm until a financial assurance instrument has been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102.212(2)</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at the time of application for a permit for a landfarm application permit. The owner or operator must provide continuous coverage for closure and submit proof of compliance, including an updated closure cost estimate, with each permit renewal thereafter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102.212(3)</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 xml:space="preserve">The estimate submitted to the department must be certified by a professional engineer and account for at least the following factors determined by the department to be minimal necessary costs for closure pursuant to </w:t>
      </w:r>
      <w:hyperlink r:id="rId134">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costs to conduct soil sampling and properly clean all equipment and storage areas at the landfarm plot(s).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PCS is temporarily stored on site prior to incorporation, then this estimate shall include third-party labor and transportation costs and total tip fees to properly dispose of all PCS equal to the maximum storage capacity 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102.212(4)</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w:t>
      </w:r>
      <w:hyperlink r:id="rId135">
        <w:r>
          <w:rPr>
            <w:rStyle w:val="Hyperlink"/>
            <w:rFonts w:ascii="Times New Roman" w:hAnsi="Times New Roman"/>
            <w:b w:val="false"/>
            <w:i w:val="false"/>
            <w:color w:val="000000"/>
            <w:sz w:val="22"/>
          </w:rPr>
          <w:t>102.212(3)</w:t>
        </w:r>
      </w:hyperlink>
      <w:r>
        <w:rPr>
          <w:rFonts w:ascii="Times New Roman" w:hAnsi="Times New Roman"/>
          <w:b w:val="false"/>
          <w:i w:val="false"/>
          <w:color w:val="000000"/>
          <w:sz w:val="22"/>
        </w:rPr>
        <w:t xml:space="preserve"> and shall not be canceled, revoked, disbursed, released, or allowed to terminate without the approval of the department. Financial assurance may be provided by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 pursuant to </w:t>
      </w:r>
      <w:hyperlink r:id="rId136">
        <w:r>
          <w:rPr>
            <w:rStyle w:val="Hyperlink"/>
            <w:rFonts w:ascii="Times New Roman" w:hAnsi="Times New Roman"/>
            <w:b w:val="false"/>
            <w:i w:val="false"/>
            <w:color w:val="000000"/>
            <w:sz w:val="22"/>
          </w:rPr>
          <w:t>567—subrule 101.707(1)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Surety bond pursuant to </w:t>
      </w:r>
      <w:hyperlink r:id="rId137">
        <w:r>
          <w:rPr>
            <w:rStyle w:val="Hyperlink"/>
            <w:rFonts w:ascii="Times New Roman" w:hAnsi="Times New Roman"/>
            <w:b w:val="false"/>
            <w:i w:val="false"/>
            <w:color w:val="000000"/>
            <w:sz w:val="22"/>
          </w:rPr>
          <w:t>567—subrule 101.707(2)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Letter of credit pursuant to </w:t>
      </w:r>
      <w:hyperlink r:id="rId138">
        <w:r>
          <w:rPr>
            <w:rStyle w:val="Hyperlink"/>
            <w:rFonts w:ascii="Times New Roman" w:hAnsi="Times New Roman"/>
            <w:b w:val="false"/>
            <w:i w:val="false"/>
            <w:color w:val="000000"/>
            <w:sz w:val="22"/>
          </w:rPr>
          <w:t>567—subrule 101.707(3)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Corporate guarantee pursuant to </w:t>
      </w:r>
      <w:hyperlink r:id="rId139">
        <w:r>
          <w:rPr>
            <w:rStyle w:val="Hyperlink"/>
            <w:rFonts w:ascii="Times New Roman" w:hAnsi="Times New Roman"/>
            <w:b w:val="false"/>
            <w:i w:val="false"/>
            <w:color w:val="000000"/>
            <w:sz w:val="22"/>
          </w:rPr>
          <w:t>567—subrule 101.707(7)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guarantee pursuant to </w:t>
      </w:r>
      <w:hyperlink r:id="rId140">
        <w:r>
          <w:rPr>
            <w:rStyle w:val="Hyperlink"/>
            <w:rFonts w:ascii="Times New Roman" w:hAnsi="Times New Roman"/>
            <w:b w:val="false"/>
            <w:i w:val="false"/>
            <w:color w:val="000000"/>
            <w:sz w:val="22"/>
          </w:rPr>
          <w:t>567—subrule 101.707(8)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dedicated fund pursuant to </w:t>
      </w:r>
      <w:hyperlink r:id="rId141">
        <w:r>
          <w:rPr>
            <w:rStyle w:val="Hyperlink"/>
            <w:rFonts w:ascii="Times New Roman" w:hAnsi="Times New Roman"/>
            <w:b w:val="false"/>
            <w:i w:val="false"/>
            <w:color w:val="000000"/>
            <w:sz w:val="22"/>
          </w:rPr>
          <w:t>567—subrule 101.707(9)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567—102.213</w:t>
      </w:r>
      <w:r>
        <w:rPr>
          <w:rFonts w:ascii="Times New Roman" w:hAnsi="Times New Roman"/>
          <w:b w:val="false"/>
          <w:i w:val="false"/>
          <w:color w:val="000000"/>
          <w:sz w:val="22"/>
        </w:rPr>
        <w:t xml:space="preserve"> to </w:t>
      </w:r>
      <w:r>
        <w:rPr>
          <w:rFonts w:ascii="Times New Roman" w:hAnsi="Times New Roman"/>
          <w:b/>
          <w:i w:val="false"/>
          <w:color w:val="000000"/>
          <w:sz w:val="22"/>
        </w:rPr>
        <w:t>102.299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2">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455B.383</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BENEFICIAL USE</w:t>
      </w:r>
    </w:p>
    <w:p>
      <w:pPr>
        <w:spacing w:before="0" w:after="0"/>
        <w:ind w:left="120"/>
        <w:jc w:val="both"/>
      </w:pPr>
      <w:r>
        <w:rPr>
          <w:rFonts w:ascii="Times New Roman" w:hAnsi="Times New Roman"/>
          <w:b/>
          <w:i w:val="false"/>
          <w:color w:val="000000"/>
          <w:sz w:val="22"/>
        </w:rPr>
        <w:t>567—102.300</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division is to establish rules for determining when the utilization of a solid by-product constitutes beneficial use rather than the disposal of solid waste. Solid by-products determined by the department not to be a solid waste through a beneficial use determination will not be subject to regulation as disposal of solid waste. This division encourages the utilization of solid by-products, consistent with accepted engineering practices, when such utilization improves, or at a minimum does not adversely affect, human health and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102.301(1)</w:t>
      </w:r>
      <w:r>
        <w:rPr>
          <w:rFonts w:ascii="Times New Roman" w:hAnsi="Times New Roman"/>
          <w:b w:val="false"/>
          <w:i w:val="false"/>
          <w:color w:val="000000"/>
          <w:sz w:val="22"/>
        </w:rPr>
        <w:t> </w:t>
      </w:r>
      <w:r>
        <w:rPr>
          <w:rFonts w:ascii="Times New Roman" w:hAnsi="Times New Roman"/>
          <w:b w:val="false"/>
          <w:i w:val="false"/>
          <w:color w:val="000000"/>
          <w:sz w:val="22"/>
        </w:rPr>
        <w:t>These rules establish a method for predetermination by the department that a proposed utilization of a solid by-product will not be regulated as solid waste disposal when utilized in the manner approved by the department. These rules apply to industrial, commercial, and institutional generators and users or proposed users of solid by-products that before receiving a beneficial use determination by the department were disposing of solid by-products as solid waste. These rules encourage environmentally sound materials management practices to maximize the use of recoverable materials and to foster resource recovery. The department reserves the authority to modify or revoke any beneficial use determination authorized under these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102.301(2)</w:t>
      </w:r>
      <w:r>
        <w:rPr>
          <w:rFonts w:ascii="Times New Roman" w:hAnsi="Times New Roman"/>
          <w:b w:val="false"/>
          <w:i w:val="false"/>
          <w:color w:val="000000"/>
          <w:sz w:val="22"/>
        </w:rPr>
        <w:t> </w:t>
      </w:r>
      <w:r>
        <w:rPr>
          <w:rFonts w:ascii="Times New Roman" w:hAnsi="Times New Roman"/>
          <w:b w:val="false"/>
          <w:i w:val="false"/>
          <w:color w:val="000000"/>
          <w:sz w:val="22"/>
        </w:rPr>
        <w:t>These rules do not pertain to organic materials composting. Division I of this chapter contains rules pertaining to organic materials composting.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102.301(3)</w:t>
      </w:r>
      <w:r>
        <w:rPr>
          <w:rFonts w:ascii="Times New Roman" w:hAnsi="Times New Roman"/>
          <w:b w:val="false"/>
          <w:i w:val="false"/>
          <w:color w:val="000000"/>
          <w:sz w:val="22"/>
        </w:rPr>
        <w:t> </w:t>
      </w:r>
      <w:r>
        <w:rPr>
          <w:rFonts w:ascii="Times New Roman" w:hAnsi="Times New Roman"/>
          <w:b w:val="false"/>
          <w:i w:val="false"/>
          <w:color w:val="000000"/>
          <w:sz w:val="22"/>
        </w:rPr>
        <w:t>These rules do not pertain to the land application of solid waste. Division II of this chapter contains rules pertaining to the land application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102.301(4)</w:t>
      </w:r>
      <w:r>
        <w:rPr>
          <w:rFonts w:ascii="Times New Roman" w:hAnsi="Times New Roman"/>
          <w:b w:val="false"/>
          <w:i w:val="false"/>
          <w:color w:val="000000"/>
          <w:sz w:val="22"/>
        </w:rPr>
        <w:t> </w:t>
      </w:r>
      <w:r>
        <w:rPr>
          <w:rFonts w:ascii="Times New Roman" w:hAnsi="Times New Roman"/>
          <w:b w:val="false"/>
          <w:i w:val="false"/>
          <w:color w:val="000000"/>
          <w:sz w:val="22"/>
        </w:rPr>
        <w:t>These rules do not pertain to the beneficial use of waste tires. Division V of this chapter contains rules pertaining to the beneficial use of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102.301(5)</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pertain to alternative cover material. </w:t>
      </w:r>
      <w:hyperlink r:id="rId145">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Division II, contains rules pertaining to sanitary landfills utilizing or desiring to utilize solid by-products as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102.301(6)</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solid by-products that are directly incorporated into a manufacturing process to make a commercial product unless the use of a solid by-product as an ingredient in an industrial process or as a substitute for a commercial product may present a threat of harm to human health and the environment that is similar to the harm that would occur from the improper disposal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102.301(7)</w:t>
      </w:r>
      <w:r>
        <w:rPr>
          <w:rFonts w:ascii="Times New Roman" w:hAnsi="Times New Roman"/>
          <w:b w:val="false"/>
          <w:i w:val="false"/>
          <w:color w:val="000000"/>
          <w:sz w:val="22"/>
        </w:rPr>
        <w:t> </w:t>
      </w:r>
      <w:r>
        <w:rPr>
          <w:rFonts w:ascii="Times New Roman" w:hAnsi="Times New Roman"/>
          <w:b w:val="false"/>
          <w:i w:val="false"/>
          <w:color w:val="000000"/>
          <w:sz w:val="22"/>
        </w:rPr>
        <w:t xml:space="preserve">Beneficial use determinations granted by the department before September 23, 2026, shall remain in effect unless specifically addressed by these rules or by written notification pursuant to </w:t>
      </w:r>
      <w:hyperlink r:id="rId146">
        <w:r>
          <w:rPr>
            <w:rStyle w:val="Hyperlink"/>
            <w:rFonts w:ascii="Times New Roman" w:hAnsi="Times New Roman"/>
            <w:b w:val="false"/>
            <w:i w:val="false"/>
            <w:color w:val="000000"/>
            <w:sz w:val="22"/>
          </w:rPr>
          <w:t>567—102.307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102.301(8)</w:t>
      </w:r>
      <w:r>
        <w:rPr>
          <w:rFonts w:ascii="Times New Roman" w:hAnsi="Times New Roman"/>
          <w:b w:val="false"/>
          <w:i w:val="false"/>
          <w:color w:val="000000"/>
          <w:sz w:val="22"/>
        </w:rPr>
        <w:t> </w:t>
      </w:r>
      <w:r>
        <w:rPr>
          <w:rFonts w:ascii="Times New Roman" w:hAnsi="Times New Roman"/>
          <w:b w:val="false"/>
          <w:i w:val="false"/>
          <w:color w:val="000000"/>
          <w:sz w:val="22"/>
        </w:rPr>
        <w:t>The issuance of a beneficial use determination by the department affirms that the proposed use is not subject to regulation as solid waste disposal to the extent the use and solid by-product conforms to the beneficial use application and determination. The issuance of a beneficial use determination by the department in no way relieves the generator or user of the responsibility of complying with all other local, state, and federal statutes, ordinances, and rules or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102.301(9)</w:t>
      </w:r>
      <w:r>
        <w:rPr>
          <w:rFonts w:ascii="Times New Roman" w:hAnsi="Times New Roman"/>
          <w:b w:val="false"/>
          <w:i w:val="false"/>
          <w:color w:val="000000"/>
          <w:sz w:val="22"/>
        </w:rPr>
        <w:t> </w:t>
      </w:r>
      <w:r>
        <w:rPr>
          <w:rFonts w:ascii="Times New Roman" w:hAnsi="Times New Roman"/>
          <w:b w:val="false"/>
          <w:i w:val="false"/>
          <w:color w:val="000000"/>
          <w:sz w:val="22"/>
        </w:rPr>
        <w:t>Respondents in actions to enforce these regulations who raise a claim that a certain solid by-product is not a solid waste or is conditionally exempt from regulation shall demonstrate that there is a known market or disposition for the solid by-product and that they meet the terms of the exemption. Documentation (such as contracts showing that a second person or entity utilizes the solid by-product as an ingredient in a production process) is needed to demonstrate that the solid by-product is not a solid waste or is exempt from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102.301(10)</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that all solid by-product applications do not pose a threat to human health and the environment, the department has the authority to determine if a proposed use is beneficial and to approve or deny applications if such a benefit is not evident. Proposed beneficial uses in which the primary purpose is as a land disposal mechanism, and any beneficial use would be incidental in nature, will be denied in accordance with </w:t>
      </w:r>
      <w:hyperlink r:id="rId147">
        <w:r>
          <w:rPr>
            <w:rStyle w:val="Hyperlink"/>
            <w:rFonts w:ascii="Times New Roman" w:hAnsi="Times New Roman"/>
            <w:b w:val="false"/>
            <w:i w:val="false"/>
            <w:color w:val="000000"/>
            <w:sz w:val="22"/>
          </w:rPr>
          <w:t>567—102.308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102.301(11)</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in </w:t>
      </w:r>
      <w:hyperlink r:id="rId148">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Iowa Code section </w:t>
      </w:r>
      <w:hyperlink r:id="rId149">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567—102.303</w:t>
      </w:r>
      <w:r>
        <w:rPr>
          <w:rFonts w:ascii="Times New Roman" w:hAnsi="Times New Roman"/>
          <w:b/>
          <w:i w:val="false"/>
          <w:color w:val="000000"/>
          <w:sz w:val="22"/>
        </w:rPr>
        <w:t xml:space="preserve">(455B) </w:t>
      </w:r>
      <w:r>
        <w:rPr>
          <w:rFonts w:ascii="Times New Roman" w:hAnsi="Times New Roman"/>
          <w:b/>
          <w:i w:val="false"/>
          <w:color w:val="000000"/>
          <w:sz w:val="22"/>
        </w:rPr>
        <w:t xml:space="preserve">Universally approved beneficial use determinations. </w:t>
      </w:r>
      <w:r>
        <w:rPr>
          <w:rFonts w:ascii="Times New Roman" w:hAnsi="Times New Roman"/>
          <w:b w:val="false"/>
          <w:i w:val="false"/>
          <w:color w:val="000000"/>
          <w:sz w:val="22"/>
        </w:rPr>
        <w:t xml:space="preserve">The following solid by-products are hereby approved as the beneficial use of a solid by-product when utilized in the specific manners listed provided that such utilization is in compliance with </w:t>
      </w:r>
      <w:hyperlink r:id="rId150">
        <w:r>
          <w:rPr>
            <w:rStyle w:val="Hyperlink"/>
            <w:rFonts w:ascii="Times New Roman" w:hAnsi="Times New Roman"/>
            <w:b w:val="false"/>
            <w:i w:val="false"/>
            <w:color w:val="000000"/>
            <w:sz w:val="22"/>
          </w:rPr>
          <w:t>567—102.305</w:t>
        </w:r>
      </w:hyperlink>
      <w:r>
        <w:rPr>
          <w:rFonts w:ascii="Times New Roman" w:hAnsi="Times New Roman"/>
          <w:b w:val="false"/>
          <w:i w:val="false"/>
          <w:color w:val="000000"/>
          <w:sz w:val="22"/>
        </w:rPr>
        <w:t xml:space="preserve">(455B) and </w:t>
      </w:r>
      <w:hyperlink r:id="rId151">
        <w:r>
          <w:rPr>
            <w:rStyle w:val="Hyperlink"/>
            <w:rFonts w:ascii="Times New Roman" w:hAnsi="Times New Roman"/>
            <w:b w:val="false"/>
            <w:i w:val="false"/>
            <w:color w:val="000000"/>
            <w:sz w:val="22"/>
          </w:rPr>
          <w:t>567—102.306</w:t>
        </w:r>
      </w:hyperlink>
      <w:r>
        <w:rPr>
          <w:rFonts w:ascii="Times New Roman" w:hAnsi="Times New Roman"/>
          <w:b w:val="false"/>
          <w:i w:val="false"/>
          <w:color w:val="000000"/>
          <w:sz w:val="22"/>
        </w:rPr>
        <w:t xml:space="preserve">(455B). Unless an entity is otherwise notified by the department pursuant to </w:t>
      </w:r>
      <w:hyperlink r:id="rId152">
        <w:r>
          <w:rPr>
            <w:rStyle w:val="Hyperlink"/>
            <w:rFonts w:ascii="Times New Roman" w:hAnsi="Times New Roman"/>
            <w:b w:val="false"/>
            <w:i w:val="false"/>
            <w:color w:val="000000"/>
            <w:sz w:val="22"/>
          </w:rPr>
          <w:t>567—102.307</w:t>
        </w:r>
      </w:hyperlink>
      <w:r>
        <w:rPr>
          <w:rFonts w:ascii="Times New Roman" w:hAnsi="Times New Roman"/>
          <w:b w:val="false"/>
          <w:i w:val="false"/>
          <w:color w:val="000000"/>
          <w:sz w:val="22"/>
        </w:rPr>
        <w:t>(455B), such utilization does not require further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102.303(1)</w:t>
      </w:r>
      <w:r>
        <w:rPr>
          <w:rFonts w:ascii="Times New Roman" w:hAnsi="Times New Roman"/>
          <w:b w:val="false"/>
          <w:i w:val="false"/>
          <w:color w:val="000000"/>
          <w:sz w:val="22"/>
        </w:rPr>
        <w:t> </w:t>
      </w:r>
      <w:r>
        <w:rPr>
          <w:rFonts w:ascii="Times New Roman" w:hAnsi="Times New Roman"/>
          <w:b w:val="false"/>
          <w:i/>
          <w:color w:val="000000"/>
          <w:sz w:val="22"/>
        </w:rPr>
        <w:t xml:space="preserve">Asphalt shingles. </w:t>
      </w:r>
      <w:r>
        <w:rPr>
          <w:rFonts w:ascii="Times New Roman" w:hAnsi="Times New Roman"/>
          <w:b w:val="false"/>
          <w:i w:val="false"/>
          <w:color w:val="000000"/>
          <w:sz w:val="22"/>
        </w:rPr>
        <w:t xml:space="preserve">Asphalt shingles that are certified, consistent with federal regulations (Reference: Appendix E, Subpart E, </w:t>
      </w:r>
      <w:r>
        <w:rPr>
          <w:rFonts w:ascii="Times New Roman" w:hAnsi="Times New Roman"/>
          <w:b w:val="false"/>
          <w:i w:val="false"/>
          <w:color w:val="000000"/>
          <w:sz w:val="22"/>
        </w:rPr>
        <w:t>40 CFR Part 763</w:t>
      </w:r>
      <w:r>
        <w:rPr>
          <w:rFonts w:ascii="Times New Roman" w:hAnsi="Times New Roman"/>
          <w:b w:val="false"/>
          <w:i w:val="false"/>
          <w:color w:val="000000"/>
          <w:sz w:val="22"/>
        </w:rPr>
        <w:t>, Section 1, Polarized Light Microscopy), as not containing more than 1 percent asbestos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pavement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Road surfacing granular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Asphalt pavement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102.303(2)</w:t>
      </w:r>
      <w:r>
        <w:rPr>
          <w:rFonts w:ascii="Times New Roman" w:hAnsi="Times New Roman"/>
          <w:b w:val="false"/>
          <w:i w:val="false"/>
          <w:color w:val="000000"/>
          <w:sz w:val="22"/>
        </w:rPr>
        <w:t> </w:t>
      </w:r>
      <w:r>
        <w:rPr>
          <w:rFonts w:ascii="Times New Roman" w:hAnsi="Times New Roman"/>
          <w:b w:val="false"/>
          <w:i/>
          <w:color w:val="000000"/>
          <w:sz w:val="22"/>
        </w:rPr>
        <w:t xml:space="preserve">Cement kiln dust. </w:t>
      </w:r>
      <w:r>
        <w:rPr>
          <w:rFonts w:ascii="Times New Roman" w:hAnsi="Times New Roman"/>
          <w:b w:val="false"/>
          <w:i w:val="false"/>
          <w:color w:val="000000"/>
          <w:sz w:val="22"/>
        </w:rPr>
        <w:t>Cement kiln dust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pavement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 amendment pursuant to </w:t>
      </w:r>
      <w:hyperlink r:id="rId153">
        <w:r>
          <w:rPr>
            <w:rStyle w:val="Hyperlink"/>
            <w:rFonts w:ascii="Times New Roman" w:hAnsi="Times New Roman"/>
            <w:b w:val="false"/>
            <w:i w:val="false"/>
            <w:color w:val="000000"/>
            <w:sz w:val="22"/>
          </w:rPr>
          <w:t>21—Chapter 44</w:t>
        </w:r>
      </w:hyperlink>
      <w:r>
        <w:rPr>
          <w:rFonts w:ascii="Times New Roman" w:hAnsi="Times New Roman"/>
          <w:b w:val="false"/>
          <w:i w:val="false"/>
          <w:color w:val="000000"/>
          <w:sz w:val="22"/>
        </w:rPr>
        <w:t xml:space="preserve"> and other IDALS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stabilizer for manure and waste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soil stabilization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Structural fill or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102.303(3)</w:t>
      </w:r>
      <w:r>
        <w:rPr>
          <w:rFonts w:ascii="Times New Roman" w:hAnsi="Times New Roman"/>
          <w:b w:val="false"/>
          <w:i w:val="false"/>
          <w:color w:val="000000"/>
          <w:sz w:val="22"/>
        </w:rPr>
        <w:t> </w:t>
      </w:r>
      <w:r>
        <w:rPr>
          <w:rFonts w:ascii="Times New Roman" w:hAnsi="Times New Roman"/>
          <w:b w:val="false"/>
          <w:i/>
          <w:color w:val="000000"/>
          <w:sz w:val="22"/>
        </w:rPr>
        <w:t xml:space="preserve">Coal combustion residual.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Coal combustion fly ash, bottom ash, or boiler slag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pavement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soil stabilization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Structural fill or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Coal combustion bottom ash or boiler slag may also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Sandblasting or other abrasive.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Granules for roofing shingles.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Coal combustion flue gas desulfurization, flue gas pollution control by-products, including but not limited to lime, activated carbon and synthetic gypsum,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soil stabilization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Soil amendment pursuant to </w:t>
      </w:r>
      <w:hyperlink r:id="rId154">
        <w:r>
          <w:rPr>
            <w:rStyle w:val="Hyperlink"/>
            <w:rFonts w:ascii="Times New Roman" w:hAnsi="Times New Roman"/>
            <w:b w:val="false"/>
            <w:i w:val="false"/>
            <w:color w:val="000000"/>
            <w:sz w:val="22"/>
          </w:rPr>
          <w:t>21—Chapter 44</w:t>
        </w:r>
      </w:hyperlink>
      <w:r>
        <w:rPr>
          <w:rFonts w:ascii="Times New Roman" w:hAnsi="Times New Roman"/>
          <w:b w:val="false"/>
          <w:i w:val="false"/>
          <w:color w:val="000000"/>
          <w:sz w:val="22"/>
        </w:rPr>
        <w:t xml:space="preserve"> or an agricultural liming material pursuant to </w:t>
      </w:r>
      <w:hyperlink r:id="rId155">
        <w:r>
          <w:rPr>
            <w:rStyle w:val="Hyperlink"/>
            <w:rFonts w:ascii="Times New Roman" w:hAnsi="Times New Roman"/>
            <w:b w:val="false"/>
            <w:i w:val="false"/>
            <w:color w:val="000000"/>
            <w:sz w:val="22"/>
          </w:rPr>
          <w:t>21—Chapter 43</w:t>
        </w:r>
      </w:hyperlink>
      <w:r>
        <w:rPr>
          <w:rFonts w:ascii="Times New Roman" w:hAnsi="Times New Roman"/>
          <w:b w:val="false"/>
          <w:i w:val="false"/>
          <w:color w:val="000000"/>
          <w:sz w:val="22"/>
        </w:rPr>
        <w:t xml:space="preserve"> and other IDALS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102.303(4)</w:t>
      </w:r>
      <w:r>
        <w:rPr>
          <w:rFonts w:ascii="Times New Roman" w:hAnsi="Times New Roman"/>
          <w:b w:val="false"/>
          <w:i w:val="false"/>
          <w:color w:val="000000"/>
          <w:sz w:val="22"/>
        </w:rPr>
        <w:t> </w:t>
      </w:r>
      <w:r>
        <w:rPr>
          <w:rFonts w:ascii="Times New Roman" w:hAnsi="Times New Roman"/>
          <w:b w:val="false"/>
          <w:i/>
          <w:color w:val="000000"/>
          <w:sz w:val="22"/>
        </w:rPr>
        <w:t xml:space="preserve">Foundry sand. </w:t>
      </w:r>
      <w:r>
        <w:rPr>
          <w:rFonts w:ascii="Times New Roman" w:hAnsi="Times New Roman"/>
          <w:b w:val="false"/>
          <w:i w:val="false"/>
          <w:color w:val="000000"/>
          <w:sz w:val="22"/>
        </w:rPr>
        <w:t>Foundry sand from steel and ferrous casting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Leachate control drainage material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pavement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fill or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flood control use for sandbags.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Sandblasting or other abrasive.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102.303(5)</w:t>
      </w:r>
      <w:r>
        <w:rPr>
          <w:rFonts w:ascii="Times New Roman" w:hAnsi="Times New Roman"/>
          <w:b w:val="false"/>
          <w:i w:val="false"/>
          <w:color w:val="000000"/>
          <w:sz w:val="22"/>
        </w:rPr>
        <w:t> </w:t>
      </w:r>
      <w:r>
        <w:rPr>
          <w:rFonts w:ascii="Times New Roman" w:hAnsi="Times New Roman"/>
          <w:b w:val="false"/>
          <w:i/>
          <w:color w:val="000000"/>
          <w:sz w:val="22"/>
        </w:rPr>
        <w:t xml:space="preserve">Glass. </w:t>
      </w:r>
      <w:r>
        <w:rPr>
          <w:rFonts w:ascii="Times New Roman" w:hAnsi="Times New Roman"/>
          <w:b w:val="false"/>
          <w:i w:val="false"/>
          <w:color w:val="000000"/>
          <w:sz w:val="22"/>
        </w:rPr>
        <w:t>Uncontaminated, unleaded glass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Leachate control drainage material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pavement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fill or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Sandblasting or other abrasive.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Filter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102.303(6)</w:t>
      </w:r>
      <w:r>
        <w:rPr>
          <w:rFonts w:ascii="Times New Roman" w:hAnsi="Times New Roman"/>
          <w:b w:val="false"/>
          <w:i w:val="false"/>
          <w:color w:val="000000"/>
          <w:sz w:val="22"/>
        </w:rPr>
        <w:t> </w:t>
      </w:r>
      <w:r>
        <w:rPr>
          <w:rFonts w:ascii="Times New Roman" w:hAnsi="Times New Roman"/>
          <w:b w:val="false"/>
          <w:i/>
          <w:color w:val="000000"/>
          <w:sz w:val="22"/>
        </w:rPr>
        <w:t xml:space="preserve">Gypsum and gypsum wallboard. </w:t>
      </w:r>
      <w:r>
        <w:rPr>
          <w:rFonts w:ascii="Times New Roman" w:hAnsi="Times New Roman"/>
          <w:b w:val="false"/>
          <w:i w:val="false"/>
          <w:color w:val="000000"/>
          <w:sz w:val="22"/>
        </w:rPr>
        <w:t xml:space="preserve">Gypsum and gypsum wallboard that have not been treated to be water-resistant or flame-retardant may be used as a soil amendment pursuant to </w:t>
      </w:r>
      <w:hyperlink r:id="rId156">
        <w:r>
          <w:rPr>
            <w:rStyle w:val="Hyperlink"/>
            <w:rFonts w:ascii="Times New Roman" w:hAnsi="Times New Roman"/>
            <w:b w:val="false"/>
            <w:i w:val="false"/>
            <w:color w:val="000000"/>
            <w:sz w:val="22"/>
          </w:rPr>
          <w:t>21—Chapter 44</w:t>
        </w:r>
      </w:hyperlink>
      <w:r>
        <w:rPr>
          <w:rFonts w:ascii="Times New Roman" w:hAnsi="Times New Roman"/>
          <w:b w:val="false"/>
          <w:i w:val="false"/>
          <w:color w:val="000000"/>
          <w:sz w:val="22"/>
        </w:rPr>
        <w:t xml:space="preserve"> and other IDALS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102.303(7)</w:t>
      </w:r>
      <w:r>
        <w:rPr>
          <w:rFonts w:ascii="Times New Roman" w:hAnsi="Times New Roman"/>
          <w:b w:val="false"/>
          <w:i w:val="false"/>
          <w:color w:val="000000"/>
          <w:sz w:val="22"/>
        </w:rPr>
        <w:t> </w:t>
      </w:r>
      <w:r>
        <w:rPr>
          <w:rFonts w:ascii="Times New Roman" w:hAnsi="Times New Roman"/>
          <w:b w:val="false"/>
          <w:i/>
          <w:color w:val="000000"/>
          <w:sz w:val="22"/>
        </w:rPr>
        <w:t xml:space="preserve">Lime. </w:t>
      </w:r>
      <w:r>
        <w:rPr>
          <w:rFonts w:ascii="Times New Roman" w:hAnsi="Times New Roman"/>
          <w:b w:val="false"/>
          <w:i w:val="false"/>
          <w:color w:val="000000"/>
          <w:sz w:val="22"/>
        </w:rPr>
        <w:t xml:space="preserve">Lime produced as a by-product of public water supplies may be used as a soil amendment pursuant to </w:t>
      </w:r>
      <w:hyperlink r:id="rId157">
        <w:r>
          <w:rPr>
            <w:rStyle w:val="Hyperlink"/>
            <w:rFonts w:ascii="Times New Roman" w:hAnsi="Times New Roman"/>
            <w:b w:val="false"/>
            <w:i w:val="false"/>
            <w:color w:val="000000"/>
            <w:sz w:val="22"/>
          </w:rPr>
          <w:t>21—Chapter 44</w:t>
        </w:r>
      </w:hyperlink>
      <w:r>
        <w:rPr>
          <w:rFonts w:ascii="Times New Roman" w:hAnsi="Times New Roman"/>
          <w:b w:val="false"/>
          <w:i w:val="false"/>
          <w:color w:val="000000"/>
          <w:sz w:val="22"/>
        </w:rPr>
        <w:t xml:space="preserve"> or an agricultural liming material pursuant to </w:t>
      </w:r>
      <w:hyperlink r:id="rId158">
        <w:r>
          <w:rPr>
            <w:rStyle w:val="Hyperlink"/>
            <w:rFonts w:ascii="Times New Roman" w:hAnsi="Times New Roman"/>
            <w:b w:val="false"/>
            <w:i w:val="false"/>
            <w:color w:val="000000"/>
            <w:sz w:val="22"/>
          </w:rPr>
          <w:t>21—Chapter 43</w:t>
        </w:r>
      </w:hyperlink>
      <w:r>
        <w:rPr>
          <w:rFonts w:ascii="Times New Roman" w:hAnsi="Times New Roman"/>
          <w:b w:val="false"/>
          <w:i w:val="false"/>
          <w:color w:val="000000"/>
          <w:sz w:val="22"/>
        </w:rPr>
        <w:t xml:space="preserve"> and other IDALS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102.303(8)</w:t>
      </w:r>
      <w:r>
        <w:rPr>
          <w:rFonts w:ascii="Times New Roman" w:hAnsi="Times New Roman"/>
          <w:b w:val="false"/>
          <w:i w:val="false"/>
          <w:color w:val="000000"/>
          <w:sz w:val="22"/>
        </w:rPr>
        <w:t> </w:t>
      </w:r>
      <w:r>
        <w:rPr>
          <w:rFonts w:ascii="Times New Roman" w:hAnsi="Times New Roman"/>
          <w:b w:val="false"/>
          <w:i/>
          <w:color w:val="000000"/>
          <w:sz w:val="22"/>
        </w:rPr>
        <w:t xml:space="preserve">Lime kiln dust. </w:t>
      </w:r>
      <w:r>
        <w:rPr>
          <w:rFonts w:ascii="Times New Roman" w:hAnsi="Times New Roman"/>
          <w:b w:val="false"/>
          <w:i w:val="false"/>
          <w:color w:val="000000"/>
          <w:sz w:val="22"/>
        </w:rPr>
        <w:t>Lime kiln dust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pavement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 amendment pursuant to </w:t>
      </w:r>
      <w:hyperlink r:id="rId159">
        <w:r>
          <w:rPr>
            <w:rStyle w:val="Hyperlink"/>
            <w:rFonts w:ascii="Times New Roman" w:hAnsi="Times New Roman"/>
            <w:b w:val="false"/>
            <w:i w:val="false"/>
            <w:color w:val="000000"/>
            <w:sz w:val="22"/>
          </w:rPr>
          <w:t>21—Chapter 44</w:t>
        </w:r>
      </w:hyperlink>
      <w:r>
        <w:rPr>
          <w:rFonts w:ascii="Times New Roman" w:hAnsi="Times New Roman"/>
          <w:b w:val="false"/>
          <w:i w:val="false"/>
          <w:color w:val="000000"/>
          <w:sz w:val="22"/>
        </w:rPr>
        <w:t xml:space="preserve"> or an agricultural liming material pursuant to </w:t>
      </w:r>
      <w:hyperlink r:id="rId160">
        <w:r>
          <w:rPr>
            <w:rStyle w:val="Hyperlink"/>
            <w:rFonts w:ascii="Times New Roman" w:hAnsi="Times New Roman"/>
            <w:b w:val="false"/>
            <w:i w:val="false"/>
            <w:color w:val="000000"/>
            <w:sz w:val="22"/>
          </w:rPr>
          <w:t>21—Chapter 43</w:t>
        </w:r>
      </w:hyperlink>
      <w:r>
        <w:rPr>
          <w:rFonts w:ascii="Times New Roman" w:hAnsi="Times New Roman"/>
          <w:b w:val="false"/>
          <w:i w:val="false"/>
          <w:color w:val="000000"/>
          <w:sz w:val="22"/>
        </w:rPr>
        <w:t xml:space="preserve"> and other IDALS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stabilizer for manure and waste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soil stabilization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Structural fill or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102.303(9)</w:t>
      </w:r>
      <w:r>
        <w:rPr>
          <w:rFonts w:ascii="Times New Roman" w:hAnsi="Times New Roman"/>
          <w:b w:val="false"/>
          <w:i w:val="false"/>
          <w:color w:val="000000"/>
          <w:sz w:val="22"/>
        </w:rPr>
        <w:t> </w:t>
      </w:r>
      <w:r>
        <w:rPr>
          <w:rFonts w:ascii="Times New Roman" w:hAnsi="Times New Roman"/>
          <w:b w:val="false"/>
          <w:i/>
          <w:color w:val="000000"/>
          <w:sz w:val="22"/>
        </w:rPr>
        <w:t xml:space="preserve">Paper mill sludge. </w:t>
      </w:r>
      <w:r>
        <w:rPr>
          <w:rFonts w:ascii="Times New Roman" w:hAnsi="Times New Roman"/>
          <w:b w:val="false"/>
          <w:i w:val="false"/>
          <w:color w:val="000000"/>
          <w:sz w:val="22"/>
        </w:rPr>
        <w:t>Uncontaminated, dewatered paper mill sludge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fuel or energy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Bulking agent or carbon source for composting.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Animal bedding.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102.303(10)</w:t>
      </w:r>
      <w:r>
        <w:rPr>
          <w:rFonts w:ascii="Times New Roman" w:hAnsi="Times New Roman"/>
          <w:b w:val="false"/>
          <w:i w:val="false"/>
          <w:color w:val="000000"/>
          <w:sz w:val="22"/>
        </w:rPr>
        <w:t> </w:t>
      </w:r>
      <w:r>
        <w:rPr>
          <w:rFonts w:ascii="Times New Roman" w:hAnsi="Times New Roman"/>
          <w:b w:val="false"/>
          <w:i/>
          <w:color w:val="000000"/>
          <w:sz w:val="22"/>
        </w:rPr>
        <w:t xml:space="preserve">Rubble. </w:t>
      </w:r>
      <w:r>
        <w:rPr>
          <w:rFonts w:ascii="Times New Roman" w:hAnsi="Times New Roman"/>
          <w:b w:val="false"/>
          <w:i w:val="false"/>
          <w:color w:val="000000"/>
          <w:sz w:val="22"/>
        </w:rPr>
        <w:t>Uncontaminated rubble such as dirt, stone, brick, or similar inorganic materials may be used for beneficial fill, landscaping, excavation, or grading or as a substitute for conventional aggregate at places other than a sanitary disposal project. Asphalt, however, shall not be approved for any of these uses if such use will cause the asphalt to be placed in a waterway or wetland, in any waters of the state, or within a floodplain.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102.303(11)</w:t>
      </w:r>
      <w:r>
        <w:rPr>
          <w:rFonts w:ascii="Times New Roman" w:hAnsi="Times New Roman"/>
          <w:b w:val="false"/>
          <w:i w:val="false"/>
          <w:color w:val="000000"/>
          <w:sz w:val="22"/>
        </w:rPr>
        <w:t> </w:t>
      </w:r>
      <w:r>
        <w:rPr>
          <w:rFonts w:ascii="Times New Roman" w:hAnsi="Times New Roman"/>
          <w:b w:val="false"/>
          <w:i/>
          <w:color w:val="000000"/>
          <w:sz w:val="22"/>
        </w:rPr>
        <w:t xml:space="preserve">Sandblasting abrasives. </w:t>
      </w:r>
      <w:r>
        <w:rPr>
          <w:rFonts w:ascii="Times New Roman" w:hAnsi="Times New Roman"/>
          <w:b w:val="false"/>
          <w:i w:val="false"/>
          <w:color w:val="000000"/>
          <w:sz w:val="22"/>
        </w:rPr>
        <w:t>Sandblasting abrasives that do not contain heavy metal-based paint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pavement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Structural fill or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102.303(12)</w:t>
      </w:r>
      <w:r>
        <w:rPr>
          <w:rFonts w:ascii="Times New Roman" w:hAnsi="Times New Roman"/>
          <w:b w:val="false"/>
          <w:i w:val="false"/>
          <w:color w:val="000000"/>
          <w:sz w:val="22"/>
        </w:rPr>
        <w:t> </w:t>
      </w:r>
      <w:r>
        <w:rPr>
          <w:rFonts w:ascii="Times New Roman" w:hAnsi="Times New Roman"/>
          <w:b w:val="false"/>
          <w:i/>
          <w:color w:val="000000"/>
          <w:sz w:val="22"/>
        </w:rPr>
        <w:t xml:space="preserve">Wastewater filter sand. </w:t>
      </w:r>
      <w:r>
        <w:rPr>
          <w:rFonts w:ascii="Times New Roman" w:hAnsi="Times New Roman"/>
          <w:b w:val="false"/>
          <w:i w:val="false"/>
          <w:color w:val="000000"/>
          <w:sz w:val="22"/>
        </w:rPr>
        <w:t>Wastewater filter sand free of pathogens may be used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Subbase for hard-surface pavement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Leachate control drainage material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fill or fill material.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567—102.304</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requirements for beneficial use determinations. </w:t>
      </w:r>
      <w:r>
        <w:rPr>
          <w:rFonts w:ascii="Times New Roman" w:hAnsi="Times New Roman"/>
          <w:b w:val="false"/>
          <w:i w:val="false"/>
          <w:color w:val="000000"/>
          <w:sz w:val="22"/>
        </w:rPr>
        <w:t xml:space="preserve">Unless the beneficial use is approved pursuant to </w:t>
      </w:r>
      <w:hyperlink r:id="rId161">
        <w:r>
          <w:rPr>
            <w:rStyle w:val="Hyperlink"/>
            <w:rFonts w:ascii="Times New Roman" w:hAnsi="Times New Roman"/>
            <w:b w:val="false"/>
            <w:i w:val="false"/>
            <w:color w:val="000000"/>
            <w:sz w:val="22"/>
          </w:rPr>
          <w:t>567—102.303</w:t>
        </w:r>
      </w:hyperlink>
      <w:r>
        <w:rPr>
          <w:rFonts w:ascii="Times New Roman" w:hAnsi="Times New Roman"/>
          <w:b w:val="false"/>
          <w:i w:val="false"/>
          <w:color w:val="000000"/>
          <w:sz w:val="22"/>
        </w:rPr>
        <w:t>(455B), applicants will need to submit the following information on a form prescribed by the department. The department may request that additional information be submitted in order to make a beneficial use determination. The department may also require specific conditions on a beneficial use determination and issue a temporary determination on a trial basis.</w:t>
      </w:r>
    </w:p>
    <w:p>
      <w:pPr>
        <w:spacing w:before="0" w:after="0"/>
        <w:ind w:left="120"/>
        <w:jc w:val="both"/>
      </w:pPr>
      <w:r>
        <w:rPr>
          <w:rFonts w:ascii="Times New Roman" w:hAnsi="Times New Roman"/>
          <w:b w:val="false"/>
          <w:i w:val="false"/>
          <w:color w:val="000000"/>
          <w:sz w:val="22"/>
        </w:rPr>
        <w:t>A generator, user, or proposed user of a solid by-product may apply to the department in writing for a beneficial use determination. 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102.304(1)</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 of the site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 for the beneficial 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engineer (P.E.) licensed by the state of Iowa and retained for the project, if any. The department may, at its sole discretion, require the applicant to retain a professional engineer for the project or specific parts thereof in order to obtain a beneficial 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to be served,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102.304(2)</w:t>
      </w:r>
      <w:r>
        <w:rPr>
          <w:rFonts w:ascii="Times New Roman" w:hAnsi="Times New Roman"/>
          <w:b w:val="false"/>
          <w:i w:val="false"/>
          <w:color w:val="000000"/>
          <w:sz w:val="22"/>
        </w:rPr>
        <w:t> </w:t>
      </w:r>
      <w:r>
        <w:rPr>
          <w:rFonts w:ascii="Times New Roman" w:hAnsi="Times New Roman"/>
          <w:b w:val="false"/>
          <w:i w:val="false"/>
          <w:color w:val="000000"/>
          <w:sz w:val="22"/>
        </w:rPr>
        <w:t>Scaled map or aerial photograph locating the boundaries of the proposed beneficial use site, if applicable,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North and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lines and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750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750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site, including load limits or other restrictions on those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102.304(3)</w:t>
      </w:r>
      <w:r>
        <w:rPr>
          <w:rFonts w:ascii="Times New Roman" w:hAnsi="Times New Roman"/>
          <w:b w:val="false"/>
          <w:i w:val="false"/>
          <w:color w:val="000000"/>
          <w:sz w:val="22"/>
        </w:rPr>
        <w:t> </w:t>
      </w:r>
      <w:r>
        <w:rPr>
          <w:rFonts w:ascii="Times New Roman" w:hAnsi="Times New Roman"/>
          <w:b w:val="false"/>
          <w:i w:val="false"/>
          <w:color w:val="000000"/>
          <w:sz w:val="22"/>
        </w:rPr>
        <w:t>A description of the solid by-product under review and its proposed use, including the process that will be used to transport and handle the solid by-product, including any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102.304(4)</w:t>
      </w:r>
      <w:r>
        <w:rPr>
          <w:rFonts w:ascii="Times New Roman" w:hAnsi="Times New Roman"/>
          <w:b w:val="false"/>
          <w:i w:val="false"/>
          <w:color w:val="000000"/>
          <w:sz w:val="22"/>
        </w:rPr>
        <w:t> </w:t>
      </w:r>
      <w:r>
        <w:rPr>
          <w:rFonts w:ascii="Times New Roman" w:hAnsi="Times New Roman"/>
          <w:b w:val="false"/>
          <w:i w:val="false"/>
          <w:color w:val="000000"/>
          <w:sz w:val="22"/>
        </w:rPr>
        <w:t>The chemical and physical characteristics of the solid by-product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102.304(5)</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there is a known or reasonably probable market for the intended use of the solid by-product under review by providing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 to purchase or utilize the solid by-product for the use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solid by-product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 solid by-product complies with industry standards and specifications for that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submitted by persons other than the generator must be accompanied by written consent for the proposed use from the generator.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documentation that a market for the solid by-product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102.304(6)</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 proposed use of the solid by-product will not adversely affect human health and the environment. On a form prescribed by the department, the demonstration may include but is not limited to a toxicity characteristics leaching procedure analysis and total metals testing of a representative sample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102.304(7)</w:t>
      </w:r>
      <w:r>
        <w:rPr>
          <w:rFonts w:ascii="Times New Roman" w:hAnsi="Times New Roman"/>
          <w:b w:val="false"/>
          <w:i w:val="false"/>
          <w:color w:val="000000"/>
          <w:sz w:val="22"/>
        </w:rPr>
        <w:t> </w:t>
      </w:r>
      <w:r>
        <w:rPr>
          <w:rFonts w:ascii="Times New Roman" w:hAnsi="Times New Roman"/>
          <w:b w:val="false"/>
          <w:i w:val="false"/>
          <w:color w:val="000000"/>
          <w:sz w:val="22"/>
        </w:rPr>
        <w:t xml:space="preserve">A solid by-product management plan pursuant to </w:t>
      </w:r>
      <w:hyperlink r:id="rId162">
        <w:r>
          <w:rPr>
            <w:rStyle w:val="Hyperlink"/>
            <w:rFonts w:ascii="Times New Roman" w:hAnsi="Times New Roman"/>
            <w:b w:val="false"/>
            <w:i w:val="false"/>
            <w:color w:val="000000"/>
            <w:sz w:val="22"/>
          </w:rPr>
          <w:t>102.305(3)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567—102.305</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Requirements for beneficial use determinations.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102.305(1)</w:t>
      </w:r>
      <w:r>
        <w:rPr>
          <w:rFonts w:ascii="Times New Roman" w:hAnsi="Times New Roman"/>
          <w:b w:val="false"/>
          <w:i w:val="false"/>
          <w:color w:val="000000"/>
          <w:sz w:val="22"/>
        </w:rPr>
        <w:t> </w:t>
      </w:r>
      <w:r>
        <w:rPr>
          <w:rFonts w:ascii="Times New Roman" w:hAnsi="Times New Roman"/>
          <w:b w:val="false"/>
          <w:i/>
          <w:color w:val="000000"/>
          <w:sz w:val="22"/>
        </w:rPr>
        <w:t xml:space="preserve">Solid by-products applied to land. </w:t>
      </w:r>
      <w:r>
        <w:rPr>
          <w:rFonts w:ascii="Times New Roman" w:hAnsi="Times New Roman"/>
          <w:b w:val="false"/>
          <w:i w:val="false"/>
          <w:color w:val="000000"/>
          <w:sz w:val="22"/>
        </w:rPr>
        <w:t xml:space="preserve">Unless otherwise approved by the department, all beneficial uses, including those listed in </w:t>
      </w:r>
      <w:hyperlink r:id="rId163">
        <w:r>
          <w:rPr>
            <w:rStyle w:val="Hyperlink"/>
            <w:rFonts w:ascii="Times New Roman" w:hAnsi="Times New Roman"/>
            <w:b w:val="false"/>
            <w:i w:val="false"/>
            <w:color w:val="000000"/>
            <w:sz w:val="22"/>
          </w:rPr>
          <w:t>567—102.303</w:t>
        </w:r>
      </w:hyperlink>
      <w:r>
        <w:rPr>
          <w:rFonts w:ascii="Times New Roman" w:hAnsi="Times New Roman"/>
          <w:b w:val="false"/>
          <w:i w:val="false"/>
          <w:color w:val="000000"/>
          <w:sz w:val="22"/>
        </w:rPr>
        <w:t>(455B) other than uncontaminated rubble and soil, shall meet the following requirements if the beneficial use entails the solid by-product being used as a fill material, structural fill, or subbase for hard-surface pavement construction or for soil stabilization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Leachate characteristics of the solid by-product to be measured by the toxicity characteristics leaching procedure (TCLP, Environmental Protection Agency (EPA) Method 1311) and be consistent with federal regulations (Reference: Table 1, Subpart C, 40 CFR 261, Maximum Concentration of Contaminants for the Toxicity Characteristic).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Leachate characteristics of the solid by-product to be measured by the synthetic precipitation leaching procedure (SPLP, EPA Method 1312) and shall be less than or equal to ten times the maximum contaminant levels (MCL) for drinking water (Reference: Subpart G, 40 CFR 141, National Primary Drinking Water Regulations). Applicants may limit the SPLP analytes to total metals for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metals testing of the solid by-product (Total Metals, EPA Method 6010) shall comply with the department’s current statewide standards for soil (reported on dry weight basis) pursuant to </w:t>
      </w:r>
      <w:hyperlink r:id="rId164">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Division III. Levels shall be consistent with the statewide standards for soil or the naturally occurring (i.e., background) levels of the soil, whichever are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establish additional constituent standards from those outlined in this rule for a solid by-product. The department will review regulatory limits on a quarterly basis and post updates to the department website. It is the responsibility of each generator, applicant and end user to ensure solid by-products comply with the most current regulatory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produce a material that has a 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5 and less than or equal to 8 if the solid by-product may be used as growing media either now or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5 and less than 12 if the solid by-product is specifically intended not to be used as growing media either now or in the future. In this category, solid by-products with a pH equal to or greater than 10 but less than 12 shall be used only in areas where direct physical contact by humans for long periods of time is not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applications where only the surface may serve as growing media either now or in the future, then at a minimum the top three feet shall have a pH greater than or equal to 5 and less than or equal to 8. Solid by-products below the top three feet shall have a pH greater than or equal to 5 and less than or equal to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not be placed in a waterway or wetland or any waters of the state or extend below or within five feet of the high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solid by-product shall not be placed within a 100-year floodplain unless in accordance with all local and department regulations, including </w:t>
      </w:r>
      <w:hyperlink r:id="rId165">
        <w:r>
          <w:rPr>
            <w:rStyle w:val="Hyperlink"/>
            <w:rFonts w:ascii="Times New Roman" w:hAnsi="Times New Roman"/>
            <w:b w:val="false"/>
            <w:i w:val="false"/>
            <w:color w:val="000000"/>
            <w:sz w:val="22"/>
          </w:rPr>
          <w:t>567—Chapter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not be placed closer than 200 feet to a sinkhole or to a well that is being used or could be used for human or livestock water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not be placed closer than 100 feet of any property line unless written consent is obtained from the adjacent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not be putrescible.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project utilizing a solid by-product being applied to land, not including uncontaminated rubble and soil, that has not received a beneficial use determination shall be presumed to constitute the illegal disposal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102.305(2)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The department may make a determination that a solid by-product that has received approval to be used beneficially ceases to be a solid waste if it is used in accordance with the terms and conditions of the beneficial use determination. Unless otherwise determined for the particular solid by-product under review, the point at which a solid by-product ceases to be a solid waste occurs when it is used in a manufacturing process to make a product, used as an effective substitute for a commercial product, or used as a fuel for energy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102.305(3)</w:t>
      </w:r>
      <w:r>
        <w:rPr>
          <w:rFonts w:ascii="Times New Roman" w:hAnsi="Times New Roman"/>
          <w:b w:val="false"/>
          <w:i w:val="false"/>
          <w:color w:val="000000"/>
          <w:sz w:val="22"/>
        </w:rPr>
        <w:t> </w:t>
      </w:r>
      <w:r>
        <w:rPr>
          <w:rFonts w:ascii="Times New Roman" w:hAnsi="Times New Roman"/>
          <w:b w:val="false"/>
          <w:i/>
          <w:color w:val="000000"/>
          <w:sz w:val="22"/>
        </w:rPr>
        <w:t xml:space="preserve">Solid by-product management plans. </w:t>
      </w:r>
      <w:r>
        <w:rPr>
          <w:rFonts w:ascii="Times New Roman" w:hAnsi="Times New Roman"/>
          <w:b w:val="false"/>
          <w:i w:val="false"/>
          <w:color w:val="000000"/>
          <w:sz w:val="22"/>
        </w:rPr>
        <w:t xml:space="preserve">Recipients of beneficial use determinations granted pursuant to </w:t>
      </w:r>
      <w:hyperlink r:id="rId166">
        <w:r>
          <w:rPr>
            <w:rStyle w:val="Hyperlink"/>
            <w:rFonts w:ascii="Times New Roman" w:hAnsi="Times New Roman"/>
            <w:b w:val="false"/>
            <w:i w:val="false"/>
            <w:color w:val="000000"/>
            <w:sz w:val="22"/>
          </w:rPr>
          <w:t>567—102.304</w:t>
        </w:r>
      </w:hyperlink>
      <w:r>
        <w:rPr>
          <w:rFonts w:ascii="Times New Roman" w:hAnsi="Times New Roman"/>
          <w:b w:val="false"/>
          <w:i w:val="false"/>
          <w:color w:val="000000"/>
          <w:sz w:val="22"/>
        </w:rPr>
        <w:t xml:space="preserve">(455B) and those beneficial uses listed in </w:t>
      </w:r>
      <w:hyperlink r:id="rId167">
        <w:r>
          <w:rPr>
            <w:rStyle w:val="Hyperlink"/>
            <w:rFonts w:ascii="Times New Roman" w:hAnsi="Times New Roman"/>
            <w:b w:val="false"/>
            <w:i w:val="false"/>
            <w:color w:val="000000"/>
            <w:sz w:val="22"/>
          </w:rPr>
          <w:t>102.305(1)</w:t>
        </w:r>
      </w:hyperlink>
      <w:r>
        <w:rPr>
          <w:rFonts w:ascii="Times New Roman" w:hAnsi="Times New Roman"/>
          <w:b w:val="false"/>
          <w:i w:val="false"/>
          <w:color w:val="000000"/>
          <w:sz w:val="22"/>
        </w:rPr>
        <w:t xml:space="preserve"> shall develop and maintain a solid by-product management plan (SBMP) that satisfies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Lists the source(s)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Outlines procedures for periodic testing (not less than semiannually) of the solid by-product to confirm the proposed use continues to be adequately protective of human health and the environment and that the solid by-product continues to possess the physical characteristics and chemical properties that make it suitable for the approved beneficial use. Testing results from a certified laboratory pursuant to </w:t>
      </w:r>
      <w:hyperlink r:id="rId168">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are to be submitted as part of the SBMP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 description of storage procedures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Storage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Maximum anticipated inventory, including dimensions of any stockpiles.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Run-on and runoff controls, which may include a storm water National Pollutant Discharge Elimination System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practices to minimize uncontrolled dispersion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Maximum storage time, not to exceed six months unless authorized in writing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567—102.306</w:t>
      </w:r>
      <w:r>
        <w:rPr>
          <w:rFonts w:ascii="Times New Roman" w:hAnsi="Times New Roman"/>
          <w:b/>
          <w:i w:val="false"/>
          <w:color w:val="000000"/>
          <w:sz w:val="22"/>
        </w:rPr>
        <w:t xml:space="preserve">(455B) </w:t>
      </w:r>
      <w:r>
        <w:rPr>
          <w:rFonts w:ascii="Times New Roman" w:hAnsi="Times New Roman"/>
          <w:b/>
          <w:i w:val="false"/>
          <w:color w:val="000000"/>
          <w:sz w:val="22"/>
        </w:rPr>
        <w:t xml:space="preserve">Recordkeeping and reporting requirements. </w:t>
      </w:r>
      <w:r>
        <w:rPr>
          <w:rFonts w:ascii="Times New Roman" w:hAnsi="Times New Roman"/>
          <w:b w:val="false"/>
          <w:i w:val="false"/>
          <w:color w:val="000000"/>
          <w:sz w:val="22"/>
        </w:rPr>
        <w:t xml:space="preserve">Recipients of beneficial use determinations granted pursuant to </w:t>
      </w:r>
      <w:hyperlink r:id="rId169">
        <w:r>
          <w:rPr>
            <w:rStyle w:val="Hyperlink"/>
            <w:rFonts w:ascii="Times New Roman" w:hAnsi="Times New Roman"/>
            <w:b w:val="false"/>
            <w:i w:val="false"/>
            <w:color w:val="000000"/>
            <w:sz w:val="22"/>
          </w:rPr>
          <w:t>567—102.304</w:t>
        </w:r>
      </w:hyperlink>
      <w:r>
        <w:rPr>
          <w:rFonts w:ascii="Times New Roman" w:hAnsi="Times New Roman"/>
          <w:b w:val="false"/>
          <w:i w:val="false"/>
          <w:color w:val="000000"/>
          <w:sz w:val="22"/>
        </w:rPr>
        <w:t xml:space="preserve">(455B) and those beneficial uses listed in </w:t>
      </w:r>
      <w:hyperlink r:id="rId170">
        <w:r>
          <w:rPr>
            <w:rStyle w:val="Hyperlink"/>
            <w:rFonts w:ascii="Times New Roman" w:hAnsi="Times New Roman"/>
            <w:b w:val="false"/>
            <w:i w:val="false"/>
            <w:color w:val="000000"/>
            <w:sz w:val="22"/>
          </w:rPr>
          <w:t>102.305(1)</w:t>
        </w:r>
      </w:hyperlink>
      <w:r>
        <w:rPr>
          <w:rFonts w:ascii="Times New Roman" w:hAnsi="Times New Roman"/>
          <w:b w:val="false"/>
          <w:i w:val="false"/>
          <w:color w:val="000000"/>
          <w:sz w:val="22"/>
        </w:rPr>
        <w:t xml:space="preserve"> shall comply with the following recordkeeping and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102.306(1)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An entity subject to this rule must maintain all records related to the solid by-product management plan for a minimum duration of five years after project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102.306(2)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Unless otherwise directed by the department, solid by-product management plans are to be filed with the department’s central office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entity subject to this rule shall submit to the department a copy of the solid by-product management plan prior to reuse of the solid by-product, whenever that plan is revised, and within 60 days of the end of the calendar year,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subject to this rule whose solid by-product is being applied to land pursuant to </w:t>
      </w:r>
      <w:hyperlink r:id="rId171">
        <w:r>
          <w:rPr>
            <w:rStyle w:val="Hyperlink"/>
            <w:rFonts w:ascii="Times New Roman" w:hAnsi="Times New Roman"/>
            <w:b w:val="false"/>
            <w:i w:val="false"/>
            <w:color w:val="000000"/>
            <w:sz w:val="22"/>
          </w:rPr>
          <w:t>102.305(1)</w:t>
        </w:r>
      </w:hyperlink>
      <w:r>
        <w:rPr>
          <w:rFonts w:ascii="Times New Roman" w:hAnsi="Times New Roman"/>
          <w:b w:val="false"/>
          <w:i w:val="false"/>
          <w:color w:val="000000"/>
          <w:sz w:val="22"/>
        </w:rPr>
        <w:t xml:space="preserve"> shall also submit to the department the following information for each beneficial use project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tons of solid by-product utilized for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567—102.307</w:t>
      </w:r>
      <w:r>
        <w:rPr>
          <w:rFonts w:ascii="Times New Roman" w:hAnsi="Times New Roman"/>
          <w:b/>
          <w:i w:val="false"/>
          <w:color w:val="000000"/>
          <w:sz w:val="22"/>
        </w:rPr>
        <w:t xml:space="preserve">(455B) </w:t>
      </w:r>
      <w:r>
        <w:rPr>
          <w:rFonts w:ascii="Times New Roman" w:hAnsi="Times New Roman"/>
          <w:b/>
          <w:i w:val="false"/>
          <w:color w:val="000000"/>
          <w:sz w:val="22"/>
        </w:rPr>
        <w:t xml:space="preserve">Revocation of beneficial use determinations. </w:t>
      </w:r>
      <w:r>
        <w:rPr>
          <w:rFonts w:ascii="Times New Roman" w:hAnsi="Times New Roman"/>
          <w:b w:val="false"/>
          <w:i w:val="false"/>
          <w:color w:val="000000"/>
          <w:sz w:val="22"/>
        </w:rPr>
        <w:t>The department may revoke any beneficial use determination if it finds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102.307(1)</w:t>
      </w:r>
      <w:r>
        <w:rPr>
          <w:rFonts w:ascii="Times New Roman" w:hAnsi="Times New Roman"/>
          <w:b w:val="false"/>
          <w:i w:val="false"/>
          <w:color w:val="000000"/>
          <w:sz w:val="22"/>
        </w:rPr>
        <w:t> </w:t>
      </w:r>
      <w:r>
        <w:rPr>
          <w:rFonts w:ascii="Times New Roman" w:hAnsi="Times New Roman"/>
          <w:b w:val="false"/>
          <w:i w:val="false"/>
          <w:color w:val="000000"/>
          <w:sz w:val="22"/>
        </w:rPr>
        <w:t>The matters serving as the basis for the department’s determination were incomplete or incorrect or are no longer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102.307(2)</w:t>
      </w:r>
      <w:r>
        <w:rPr>
          <w:rFonts w:ascii="Times New Roman" w:hAnsi="Times New Roman"/>
          <w:b w:val="false"/>
          <w:i w:val="false"/>
          <w:color w:val="000000"/>
          <w:sz w:val="22"/>
        </w:rPr>
        <w:t> </w:t>
      </w:r>
      <w:r>
        <w:rPr>
          <w:rFonts w:ascii="Times New Roman" w:hAnsi="Times New Roman"/>
          <w:b w:val="false"/>
          <w:i w:val="false"/>
          <w:color w:val="000000"/>
          <w:sz w:val="22"/>
        </w:rPr>
        <w:t>The department finds that there has been a violation of any law, rule, permit, or other authorization in its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102.307(3)</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reasonable cause to suspect, based upon information not previously considered or available as part of the application, demonstrating that management of the solid by-product under the approved beneficial use determination may present a significant risk to or adverse effect on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solid by-product is used in a manner inconsistent with the terms under which it was determined to no longer be a solid waste. The department may consider the placement, dumping, or other use of a solid by-product in a manner inconsistent with the beneficial use determination to be illegal disposal of solid waste, and the applicant, generator, distributer, or end user may be subject to enforcement action by the department pursuant to Iowa Code section </w:t>
      </w:r>
      <w:hyperlink r:id="rId172">
        <w:r>
          <w:rPr>
            <w:rStyle w:val="Hyperlink"/>
            <w:rFonts w:ascii="Times New Roman" w:hAnsi="Times New Roman"/>
            <w:b w:val="false"/>
            <w:i w:val="false"/>
            <w:color w:val="000000"/>
            <w:sz w:val="22"/>
          </w:rPr>
          <w:t>455B.307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102.307(5)</w:t>
      </w:r>
      <w:r>
        <w:rPr>
          <w:rFonts w:ascii="Times New Roman" w:hAnsi="Times New Roman"/>
          <w:b w:val="false"/>
          <w:i w:val="false"/>
          <w:color w:val="000000"/>
          <w:sz w:val="22"/>
        </w:rPr>
        <w:t> </w:t>
      </w:r>
      <w:r>
        <w:rPr>
          <w:rFonts w:ascii="Times New Roman" w:hAnsi="Times New Roman"/>
          <w:b w:val="false"/>
          <w:i w:val="false"/>
          <w:color w:val="000000"/>
          <w:sz w:val="22"/>
        </w:rPr>
        <w:t>The applicant has requested the revocation of the determination or other legal grounds exist for such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567—102.308</w:t>
      </w:r>
      <w:r>
        <w:rPr>
          <w:rFonts w:ascii="Times New Roman" w:hAnsi="Times New Roman"/>
          <w:b/>
          <w:i w:val="false"/>
          <w:color w:val="000000"/>
          <w:sz w:val="22"/>
        </w:rPr>
        <w:t xml:space="preserve">(455B) </w:t>
      </w:r>
      <w:r>
        <w:rPr>
          <w:rFonts w:ascii="Times New Roman" w:hAnsi="Times New Roman"/>
          <w:b/>
          <w:i w:val="false"/>
          <w:color w:val="000000"/>
          <w:sz w:val="22"/>
        </w:rPr>
        <w:t xml:space="preserve">Denial of beneficial use determination applications. </w:t>
      </w:r>
      <w:r>
        <w:rPr>
          <w:rFonts w:ascii="Times New Roman" w:hAnsi="Times New Roman"/>
          <w:b w:val="false"/>
          <w:i w:val="false"/>
          <w:color w:val="000000"/>
          <w:sz w:val="22"/>
        </w:rPr>
        <w:t>For applications that are found to be inconsistent with these regulations by the department,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102.308(1)</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in writing of the denial, including supporting rationale, within 90 days of receipt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102.308(2)</w:t>
      </w:r>
      <w:r>
        <w:rPr>
          <w:rFonts w:ascii="Times New Roman" w:hAnsi="Times New Roman"/>
          <w:b w:val="false"/>
          <w:i w:val="false"/>
          <w:color w:val="000000"/>
          <w:sz w:val="22"/>
        </w:rPr>
        <w:t> </w:t>
      </w:r>
      <w:r>
        <w:rPr>
          <w:rFonts w:ascii="Times New Roman" w:hAnsi="Times New Roman"/>
          <w:b w:val="false"/>
          <w:i w:val="false"/>
          <w:color w:val="000000"/>
          <w:sz w:val="22"/>
        </w:rPr>
        <w:t>Solid by-products for which a beneficial use determination is denied by the department are considered solid waste and remain subject to all applicable state and federal statutes, ordinances,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102.308(3)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appeal the denial of a beneficial use determination to the department within 60 days of notification of denial. Such appeal shall be made in a manner consistent with </w:t>
      </w:r>
      <w:hyperlink r:id="rId173">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74">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567—102.309</w:t>
      </w:r>
      <w:r>
        <w:rPr>
          <w:rFonts w:ascii="Times New Roman" w:hAnsi="Times New Roman"/>
          <w:b w:val="false"/>
          <w:i w:val="false"/>
          <w:color w:val="000000"/>
          <w:sz w:val="22"/>
        </w:rPr>
        <w:t xml:space="preserve"> to </w:t>
      </w:r>
      <w:r>
        <w:rPr>
          <w:rFonts w:ascii="Times New Roman" w:hAnsi="Times New Roman"/>
          <w:b/>
          <w:i w:val="false"/>
          <w:color w:val="000000"/>
          <w:sz w:val="22"/>
        </w:rPr>
        <w:t>102.399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75">
        <w:r>
          <w:rPr>
            <w:rStyle w:val="Hyperlink"/>
            <w:rFonts w:ascii="Times New Roman" w:hAnsi="Times New Roman"/>
            <w:b w:val="false"/>
            <w:i w:val="false"/>
            <w:color w:val="000000"/>
            <w:sz w:val="22"/>
          </w:rPr>
          <w:t>455B.304(19)</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WASTE TIRE MANAGEMENT</w:t>
      </w:r>
    </w:p>
    <w:p>
      <w:pPr>
        <w:spacing w:before="0" w:after="0"/>
        <w:ind w:left="120"/>
        <w:jc w:val="both"/>
      </w:pPr>
      <w:r>
        <w:rPr>
          <w:rFonts w:ascii="Times New Roman" w:hAnsi="Times New Roman"/>
          <w:b/>
          <w:i w:val="false"/>
          <w:color w:val="000000"/>
          <w:sz w:val="22"/>
        </w:rPr>
        <w:t>567—102.400</w:t>
      </w:r>
      <w:r>
        <w:rPr>
          <w:rFonts w:ascii="Times New Roman" w:hAnsi="Times New Roman"/>
          <w:b/>
          <w:i w:val="false"/>
          <w:color w:val="000000"/>
          <w:sz w:val="22"/>
        </w:rPr>
        <w:t xml:space="preserve">(455D)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division is to establish guidelines for the proper management of waste tires, including collection, hauling, storage, processing, disposal, and beneficial reuse of waste tires and processed waste tire materials. This division shall not be construed to exempt a waste tire stockpile site, processing facility, or waste tire hauler from compliance with more stringent local ordinances, fire codes, or other applicable statutes.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567—102.401</w:t>
      </w:r>
      <w:r>
        <w:rPr>
          <w:rFonts w:ascii="Times New Roman" w:hAnsi="Times New Roman"/>
          <w:b/>
          <w:i w:val="false"/>
          <w:color w:val="000000"/>
          <w:sz w:val="22"/>
        </w:rPr>
        <w:t xml:space="preserve">(455D)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in </w:t>
      </w:r>
      <w:hyperlink r:id="rId176">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Iowa Code sections </w:t>
      </w:r>
      <w:hyperlink r:id="rId177">
        <w:r>
          <w:rPr>
            <w:rStyle w:val="Hyperlink"/>
            <w:rFonts w:ascii="Times New Roman" w:hAnsi="Times New Roman"/>
            <w:b w:val="false"/>
            <w:i w:val="false"/>
            <w:color w:val="000000"/>
            <w:sz w:val="22"/>
          </w:rPr>
          <w:t>455D.11</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455D.11I</w:t>
        </w:r>
      </w:hyperlink>
      <w:r>
        <w:rPr>
          <w:rFonts w:ascii="Times New Roman" w:hAnsi="Times New Roman"/>
          <w:b w:val="false"/>
          <w:i w:val="false"/>
          <w:color w:val="000000"/>
          <w:sz w:val="22"/>
        </w:rPr>
        <w:t xml:space="preserve"> shall apply. In addition, “stockpile” as used in this division shall mean the storage or collection of waste tires in anticipation of final disposal.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567—102.402</w:t>
      </w:r>
      <w:r>
        <w:rPr>
          <w:rFonts w:ascii="Times New Roman" w:hAnsi="Times New Roman"/>
          <w:b/>
          <w:i w:val="false"/>
          <w:color w:val="000000"/>
          <w:sz w:val="22"/>
        </w:rPr>
        <w:t xml:space="preserve">(455D) </w:t>
      </w:r>
      <w:r>
        <w:rPr>
          <w:rFonts w:ascii="Times New Roman" w:hAnsi="Times New Roman"/>
          <w:b/>
          <w:i w:val="false"/>
          <w:color w:val="000000"/>
          <w:sz w:val="22"/>
        </w:rPr>
        <w:t xml:space="preserve">Registration of waste tire haulers. </w:t>
      </w:r>
      <w:r>
        <w:rPr>
          <w:rFonts w:ascii="Times New Roman" w:hAnsi="Times New Roman"/>
          <w:b w:val="false"/>
          <w:i w:val="false"/>
          <w:color w:val="000000"/>
          <w:sz w:val="22"/>
        </w:rPr>
        <w:t>A waste tire hauler shall register with and obtain a certificate of registration from the department in accordance with this division before hauling waste tires in Iowa. Waste tire haulers that pick up tires within Iowa or that bring waste tires to Iowa for disposal, stockpiling, or processing shall be required to register.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102.402(1)</w:t>
      </w:r>
      <w:r>
        <w:rPr>
          <w:rFonts w:ascii="Times New Roman" w:hAnsi="Times New Roman"/>
          <w:b w:val="false"/>
          <w:i w:val="false"/>
          <w:color w:val="000000"/>
          <w:sz w:val="22"/>
        </w:rPr>
        <w:t> </w:t>
      </w:r>
      <w:r>
        <w:rPr>
          <w:rFonts w:ascii="Times New Roman" w:hAnsi="Times New Roman"/>
          <w:b w:val="false"/>
          <w:i/>
          <w:color w:val="000000"/>
          <w:sz w:val="22"/>
        </w:rPr>
        <w:t xml:space="preserve">Registration exemption. </w:t>
      </w:r>
      <w:r>
        <w:rPr>
          <w:rFonts w:ascii="Times New Roman" w:hAnsi="Times New Roman"/>
          <w:b w:val="false"/>
          <w:i w:val="false"/>
          <w:color w:val="000000"/>
          <w:sz w:val="22"/>
        </w:rPr>
        <w:t>A waste tire hauler shall not be required to register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waste tire hauler only travels through the state with waste tires as a part of interstate commerce and does not pick up, deposit, transfer, store, or dispose of any waste tires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waste tire hauler is a municipal, county, state, or other public agency; the vehicles used for transport of the waste tires are owned and licensed by the public agency; and the agency hauls no more than 10,000 waste tires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102.402(2)</w:t>
      </w:r>
      <w:r>
        <w:rPr>
          <w:rFonts w:ascii="Times New Roman" w:hAnsi="Times New Roman"/>
          <w:b w:val="false"/>
          <w:i w:val="false"/>
          <w:color w:val="000000"/>
          <w:sz w:val="22"/>
        </w:rPr>
        <w:t> </w:t>
      </w:r>
      <w:r>
        <w:rPr>
          <w:rFonts w:ascii="Times New Roman" w:hAnsi="Times New Roman"/>
          <w:b w:val="false"/>
          <w:i/>
          <w:color w:val="000000"/>
          <w:sz w:val="22"/>
        </w:rPr>
        <w:t xml:space="preserve">Annual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waste tire hauler registration shall be valid for one year, and the waste tire hauler must annually renew the waste tire hauler registration in order to continue to provide waste tire hauling services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registration of a waste tire hauler shall be valid upon the date of issuance by the department and shall be effective for a minimum 12-month period thereafter, with expiration of the initial registration to occur on either January 1 or July 1, whichever date occurs most closely after the initial 12-month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annual renewal of the waste tire hauler’s registration shall then occur on either January 1 or July 1, subject to the date of the original expiration as referenced in </w:t>
      </w:r>
      <w:hyperlink r:id="rId179">
        <w:r>
          <w:rPr>
            <w:rStyle w:val="Hyperlink"/>
            <w:rFonts w:ascii="Times New Roman" w:hAnsi="Times New Roman"/>
            <w:b w:val="false"/>
            <w:i w:val="false"/>
            <w:color w:val="000000"/>
            <w:sz w:val="22"/>
          </w:rPr>
          <w:t>102.402(2)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102.402(3)</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form. </w:t>
      </w:r>
      <w:r>
        <w:rPr>
          <w:rFonts w:ascii="Times New Roman" w:hAnsi="Times New Roman"/>
          <w:b w:val="false"/>
          <w:i w:val="false"/>
          <w:color w:val="000000"/>
          <w:sz w:val="22"/>
        </w:rPr>
        <w:t>A waste tire hauler shall submit the following information on a form prescribed by the department for application for or renewal of registration as a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waste tire hauler and any other names under which the waste tire hauler may do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principal address of the waste tire hauler and any other address at which the waste tire hauler may do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business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principal officer of a corporate waste tire hauler or the principal owner or owners of a waste tire hauler operating a proprietorship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for each motor vehicle used by the waste tire hauler for hauling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vehicle identification number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year, make, and model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license plate number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state in which the vehicle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waste tire hauler agrees to comply with the vehicle identification requirements contained in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of the permitted facility for waste tire disposal, stockpiling, or processing or of another site of end use where the waste tires will be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that the waste tire hauler shall pay all amounts due to any individual or group of individuals when due for damages caused by improper disposal of waste tires by the waste tire hauler or the waste tire hauler’s employee while acting within the scope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that the waste tire hauler agrees to notify the department within 30 days of any change in the information contained in the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signature of the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102.402(4)</w:t>
      </w:r>
      <w:r>
        <w:rPr>
          <w:rFonts w:ascii="Times New Roman" w:hAnsi="Times New Roman"/>
          <w:b w:val="false"/>
          <w:i w:val="false"/>
          <w:color w:val="000000"/>
          <w:sz w:val="22"/>
        </w:rPr>
        <w:t> </w:t>
      </w:r>
      <w:r>
        <w:rPr>
          <w:rFonts w:ascii="Times New Roman" w:hAnsi="Times New Roman"/>
          <w:b w:val="false"/>
          <w:i/>
          <w:color w:val="000000"/>
          <w:sz w:val="22"/>
        </w:rPr>
        <w:t xml:space="preserve">Waste tire hauler registration fee. </w:t>
      </w:r>
      <w:r>
        <w:rPr>
          <w:rFonts w:ascii="Times New Roman" w:hAnsi="Times New Roman"/>
          <w:b w:val="false"/>
          <w:i w:val="false"/>
          <w:color w:val="000000"/>
          <w:sz w:val="22"/>
        </w:rPr>
        <w:t>An application for initial registration or renewal shall be accompanied by a fee of $50.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567—102.403</w:t>
      </w:r>
      <w:r>
        <w:rPr>
          <w:rFonts w:ascii="Times New Roman" w:hAnsi="Times New Roman"/>
          <w:b/>
          <w:i w:val="false"/>
          <w:color w:val="000000"/>
          <w:sz w:val="22"/>
        </w:rPr>
        <w:t xml:space="preserve">(455D) </w:t>
      </w:r>
      <w:r>
        <w:rPr>
          <w:rFonts w:ascii="Times New Roman" w:hAnsi="Times New Roman"/>
          <w:b/>
          <w:i w:val="false"/>
          <w:color w:val="000000"/>
          <w:sz w:val="22"/>
        </w:rPr>
        <w:t xml:space="preserve">Waste tire hauler bond.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registration or renewal shall not be approved by the department until the waste tire hauler has provided a surety bond in the sum of a minimum of $150,000, as provided for in Iowa Code section </w:t>
      </w:r>
      <w:hyperlink r:id="rId180">
        <w:r>
          <w:rPr>
            <w:rStyle w:val="Hyperlink"/>
            <w:rFonts w:ascii="Times New Roman" w:hAnsi="Times New Roman"/>
            <w:b w:val="false"/>
            <w:i w:val="false"/>
            <w:color w:val="000000"/>
            <w:sz w:val="22"/>
          </w:rPr>
          <w:t>455D.11I(6)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102.403(2)</w:t>
      </w:r>
      <w:r>
        <w:rPr>
          <w:rFonts w:ascii="Times New Roman" w:hAnsi="Times New Roman"/>
          <w:b w:val="false"/>
          <w:i w:val="false"/>
          <w:color w:val="000000"/>
          <w:sz w:val="22"/>
        </w:rPr>
        <w:t> </w:t>
      </w:r>
      <w:r>
        <w:rPr>
          <w:rFonts w:ascii="Times New Roman" w:hAnsi="Times New Roman"/>
          <w:b w:val="false"/>
          <w:i w:val="false"/>
          <w:color w:val="000000"/>
          <w:sz w:val="22"/>
        </w:rPr>
        <w:t>Bond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bond shall be on a form prescribed by the department, and executed by a surety company authorized by the commissioner of insurance to do business in Iowa. The bond provided to the department shall be an original, or 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surety shall name the state of Iowa as the obligee for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bond shall be continuous in nature until canceled by the surety. The surety shall provide at least 30 days’ notice in writing to the waste tire hauler and the department in the event of any intent to cancel the bond and the effective date of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waste tire hauler shall provide the department with a statement from the surety with each waste tire hauler registration renewal application, noting that the bond is paid and current for the annual period for which the waste tire hauler has applied for registration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567—102.404</w:t>
      </w:r>
      <w:r>
        <w:rPr>
          <w:rFonts w:ascii="Times New Roman" w:hAnsi="Times New Roman"/>
          <w:b/>
          <w:i w:val="false"/>
          <w:color w:val="000000"/>
          <w:sz w:val="22"/>
        </w:rPr>
        <w:t xml:space="preserve">(455D) </w:t>
      </w:r>
      <w:r>
        <w:rPr>
          <w:rFonts w:ascii="Times New Roman" w:hAnsi="Times New Roman"/>
          <w:b/>
          <w:i w:val="false"/>
          <w:color w:val="000000"/>
          <w:sz w:val="22"/>
        </w:rPr>
        <w:t xml:space="preserve">Marking of equipment. </w:t>
      </w:r>
      <w:r>
        <w:rPr>
          <w:rFonts w:ascii="Times New Roman" w:hAnsi="Times New Roman"/>
          <w:b w:val="false"/>
          <w:i w:val="false"/>
          <w:color w:val="000000"/>
          <w:sz w:val="22"/>
        </w:rPr>
        <w:t>The following information shall be displayed on each side of equipment used by a registered waste tire hauler for the hauling of waste tires in letters and figures large enough to be read easily at a distance of 50 feet and in a color in contrast to the background.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registered waste tire hauler under whose authority the equipment is being operated.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address of the registered waste tire hauler (city and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The registration number of the waste tire hauler, as assigned by the department. The hauler shall apply the letters and symbol “IA TH#” preceding the assigned registration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567—102.405</w:t>
      </w:r>
      <w:r>
        <w:rPr>
          <w:rFonts w:ascii="Times New Roman" w:hAnsi="Times New Roman"/>
          <w:b/>
          <w:i w:val="false"/>
          <w:color w:val="000000"/>
          <w:sz w:val="22"/>
        </w:rPr>
        <w:t xml:space="preserve">(455D) </w:t>
      </w:r>
      <w:r>
        <w:rPr>
          <w:rFonts w:ascii="Times New Roman" w:hAnsi="Times New Roman"/>
          <w:b/>
          <w:i w:val="false"/>
          <w:color w:val="000000"/>
          <w:sz w:val="22"/>
        </w:rPr>
        <w:t xml:space="preserve">Disposition of waste tires collected.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102.405(1)</w:t>
      </w:r>
      <w:r>
        <w:rPr>
          <w:rFonts w:ascii="Times New Roman" w:hAnsi="Times New Roman"/>
          <w:b w:val="false"/>
          <w:i w:val="false"/>
          <w:color w:val="000000"/>
          <w:sz w:val="22"/>
        </w:rPr>
        <w:t> </w:t>
      </w:r>
      <w:r>
        <w:rPr>
          <w:rFonts w:ascii="Times New Roman" w:hAnsi="Times New Roman"/>
          <w:b w:val="false"/>
          <w:i w:val="false"/>
          <w:color w:val="000000"/>
          <w:sz w:val="22"/>
        </w:rPr>
        <w:t>All tires collected by a waste tire hauler for which a fee has been collected or is to be charged shall be defined as solid waste and shall be regulated as such.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102.405(2)</w:t>
      </w:r>
      <w:r>
        <w:rPr>
          <w:rFonts w:ascii="Times New Roman" w:hAnsi="Times New Roman"/>
          <w:b w:val="false"/>
          <w:i w:val="false"/>
          <w:color w:val="000000"/>
          <w:sz w:val="22"/>
        </w:rPr>
        <w:t> </w:t>
      </w:r>
      <w:r>
        <w:rPr>
          <w:rFonts w:ascii="Times New Roman" w:hAnsi="Times New Roman"/>
          <w:b w:val="false"/>
          <w:i w:val="false"/>
          <w:color w:val="000000"/>
          <w:sz w:val="22"/>
        </w:rPr>
        <w:t>Upon receipt of waste tires from a person or business, the waste tire hauler shall handle the waste tires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waste tires shall be directly transported to a tire collector, tire processor, or waste tire stockpile site as permitted and approved by the department or applicable local or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waste tires must be transported to a permitted site within 72 hours of initial pickup from the generator of the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tire hauler may not establish or operate any intermediate stockpiling, waste sorting, transfer, or processing activities regarding the waste tires collected unless such activities occur at a facility or site for which a waste tire stockpile permit or processing permit has been issued in accordance with Iowa Code section </w:t>
      </w:r>
      <w:hyperlink r:id="rId181">
        <w:r>
          <w:rPr>
            <w:rStyle w:val="Hyperlink"/>
            <w:rFonts w:ascii="Times New Roman" w:hAnsi="Times New Roman"/>
            <w:b w:val="false"/>
            <w:i w:val="false"/>
            <w:color w:val="000000"/>
            <w:sz w:val="22"/>
          </w:rPr>
          <w:t>455D.11</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567—102.407</w:t>
        </w:r>
      </w:hyperlink>
      <w:r>
        <w:rPr>
          <w:rFonts w:ascii="Times New Roman" w:hAnsi="Times New Roman"/>
          <w:b w:val="false"/>
          <w:i w:val="false"/>
          <w:color w:val="000000"/>
          <w:sz w:val="22"/>
        </w:rPr>
        <w:t xml:space="preserve">(455D), and </w:t>
      </w:r>
      <w:hyperlink r:id="rId183">
        <w:r>
          <w:rPr>
            <w:rStyle w:val="Hyperlink"/>
            <w:rFonts w:ascii="Times New Roman" w:hAnsi="Times New Roman"/>
            <w:b w:val="false"/>
            <w:i w:val="false"/>
            <w:color w:val="000000"/>
            <w:sz w:val="22"/>
          </w:rPr>
          <w:t>567—102.409</w:t>
        </w:r>
      </w:hyperlink>
      <w:r>
        <w:rPr>
          <w:rFonts w:ascii="Times New Roman" w:hAnsi="Times New Roman"/>
          <w:b w:val="false"/>
          <w:i w:val="false"/>
          <w:color w:val="000000"/>
          <w:sz w:val="22"/>
        </w:rPr>
        <w:t>(455D).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567—102.406</w:t>
      </w:r>
      <w:r>
        <w:rPr>
          <w:rFonts w:ascii="Times New Roman" w:hAnsi="Times New Roman"/>
          <w:b/>
          <w:i w:val="false"/>
          <w:color w:val="000000"/>
          <w:sz w:val="22"/>
        </w:rPr>
        <w:t xml:space="preserve">(455D) </w:t>
      </w:r>
      <w:r>
        <w:rPr>
          <w:rFonts w:ascii="Times New Roman" w:hAnsi="Times New Roman"/>
          <w:b/>
          <w:i w:val="false"/>
          <w:color w:val="000000"/>
          <w:sz w:val="22"/>
        </w:rPr>
        <w:t xml:space="preserve">Waste tire hauler reporting requirements. </w:t>
      </w:r>
      <w:r>
        <w:rPr>
          <w:rFonts w:ascii="Times New Roman" w:hAnsi="Times New Roman"/>
          <w:b w:val="false"/>
          <w:i w:val="false"/>
          <w:color w:val="000000"/>
          <w:sz w:val="22"/>
        </w:rPr>
        <w:t>A registered waste tire hauler shall submit a semiannual report to the department on a form prescribed by the department. The report shall provide the department with appropriate information to ensure that waste tires recovered by the waste tire hauler have been handled properly for disposal or processing. Failure of a registered waste tire hauler to submit a timely report will result in denial of the waste tire hauler’s renewal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102.406(1)</w:t>
      </w:r>
      <w:r>
        <w:rPr>
          <w:rFonts w:ascii="Times New Roman" w:hAnsi="Times New Roman"/>
          <w:b w:val="false"/>
          <w:i w:val="false"/>
          <w:color w:val="000000"/>
          <w:sz w:val="22"/>
        </w:rPr>
        <w:t> </w:t>
      </w:r>
      <w:r>
        <w:rPr>
          <w:rFonts w:ascii="Times New Roman" w:hAnsi="Times New Roman"/>
          <w:b w:val="false"/>
          <w:i/>
          <w:color w:val="000000"/>
          <w:sz w:val="22"/>
        </w:rPr>
        <w:t xml:space="preserve">Reporting period. </w:t>
      </w:r>
      <w:r>
        <w:rPr>
          <w:rFonts w:ascii="Times New Roman" w:hAnsi="Times New Roman"/>
          <w:b w:val="false"/>
          <w:i w:val="false"/>
          <w:color w:val="000000"/>
          <w:sz w:val="22"/>
        </w:rPr>
        <w:t>A waste tire hauler shall submit semiannual reports to the department according to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waste tires collected during the six-month period beginning January 1 through June 30, the hauler shall submit a report by the following September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waste tires collected during the six-month period beginning July 1 through December 31, the hauler shall submit a report by March 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102.406(2)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semiannual report shall include the following information. All waste tire quantities determined by count or weight shall be reported in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collected by the waste tire hauler from within Iowa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that are brought to Iowa by the waste tire hauler from out-of-state sources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disposition of all the waste tires collected during the reporting period by listing each tire collector, tire processor, waste tire stockpile site, or other beneficial site of end use, as approved by the department, and the total quantities of waste tires that the hauler has delivered to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102.406(3)</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recordkeeping. </w:t>
      </w:r>
      <w:r>
        <w:rPr>
          <w:rFonts w:ascii="Times New Roman" w:hAnsi="Times New Roman"/>
          <w:b w:val="false"/>
          <w:i w:val="false"/>
          <w:color w:val="000000"/>
          <w:sz w:val="22"/>
        </w:rPr>
        <w:t>A waste tire hauler shall keep appropriate records, including but not limited to receipts, invoices, or manifests, to document all quantities of waste tires hauled and disposed of by the waste tire hauler for the reporting period. These records shall be kept by the waste tire hauler for a minimum of three years and shall be available for audit or inspection at the request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567—102.407</w:t>
      </w:r>
      <w:r>
        <w:rPr>
          <w:rFonts w:ascii="Times New Roman" w:hAnsi="Times New Roman"/>
          <w:b/>
          <w:i w:val="false"/>
          <w:color w:val="000000"/>
          <w:sz w:val="22"/>
        </w:rPr>
        <w:t xml:space="preserve">(455D) </w:t>
      </w:r>
      <w:r>
        <w:rPr>
          <w:rFonts w:ascii="Times New Roman" w:hAnsi="Times New Roman"/>
          <w:b/>
          <w:i w:val="false"/>
          <w:color w:val="000000"/>
          <w:sz w:val="22"/>
        </w:rPr>
        <w:t xml:space="preserve">Waste tire stockpiling.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102.407(1)</w:t>
      </w:r>
      <w:r>
        <w:rPr>
          <w:rFonts w:ascii="Times New Roman" w:hAnsi="Times New Roman"/>
          <w:b w:val="false"/>
          <w:i w:val="false"/>
          <w:color w:val="000000"/>
          <w:sz w:val="22"/>
        </w:rPr>
        <w:t> </w:t>
      </w:r>
      <w:r>
        <w:rPr>
          <w:rFonts w:ascii="Times New Roman" w:hAnsi="Times New Roman"/>
          <w:b w:val="false"/>
          <w:i/>
          <w:color w:val="000000"/>
          <w:sz w:val="22"/>
        </w:rPr>
        <w:t xml:space="preserve">Quantity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business or individual shall stockpile more than 500 passenger tire equivalents without obtaining a permit for a waste tire stockpile pursuant to </w:t>
      </w:r>
      <w:hyperlink r:id="rId184">
        <w:r>
          <w:rPr>
            <w:rStyle w:val="Hyperlink"/>
            <w:rFonts w:ascii="Times New Roman" w:hAnsi="Times New Roman"/>
            <w:b w:val="false"/>
            <w:i w:val="false"/>
            <w:color w:val="000000"/>
            <w:sz w:val="22"/>
          </w:rPr>
          <w:t>102.407(2)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Businesses or individuals may temporarily stockpile up to 1,500 passenger tire equivalents without obtaining a waste tire stockpile permit,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waste tires are stockpiled only in a mobile container, truck, or trailer provided or serviced by a registered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waste tires are removed by a registered waste tire hauler or delivered to a permitted waste tire processor at least every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waste tire generator has a written copy of a contract or service agreement for waste tire disposal services from a registered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permitted sanitary disposal project shall be allowed to stockpile up to 1,500 passenger tire equivalents without a permit if the waste tires are removed at least every 120 days and are stockpiled in a manner to minimize the collection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use waste tires for an approved beneficial use shall not be required to obtain a waste tire stockpile permit, subject to their compliance with the provisions of </w:t>
      </w:r>
      <w:hyperlink r:id="rId185">
        <w:r>
          <w:rPr>
            <w:rStyle w:val="Hyperlink"/>
            <w:rFonts w:ascii="Times New Roman" w:hAnsi="Times New Roman"/>
            <w:b w:val="false"/>
            <w:i w:val="false"/>
            <w:color w:val="000000"/>
            <w:sz w:val="22"/>
          </w:rPr>
          <w:t>567—102.411</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102.407(2)</w:t>
      </w:r>
      <w:r>
        <w:rPr>
          <w:rFonts w:ascii="Times New Roman" w:hAnsi="Times New Roman"/>
          <w:b w:val="false"/>
          <w:i w:val="false"/>
          <w:color w:val="000000"/>
          <w:sz w:val="22"/>
        </w:rPr>
        <w:t> </w:t>
      </w:r>
      <w:r>
        <w:rPr>
          <w:rFonts w:ascii="Times New Roman" w:hAnsi="Times New Roman"/>
          <w:b w:val="false"/>
          <w:i/>
          <w:color w:val="000000"/>
          <w:sz w:val="22"/>
        </w:rPr>
        <w:t xml:space="preserve">Waste tire stockpile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tire collector, business, or individual stockpiling more than 500 passenger tire equivalents on any one site must obtain a waste tire stockpile permit. An authorized vehicle recycler, as licensed by the Iowa department of transportation, may store up to 3,500 passenger tire equivalents without a waste tire stockpile permit; any storage beyond this amount shall require full compliance with this subrule. This subrule is applicable to the indoor, outdoor, and underground storage of waste tires. If the site cannot meet the conditions to obtain a waste tire stockpile permit, all waste tires must be removed from the site and properly disposed of within 30 days of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tire collector, business, or individual seeking to construct a waste tire stockpile under this subrule must obtain a permit from the department prior to initiating operations. The permit shall be issued to the owner of the site or the designated tire collector that will be operating the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tire stockpile 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to the department shall be cause for revocation pursuant to </w:t>
      </w:r>
      <w:hyperlink r:id="rId186">
        <w:r>
          <w:rPr>
            <w:rStyle w:val="Hyperlink"/>
            <w:rFonts w:ascii="Times New Roman" w:hAnsi="Times New Roman"/>
            <w:b w:val="false"/>
            <w:i w:val="false"/>
            <w:color w:val="000000"/>
            <w:sz w:val="22"/>
          </w:rPr>
          <w:t>567—100.13</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for a permit shall be on a form prescribed by the department and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individual who directly owns the stockpile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tire collector at the stockpile site, if different from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scaled map showing all areas proposed to be used for the stockpiling of waste tires, all property boundaries of the site, and the location of all buildings and major improvements on the site and within 300 feet of the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vector control plan to prevent infestations of mosquitoes and rodents for aboveground storage. The plan shall be prepared by a firm that provides professional vector management services. Upon request, the permittee must provide documentation to show implementation and monitoring of the approved vector control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site closure plan describing the actions that would be taken to properly dispose of all waste tire materials at the site 30 days prior to any intent to discontinue operations, so that upon discontinuance of operations, no violation of waste tire or solid waste disposal laws will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developed and implemented according to </w:t>
      </w:r>
      <w:hyperlink r:id="rId187">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 The applicant shall provide documentation that an opportunity for input and review of the plan was extended to the local fire department and local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assurance instrument in compliance with </w:t>
      </w:r>
      <w:hyperlink r:id="rId188">
        <w:r>
          <w:rPr>
            <w:rStyle w:val="Hyperlink"/>
            <w:rFonts w:ascii="Times New Roman" w:hAnsi="Times New Roman"/>
            <w:b w:val="false"/>
            <w:i w:val="false"/>
            <w:color w:val="000000"/>
            <w:sz w:val="22"/>
          </w:rPr>
          <w:t>567—102.410</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certified check for $850 made payable to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102.407(3)</w:t>
      </w:r>
      <w:r>
        <w:rPr>
          <w:rFonts w:ascii="Times New Roman" w:hAnsi="Times New Roman"/>
          <w:b w:val="false"/>
          <w:i w:val="false"/>
          <w:color w:val="000000"/>
          <w:sz w:val="22"/>
        </w:rPr>
        <w:t> </w:t>
      </w:r>
      <w:r>
        <w:rPr>
          <w:rFonts w:ascii="Times New Roman" w:hAnsi="Times New Roman"/>
          <w:b w:val="false"/>
          <w:i/>
          <w:color w:val="000000"/>
          <w:sz w:val="22"/>
        </w:rPr>
        <w:t xml:space="preserve">Permitted stockpiling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permitted waste tire stockpile site in an open area shall meet the following minimum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shall not contain more than 250,000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single waste tire pile shall not contain more than 50,000 cubic feet of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vertical dimension of a waste tire pile shall not exceed ten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single waste tire pile shall not be more than 100 feet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surface area covered by a waste tire pile shall not exceed 5,000 square feet; the pile may not be constructed upon any waste tire materials or other flammable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50-foot fire lane must be maintained between any two waste tire 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waste tire piles shall be located at least 50 feet from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Trees and brush shall be cleared within 50 feet of any waste tire 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or volatile chemicals shall not be stored within 50 feet of any waste tire pile unless stored in approved fire-resistant containers or cabinets.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100 feet of any one portion of the waste tire stockpile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site must be graded to prevent any standing pools of water and to limit the runoff and run-on of precipitation in all areas where waste tires are stockpiled.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waste tire pile must be at least 200 feet from any well, lake, pond, river, stream, sinkhole, or tile line surface intake unless appropriate grading, or the construction of a barrier, dike, or berm, is completed to intercept surface water flows that may impact such interceptors. This distance may then be reduced to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stockpile site must be secured by a fence or barrier of a minimum of six feet in height to impede unauthorized vehicle and personal access. All gates and entry points shall be secured and locked when site personnel are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No open burning of any type shall be allowed at the permitted stockpile site. All fueling of vehicles and equipment and any other work or activity that may release sparks or flame shall be conducted at least 50 feet from any waste tire stockpiling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Signs shall be posted every 100 feet on site, placed for visibility of personnel on site, that state: “Open burning on-site prohibited.” The perimeter of the site shall be posted with signs every 100 feet, placed for visibility to those offsite, that state: “Highly flammable materials on-site. Burning in area not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All waste tire piles shall be located at least 300 feet from any property line, street, or public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permitted waste tire stockpile site in an enclosed area shall meet the minimum permit conditions in </w:t>
      </w:r>
      <w:hyperlink r:id="rId189">
        <w:r>
          <w:rPr>
            <w:rStyle w:val="Hyperlink"/>
            <w:rFonts w:ascii="Times New Roman" w:hAnsi="Times New Roman"/>
            <w:b w:val="false"/>
            <w:i w:val="false"/>
            <w:color w:val="000000"/>
            <w:sz w:val="22"/>
          </w:rPr>
          <w:t>102.407(3)</w:t>
        </w:r>
      </w:hyperlink>
      <w:r>
        <w:rPr>
          <w:rFonts w:ascii="Times New Roman" w:hAnsi="Times New Roman"/>
          <w:b w:val="false"/>
          <w:i/>
          <w:color w:val="000000"/>
          <w:sz w:val="22"/>
        </w:rPr>
        <w:t>“a”</w:t>
      </w:r>
      <w:r>
        <w:rPr>
          <w:rFonts w:ascii="Times New Roman" w:hAnsi="Times New Roman"/>
          <w:b w:val="false"/>
          <w:i w:val="false"/>
          <w:color w:val="000000"/>
          <w:sz w:val="22"/>
        </w:rPr>
        <w:t xml:space="preserve">(2) through </w:t>
      </w:r>
      <w:r>
        <w:rPr>
          <w:rFonts w:ascii="Times New Roman" w:hAnsi="Times New Roman"/>
          <w:b w:val="false"/>
          <w:i/>
          <w:color w:val="000000"/>
          <w:sz w:val="22"/>
        </w:rPr>
        <w:t>“a”</w:t>
      </w:r>
      <w:r>
        <w:rPr>
          <w:rFonts w:ascii="Times New Roman" w:hAnsi="Times New Roman"/>
          <w:b w:val="false"/>
          <w:i w:val="false"/>
          <w:color w:val="000000"/>
          <w:sz w:val="22"/>
        </w:rPr>
        <w:t>(6), as well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qualify as an enclosed area, the area must be enclosed in a structure with a permanent roof and lateral protection to prevent precipitation from accumulating within the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enclosed stockpiling structure shall not contain more than 50,000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other than waste tires or volatile chemicals shall not be stored in a structure permitted for waste tire stockpiling unless stored in approved fire-resistant containers or cabinets.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50 feet of any one portion of the waste tire stockpiling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structure must be secured from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open burning of any type shall be allowed at the permitted stockpile site. All fueling of vehicles and equipment and any other work or activity that may release sparks or flame shall be conducted at least 50 feet from any waste tire stockpiling area. The exterior of the enclosed stockpiling area shall be posted with signs, placed every 100 feet, that state: “Highly flammable materials stored inside. Burning on-site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102.407(4)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The holder of a permit for a waste tire stockpile facility shall submit a semiannual report to the department on a form prescribed by the department. The report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stockpiled at the facility at the time of reporting determined by count or weight and reported in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from in-state sources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from out-of-state sources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waste tires removed from the permitted waste tire stockpile facility during the reporting period, quantity given by equivalent count or weight of such waste tires removed. Documentation shall be provided to denote how the reported quantity of tires were disposed of at a permitted facility, processed, or reused.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567—102.408</w:t>
      </w:r>
      <w:r>
        <w:rPr>
          <w:rFonts w:ascii="Times New Roman" w:hAnsi="Times New Roman"/>
          <w:b/>
          <w:i w:val="false"/>
          <w:color w:val="000000"/>
          <w:sz w:val="22"/>
        </w:rPr>
        <w:t xml:space="preserve">(455D) </w:t>
      </w:r>
      <w:r>
        <w:rPr>
          <w:rFonts w:ascii="Times New Roman" w:hAnsi="Times New Roman"/>
          <w:b/>
          <w:i w:val="false"/>
          <w:color w:val="000000"/>
          <w:sz w:val="22"/>
        </w:rPr>
        <w:t xml:space="preserve">Used tires.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102.408(1)</w:t>
      </w:r>
      <w:r>
        <w:rPr>
          <w:rFonts w:ascii="Times New Roman" w:hAnsi="Times New Roman"/>
          <w:b w:val="false"/>
          <w:i w:val="false"/>
          <w:color w:val="000000"/>
          <w:sz w:val="22"/>
        </w:rPr>
        <w:t> </w:t>
      </w:r>
      <w:r>
        <w:rPr>
          <w:rFonts w:ascii="Times New Roman" w:hAnsi="Times New Roman"/>
          <w:b w:val="false"/>
          <w:i/>
          <w:color w:val="000000"/>
          <w:sz w:val="22"/>
        </w:rPr>
        <w:t xml:space="preserve">Used tire storage. </w:t>
      </w:r>
      <w:r>
        <w:rPr>
          <w:rFonts w:ascii="Times New Roman" w:hAnsi="Times New Roman"/>
          <w:b w:val="false"/>
          <w:i w:val="false"/>
          <w:color w:val="000000"/>
          <w:sz w:val="22"/>
        </w:rPr>
        <w:t>A used tire other than a waste tire shall be stored in a manner that provides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of the collection of water, dirt, or debris within the 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Organized storage through stacking, rows, and sorting that provides for accurate descriptions and counts of the types and sizes of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conforms to applicable local and state fire codes.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102.408(2)</w:t>
      </w:r>
      <w:r>
        <w:rPr>
          <w:rFonts w:ascii="Times New Roman" w:hAnsi="Times New Roman"/>
          <w:b w:val="false"/>
          <w:i w:val="false"/>
          <w:color w:val="000000"/>
          <w:sz w:val="22"/>
        </w:rPr>
        <w:t> </w:t>
      </w:r>
      <w:r>
        <w:rPr>
          <w:rFonts w:ascii="Times New Roman" w:hAnsi="Times New Roman"/>
          <w:b w:val="false"/>
          <w:i/>
          <w:color w:val="000000"/>
          <w:sz w:val="22"/>
        </w:rPr>
        <w:t xml:space="preserve">Quantity limitations. </w:t>
      </w:r>
      <w:r>
        <w:rPr>
          <w:rFonts w:ascii="Times New Roman" w:hAnsi="Times New Roman"/>
          <w:b w:val="false"/>
          <w:i w:val="false"/>
          <w:color w:val="000000"/>
          <w:sz w:val="22"/>
        </w:rPr>
        <w:t>Used tires stored for more than one year without documentation of active resale or reuse, of tire inventory in a proportion equal to 75 percent of the amount stored, shall be considered waste tires and shall be subject to the applicable waste tire stockpiling and disposal rules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567—102.409</w:t>
      </w:r>
      <w:r>
        <w:rPr>
          <w:rFonts w:ascii="Times New Roman" w:hAnsi="Times New Roman"/>
          <w:b/>
          <w:i w:val="false"/>
          <w:color w:val="000000"/>
          <w:sz w:val="22"/>
        </w:rPr>
        <w:t xml:space="preserve">(455D) </w:t>
      </w:r>
      <w:r>
        <w:rPr>
          <w:rFonts w:ascii="Times New Roman" w:hAnsi="Times New Roman"/>
          <w:b/>
          <w:i w:val="false"/>
          <w:color w:val="000000"/>
          <w:sz w:val="22"/>
        </w:rPr>
        <w:t xml:space="preserve">Waste tire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102.409(1)</w:t>
      </w:r>
      <w:r>
        <w:rPr>
          <w:rFonts w:ascii="Times New Roman" w:hAnsi="Times New Roman"/>
          <w:b w:val="false"/>
          <w:i w:val="false"/>
          <w:color w:val="000000"/>
          <w:sz w:val="22"/>
        </w:rPr>
        <w:t> </w:t>
      </w:r>
      <w:r>
        <w:rPr>
          <w:rFonts w:ascii="Times New Roman" w:hAnsi="Times New Roman"/>
          <w:b w:val="false"/>
          <w:i/>
          <w:color w:val="000000"/>
          <w:sz w:val="22"/>
        </w:rPr>
        <w:t xml:space="preserve">Waste tire processing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business or individual operating a tire processing facility shall obtain a waste tire processing permit prior to initiating operations. The permit shall be issued to the owner of the site or the individual that will be operating the waste tire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permitted sanitary disposal project that accepts waste tires to cut, grind, or compact only for final disposal shall not be required to obtain a waste tire processing permit. Such facilities shall not store any cut or shredded waste tire materials for more than 30 days prior to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Businesses or individuals operating mobile waste tire processing equipment shall be required to obtain a waste tire processing permit. The permit shall authorize the operator to provide waste tire processing services statewide; however, mobile operations shall not be allowed to store any processed or whole waste tires at any facility or site owned or operated by the permittee unless specifically authorized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Businesses or individuals who cut, grind, or compact for disposal waste tires generated directly from operations at their own on-site manufacturing operation or vehicle or equipment service facility shall not be required to obtain a waste tire processing permit provided all waste tire materials processed on site are disposed of at least every 30 days at a permitted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Processing 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shall be cause for revocation pursuant to </w:t>
      </w:r>
      <w:hyperlink r:id="rId190">
        <w:r>
          <w:rPr>
            <w:rStyle w:val="Hyperlink"/>
            <w:rFonts w:ascii="Times New Roman" w:hAnsi="Times New Roman"/>
            <w:b w:val="false"/>
            <w:i w:val="false"/>
            <w:color w:val="000000"/>
            <w:sz w:val="22"/>
          </w:rPr>
          <w:t>567—100.13</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permitted waste tire processing facility shall have a site closure plan. The plan shall describe the actions that would be taken to properly dispose of all waste tire materials, in whole or processed form, at the site 30 days prior to any intent to discontinue operations so that, upon discontinuance of operations, no violation of waste tire or solid waste disposal laws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permitted processing facility shall have an emergency response and remedial action plan, developed and implemented according to </w:t>
      </w:r>
      <w:hyperlink r:id="rId191">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 The applicant shall provide documentation that an opportunity for input and review of the plan was extended to the local fire department and local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permitted waste tire processing facility shall obtain financial assurance in accordance with </w:t>
      </w:r>
      <w:hyperlink r:id="rId192">
        <w:r>
          <w:rPr>
            <w:rStyle w:val="Hyperlink"/>
            <w:rFonts w:ascii="Times New Roman" w:hAnsi="Times New Roman"/>
            <w:b w:val="false"/>
            <w:i w:val="false"/>
            <w:color w:val="000000"/>
            <w:sz w:val="22"/>
          </w:rPr>
          <w:t>567—102.410</w:t>
        </w:r>
      </w:hyperlink>
      <w:r>
        <w:rPr>
          <w:rFonts w:ascii="Times New Roman" w:hAnsi="Times New Roman"/>
          <w:b w:val="false"/>
          <w:i w:val="false"/>
          <w:color w:val="000000"/>
          <w:sz w:val="22"/>
        </w:rPr>
        <w:t>(455D),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Application for a permit shall be on a form prescribed by the department and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individual who directly owns the tire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operator of the waste tire processing facility, if different from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of processing operations to be conducted, including descriptions of processing equipment and its hourly capacity, operating hours of the facility, and types of processed tire materials to be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scaled map showing all areas proposed for waste tire stockpiling and processing operations, all property boundaries of the site, and the location of all buildings and major improvements on the site and within 300 feet of the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site closure plan as referenced in </w:t>
      </w:r>
      <w:hyperlink r:id="rId193">
        <w:r>
          <w:rPr>
            <w:rStyle w:val="Hyperlink"/>
            <w:rFonts w:ascii="Times New Roman" w:hAnsi="Times New Roman"/>
            <w:b w:val="false"/>
            <w:i w:val="false"/>
            <w:color w:val="000000"/>
            <w:sz w:val="22"/>
          </w:rPr>
          <w:t>102.409(1)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as referenced in </w:t>
      </w:r>
      <w:hyperlink r:id="rId194">
        <w:r>
          <w:rPr>
            <w:rStyle w:val="Hyperlink"/>
            <w:rFonts w:ascii="Times New Roman" w:hAnsi="Times New Roman"/>
            <w:b w:val="false"/>
            <w:i w:val="false"/>
            <w:color w:val="000000"/>
            <w:sz w:val="22"/>
          </w:rPr>
          <w:t>102.409(1)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certified check for $850 made payable to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assurance instrument as referenced in </w:t>
      </w:r>
      <w:hyperlink r:id="rId195">
        <w:r>
          <w:rPr>
            <w:rStyle w:val="Hyperlink"/>
            <w:rFonts w:ascii="Times New Roman" w:hAnsi="Times New Roman"/>
            <w:b w:val="false"/>
            <w:i w:val="false"/>
            <w:color w:val="000000"/>
            <w:sz w:val="22"/>
          </w:rPr>
          <w:t>102.409(1)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102.409(2)</w:t>
      </w:r>
      <w:r>
        <w:rPr>
          <w:rFonts w:ascii="Times New Roman" w:hAnsi="Times New Roman"/>
          <w:b w:val="false"/>
          <w:i w:val="false"/>
          <w:color w:val="000000"/>
          <w:sz w:val="22"/>
        </w:rPr>
        <w:t> </w:t>
      </w:r>
      <w:r>
        <w:rPr>
          <w:rFonts w:ascii="Times New Roman" w:hAnsi="Times New Roman"/>
          <w:b w:val="false"/>
          <w:i/>
          <w:color w:val="000000"/>
          <w:sz w:val="22"/>
        </w:rPr>
        <w:t xml:space="preserve">Permitted processing requirements. </w:t>
      </w:r>
      <w:r>
        <w:rPr>
          <w:rFonts w:ascii="Times New Roman" w:hAnsi="Times New Roman"/>
          <w:b w:val="false"/>
          <w:i w:val="false"/>
          <w:color w:val="000000"/>
          <w:sz w:val="22"/>
        </w:rPr>
        <w:t>A permitted waste tire processing facility shall meet the following minimum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site must be graded to prevent any standing pools of water and to limit the runoff and run-on of precipitation in all areas where waste tires are stockpiled or processed tire material is staged prior to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processing facility site must be secured by a fence or barrier of a minimum of six feet in height to impede unauthorized vehicle and personal access. All gates and entry points shall be secured and locked when site personnel are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open burning of any type shall be allowed at the permitted waste tire processing facility. All fueling of vehicles and equipment and any other work or activity that may release sparks or flame shall be conducted at least 50 feet from any waste tire stockpiling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Signs shall be posted every 100 feet on site, placed for visibility of personnel on site, and state: “Open burning on-site prohibited.” The perimeter of the site shall be posted with signs every 100 feet, placed for visibility to those offsite, that state: “Highly flammable materials on-site. Burning in area not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102.409(3)</w:t>
      </w:r>
      <w:r>
        <w:rPr>
          <w:rFonts w:ascii="Times New Roman" w:hAnsi="Times New Roman"/>
          <w:b w:val="false"/>
          <w:i w:val="false"/>
          <w:color w:val="000000"/>
          <w:sz w:val="22"/>
        </w:rPr>
        <w:t> </w:t>
      </w:r>
      <w:r>
        <w:rPr>
          <w:rFonts w:ascii="Times New Roman" w:hAnsi="Times New Roman"/>
          <w:b w:val="false"/>
          <w:i/>
          <w:color w:val="000000"/>
          <w:sz w:val="22"/>
        </w:rPr>
        <w:t xml:space="preserve">Preprocessed whole waste tire stockpiling.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stockpiling of whole waste tires on site prior to processing shall be limited to the quantity of waste tires that the facility has the ability to process within a three-day period. This quantity shall be determined by multiplying the actual number of working hours that processing is normally to occur during a typical three-day period by 80 percent of the manufacturer’s specifications of hourly capacity of the processing equipment. After one year of the facility’s operation, documented actual hourly production shall be used for this permit determination in lieu of the manufacturer’s equipment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permitted waste tire processor may stockpile an additional three-day capacity of preprocessed whole waste tires, above the initial three-day capacity, using the same quantity determination as stated in </w:t>
      </w:r>
      <w:hyperlink r:id="rId196">
        <w:r>
          <w:rPr>
            <w:rStyle w:val="Hyperlink"/>
            <w:rFonts w:ascii="Times New Roman" w:hAnsi="Times New Roman"/>
            <w:b w:val="false"/>
            <w:i w:val="false"/>
            <w:color w:val="000000"/>
            <w:sz w:val="22"/>
          </w:rPr>
          <w:t>102.409(3)</w:t>
        </w:r>
      </w:hyperlink>
      <w:r>
        <w:rPr>
          <w:rFonts w:ascii="Times New Roman" w:hAnsi="Times New Roman"/>
          <w:b w:val="false"/>
          <w:i/>
          <w:color w:val="000000"/>
          <w:sz w:val="22"/>
        </w:rPr>
        <w:t>“a,”</w:t>
      </w:r>
      <w:r>
        <w:rPr>
          <w:rFonts w:ascii="Times New Roman" w:hAnsi="Times New Roman"/>
          <w:b w:val="false"/>
          <w:i w:val="false"/>
          <w:color w:val="000000"/>
          <w:sz w:val="22"/>
        </w:rPr>
        <w:t xml:space="preserve"> subject to the tire processor’s obtaining and maintaining financial assurance for these additional waste tires to be stockpiled prior to processing in accordance with </w:t>
      </w:r>
      <w:hyperlink r:id="rId197">
        <w:r>
          <w:rPr>
            <w:rStyle w:val="Hyperlink"/>
            <w:rFonts w:ascii="Times New Roman" w:hAnsi="Times New Roman"/>
            <w:b w:val="false"/>
            <w:i w:val="false"/>
            <w:color w:val="000000"/>
            <w:sz w:val="22"/>
          </w:rPr>
          <w:t>567—102.410</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no circumstance shall a permitted waste tire processor be allowed to stockpile more than 75,000 preprocessed whole waste tires, measured as passenger tire equivalents, through any combination of processing performance or financial assurance. All waste tires on site, including those stored indoors or outdoors or in trucks, trailers, or mobile cages, shall be counted in determining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single waste tire shall not be stockpiled at the processing facility for more than 30 days before the tire is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Preprocessed whole waste tires stockpiled outdoors shall comply with </w:t>
      </w:r>
      <w:hyperlink r:id="rId198">
        <w:r>
          <w:rPr>
            <w:rStyle w:val="Hyperlink"/>
            <w:rFonts w:ascii="Times New Roman" w:hAnsi="Times New Roman"/>
            <w:b w:val="false"/>
            <w:i w:val="false"/>
            <w:color w:val="000000"/>
            <w:sz w:val="22"/>
          </w:rPr>
          <w:t>102.407(3)</w:t>
        </w:r>
      </w:hyperlink>
      <w:r>
        <w:rPr>
          <w:rFonts w:ascii="Times New Roman" w:hAnsi="Times New Roman"/>
          <w:b w:val="false"/>
          <w:i/>
          <w:color w:val="000000"/>
          <w:sz w:val="22"/>
        </w:rPr>
        <w:t>“a”</w:t>
      </w:r>
      <w:r>
        <w:rPr>
          <w:rFonts w:ascii="Times New Roman" w:hAnsi="Times New Roman"/>
          <w:b w:val="false"/>
          <w:i w:val="false"/>
          <w:color w:val="000000"/>
          <w:sz w:val="22"/>
        </w:rPr>
        <w:t xml:space="preserve">(2) through </w:t>
      </w:r>
      <w:r>
        <w:rPr>
          <w:rFonts w:ascii="Times New Roman" w:hAnsi="Times New Roman"/>
          <w:b w:val="false"/>
          <w:i/>
          <w:color w:val="000000"/>
          <w:sz w:val="22"/>
        </w:rPr>
        <w:t>“a”</w:t>
      </w:r>
      <w:r>
        <w:rPr>
          <w:rFonts w:ascii="Times New Roman" w:hAnsi="Times New Roman"/>
          <w:b w:val="false"/>
          <w:i w:val="false"/>
          <w:color w:val="000000"/>
          <w:sz w:val="22"/>
        </w:rPr>
        <w:t>(16), and any waste tires stockpiled in trucks, trailers, or mobile containers must be at least ten feet from any property line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Indoor stockpiling of whole waste tires shall not be allowed within 20 feet of any waste tire processing or handling equipment. All waste tires being actively unloaded and fed into processing equipment, including those being off-loaded from trucks, trailers, or mobile containers, shall be cleared at least 20 feet away from the processing equipment by the end of the last working shift of the day. Any remaining indoor stockpiling shall comply with the requirements of </w:t>
      </w:r>
      <w:hyperlink r:id="rId199">
        <w:r>
          <w:rPr>
            <w:rStyle w:val="Hyperlink"/>
            <w:rFonts w:ascii="Times New Roman" w:hAnsi="Times New Roman"/>
            <w:b w:val="false"/>
            <w:i w:val="false"/>
            <w:color w:val="000000"/>
            <w:sz w:val="22"/>
          </w:rPr>
          <w:t>102.407(3)</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(6)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25,000 passenger tire equivalents shall be stockpiled indoors.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or volatile chemicals shall not be stored within 25 feet of any waste tire stockpile area unless they are stored in approved containers pursuant to applicable fire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50 feet of any one portion of indoor tire stockpile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stockpiling structure must be secured from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102.409(4)</w:t>
      </w:r>
      <w:r>
        <w:rPr>
          <w:rFonts w:ascii="Times New Roman" w:hAnsi="Times New Roman"/>
          <w:b w:val="false"/>
          <w:i w:val="false"/>
          <w:color w:val="000000"/>
          <w:sz w:val="22"/>
        </w:rPr>
        <w:t> </w:t>
      </w:r>
      <w:r>
        <w:rPr>
          <w:rFonts w:ascii="Times New Roman" w:hAnsi="Times New Roman"/>
          <w:b w:val="false"/>
          <w:i/>
          <w:color w:val="000000"/>
          <w:sz w:val="22"/>
        </w:rPr>
        <w:t xml:space="preserve">Processed waste tire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Storage of processed waste tire materials at a waste tire processing facility shall be limited to the volume of material in aggregate that the processor manufactures within a consecutive 60-day period, using the facility’s daily average capacity for processing whole waste tires as determined in </w:t>
      </w:r>
      <w:hyperlink r:id="rId200">
        <w:r>
          <w:rPr>
            <w:rStyle w:val="Hyperlink"/>
            <w:rFonts w:ascii="Times New Roman" w:hAnsi="Times New Roman"/>
            <w:b w:val="false"/>
            <w:i w:val="false"/>
            <w:color w:val="000000"/>
            <w:sz w:val="22"/>
          </w:rPr>
          <w:t>102.409(3)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shall have the final authority for determining the allowable quantities of processed tire materials to be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the equivalent of more than 500,000 processed tires, or 5,000 tons of material, be stored at the permitted waste tire processing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processed waste tire material at the site of processing shall be stored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Processed tires shall be stored in piles no more than 15 feet in height, 100 feet in length, and 50 feet in width and shall contain no more than 75,000 cubic feet of product by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50-foot fire lane must be maintained between piles of processed tire material, with the base of the lane kept free from the accumulation of waste tire-derived residuals or materials or other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processed waste tire material shall be stored at least 50 feet from any property line, street, public right-of-way,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Trees and brush shall be cleared within 50 feet of the storage of all processed waste tire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100 feet of any one portion of processed waste tire stockpile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indoor storage of more than 5,000 cubic feet of processed waste tire material, the material shall be stored on concrete floors and all retaining walls, bins, barriers, and roofing material for the material storage shall be constructed of nonflammable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processor must demonstrate a reasonable market demand for all types and quantities of processed product stored at the waste tire processing facility. Market demand for processed waste tire products shall be demonstrated by the processor through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Active contracts, purchase orders, or supply agreements with an end user, noting quantities of material required by the end user, specifications of the quality of the product required by the end user, and monthly or annual demand of product by the end user from the processor. This information shall be made available for review by the department as required to determine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Historic, ongoing demand for product by an end user or type of end user within the state or surrounding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and evidence that any proposed new product or use for processed waste tires produced by the tire processor will be marketed in a timely fashion, with sufficient demand and consumption by end user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the final authority in determining storage limitations, including prohibition, for processed waste tire products when active markets are not evident from information provided by the waste tire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The holder of a permit for a waste tire processing facility shall submit a semiannual report to the department on a form prescribed by the department. The report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by the facility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by the facility from in-state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by the facility from out-of-state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Quantity of unprocessed waste tires on hand at the facility at the time of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processed and delivered to end users during the reporting period, by product type, with determinations of quantities of product delivered to identified in-state and out-of-state markets or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Quantity of processed tire material currently stored at the facility, by product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102.409(6)</w:t>
      </w:r>
      <w:r>
        <w:rPr>
          <w:rFonts w:ascii="Times New Roman" w:hAnsi="Times New Roman"/>
          <w:b w:val="false"/>
          <w:i w:val="false"/>
          <w:color w:val="000000"/>
          <w:sz w:val="22"/>
        </w:rPr>
        <w:t> </w:t>
      </w:r>
      <w:r>
        <w:rPr>
          <w:rFonts w:ascii="Times New Roman" w:hAnsi="Times New Roman"/>
          <w:b w:val="false"/>
          <w:i/>
          <w:color w:val="000000"/>
          <w:sz w:val="22"/>
        </w:rPr>
        <w:t xml:space="preserve">Disposal of solid wastes.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waste materials, residuals, and scraps derived from waste tire processing operations shall be regulated as solid waste. These materials include but are not limited to tire bead rings, metal wire, synthetic fibers, and 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of these solid wastes must be disposed of at least every 60 days at a permitted sanitary disposal project, scrap recycler, or location,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the disposal of these solid wastes must be kept at the waste tire processing facility for a period of three years and shall be available for audit or inspection at the request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567—102.410</w:t>
      </w:r>
      <w:r>
        <w:rPr>
          <w:rFonts w:ascii="Times New Roman" w:hAnsi="Times New Roman"/>
          <w:b/>
          <w:i w:val="false"/>
          <w:color w:val="000000"/>
          <w:sz w:val="22"/>
        </w:rPr>
        <w:t xml:space="preserve">(455D) </w:t>
      </w:r>
      <w:r>
        <w:rPr>
          <w:rFonts w:ascii="Times New Roman" w:hAnsi="Times New Roman"/>
          <w:b/>
          <w:i w:val="false"/>
          <w:color w:val="000000"/>
          <w:sz w:val="22"/>
        </w:rPr>
        <w:t xml:space="preserve">Financial assurance requirements. </w:t>
      </w:r>
      <w:r>
        <w:rPr>
          <w:rFonts w:ascii="Times New Roman" w:hAnsi="Times New Roman"/>
          <w:b w:val="false"/>
          <w:i w:val="false"/>
          <w:color w:val="000000"/>
          <w:sz w:val="22"/>
        </w:rPr>
        <w:t xml:space="preserve">Permitted waste tire processing sites and waste tire stockpile sites must obtain and submit a financial assurance instrument to the department in accordance with Iowa Code section </w:t>
      </w:r>
      <w:hyperlink r:id="rId201">
        <w:r>
          <w:rPr>
            <w:rStyle w:val="Hyperlink"/>
            <w:rFonts w:ascii="Times New Roman" w:hAnsi="Times New Roman"/>
            <w:b w:val="false"/>
            <w:i w:val="false"/>
            <w:color w:val="000000"/>
            <w:sz w:val="22"/>
          </w:rPr>
          <w:t>455D.11A</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of a waste tire processing or stockpile site until a financial assurance instrument(s) has been submitted to and approved by the department,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102.410(2)</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Waste tire stockpile sites shall have financial assurance coverage equal to $2.50 per passenger tire equivalent collected and stockpiled.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tire processing sites shall have financial assurance coverage equal to $2.50 per passenger tire equivalent stockpiled above the permitted three-day processing capacity, in accordance with </w:t>
      </w:r>
      <w:hyperlink r:id="rId202">
        <w:r>
          <w:rPr>
            <w:rStyle w:val="Hyperlink"/>
            <w:rFonts w:ascii="Times New Roman" w:hAnsi="Times New Roman"/>
            <w:b w:val="false"/>
            <w:i w:val="false"/>
            <w:color w:val="000000"/>
            <w:sz w:val="22"/>
          </w:rPr>
          <w:t>102.409(3)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102.410(3)</w:t>
      </w:r>
      <w:r>
        <w:rPr>
          <w:rFonts w:ascii="Times New Roman" w:hAnsi="Times New Roman"/>
          <w:b w:val="false"/>
          <w:i w:val="false"/>
          <w:color w:val="000000"/>
          <w:sz w:val="22"/>
        </w:rPr>
        <w:t> </w:t>
      </w:r>
      <w:r>
        <w:rPr>
          <w:rFonts w:ascii="Times New Roman" w:hAnsi="Times New Roman"/>
          <w:b w:val="false"/>
          <w:i/>
          <w:color w:val="000000"/>
          <w:sz w:val="22"/>
        </w:rPr>
        <w:t xml:space="preserve">Allowable financial assurance instruments. </w:t>
      </w:r>
      <w:r>
        <w:rPr>
          <w:rFonts w:ascii="Times New Roman" w:hAnsi="Times New Roman"/>
          <w:b w:val="false"/>
          <w:i w:val="false"/>
          <w:color w:val="000000"/>
          <w:sz w:val="22"/>
        </w:rPr>
        <w:t xml:space="preserve">The instruments used to demonstrate financial assurance must ensure that the funds necessary to properly dispose of any waste tires that may remain at a permitted waste tire stockpile or waste tire processing site due to the owner’s or operator’s failure to properly close the site within 30 days of permit termination, revocation, or expiration. The financial assurance instrument must be legally valid, binding, and enforceable under Iowa law and shall not be canceled, revoked, disbursed, released, or allowed to terminate without the approval of the department. Owners or operators must choose from options in </w:t>
      </w:r>
      <w:hyperlink r:id="rId203">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as provided for in Iowa Code section </w:t>
      </w:r>
      <w:hyperlink r:id="rId204">
        <w:r>
          <w:rPr>
            <w:rStyle w:val="Hyperlink"/>
            <w:rFonts w:ascii="Times New Roman" w:hAnsi="Times New Roman"/>
            <w:b w:val="false"/>
            <w:i w:val="false"/>
            <w:color w:val="000000"/>
            <w:sz w:val="22"/>
          </w:rPr>
          <w:t>455D.11A(3)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Cash. </w:t>
      </w:r>
      <w:r>
        <w:rPr>
          <w:rFonts w:ascii="Times New Roman" w:hAnsi="Times New Roman"/>
          <w:b w:val="false"/>
          <w:i w:val="false"/>
          <w:color w:val="000000"/>
          <w:sz w:val="22"/>
        </w:rPr>
        <w:t>Cash payments shall be provided by a certified check, made payable to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An owner or operator may demonstrate financial assurance for closure by obtaining a payment or performance surety bond, which conforms to the requirements of this paragraph. The surety bond agreement shall be on a form prescribed by the department and executed by a surety company authorized by the commissioner of insurance to do business in Iowa. The owner or operator shall provide the department with a statement from the surety with each permit renewal application, noting that the bond is paid and current for the period for which the applicant has applied for permit renewal. The executed surety bond provided to the department shall be an original, or copy thereof, that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penal sum of the bond must be in an amount at least equal to the amount specified in </w:t>
      </w:r>
      <w:hyperlink r:id="rId205">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terms of the bond, the surety will become liable on the bond obligation when the owner or operator fails to perform as guaranteed by the bond and upon notice from the department pursuant to </w:t>
      </w:r>
      <w:hyperlink r:id="rId206">
        <w:r>
          <w:rPr>
            <w:rStyle w:val="Hyperlink"/>
            <w:rFonts w:ascii="Times New Roman" w:hAnsi="Times New Roman"/>
            <w:b w:val="false"/>
            <w:i w:val="false"/>
            <w:color w:val="000000"/>
            <w:sz w:val="22"/>
          </w:rPr>
          <w:t>102.410(8)</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also establish a standby trust fund. The standby trust fund must meet the requirements of </w:t>
      </w:r>
      <w:hyperlink r:id="rId207">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made under the terms of the letter of credit will be deposited by the issuing institution directly into the standby trust fund. Payments from the trust fund must be authorized by the trustee pursuant to </w:t>
      </w:r>
      <w:hyperlink r:id="rId208">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r>
        <w:rPr>
          <w:rFonts w:ascii="Times New Roman" w:hAnsi="Times New Roman"/>
          <w:b w:val="false"/>
          <w:i w:val="false"/>
          <w:color w:val="000000"/>
          <w:sz w:val="22"/>
        </w:rPr>
        <w:t>An owner or operator may demonstrate financial assurance for closure by obtaining an irrevocable standby letter of credit, which conforms to the requirements of this paragraph. The letter of credit agreement shall be on a form prescribed by the department, and the issuing institution must be an entity that has the authority to issue letters of credit and whose letter-of-credit operations are regulated and examined by a federal or state agency. The owner or operator shall provide the department with a statement from the issuing institution with each permit renewal application, noting that the letter of credit is paid and current for the period for which the applicant has applied for permit renewal. The executed letter of credit provided to the department shall be an original, or copy thereof, that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issued for a period of at least one year in an amount at least equal to the amount specified in </w:t>
      </w:r>
      <w:hyperlink r:id="rId209">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funds by the issuer of the letter of credit shall be considered an issuance of a loan to the owner or operator, and the terms of that loan shall be governed by the letter of credit or subsequent agreement between those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providing the name and address of the facility; and providing the amount of funds assured must be included with the letter of credit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also establish a standby trust fund. The standby trust fund must meet the requirements of </w:t>
      </w:r>
      <w:hyperlink r:id="rId210">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made under the terms of the letter of credit will be deposited by the issuing institution directly into the standby trust fund. Payments from the trust fund must be authorized by the trustee pursuant to </w:t>
      </w:r>
      <w:hyperlink r:id="rId211">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Trust fund. </w:t>
      </w:r>
      <w:r>
        <w:rPr>
          <w:rFonts w:ascii="Times New Roman" w:hAnsi="Times New Roman"/>
          <w:b w:val="false"/>
          <w:i w:val="false"/>
          <w:color w:val="000000"/>
          <w:sz w:val="22"/>
        </w:rPr>
        <w:t>An owner or operator may demonstrate financial assurance for closure by establishing a trust fund that conforms to the requirements of this paragraph. The trust fund agreement shall be on a form prescribed by the department, and the trustee must be an entity that has the authority to act as a trustee and whose trust operations are regulated and examined by a federal or state agency. The executed trust fund provided to the department shall be an original, or copy thereof, that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trust fund shall be in an amount least equal to the amount specified in </w:t>
      </w:r>
      <w:hyperlink r:id="rId212">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provide the department with a statement from the trustee with each permit renewal application, documenting the current value of the trust fund complies with </w:t>
      </w:r>
      <w:hyperlink r:id="rId213">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department, or other person authorized to conduct closure may request reimbursement from the trustee for these expenditures as they are incurred. Requests for reimbursement will be granted by the trustee only if sufficient funds are remaining in the trust fund to cover the remaining costs of proper site closure. The owner or operator, or other person authorized to conduct closure, must submit to the department documentation of the justification for reimbursement and verification that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r>
        <w:rPr>
          <w:rFonts w:ascii="Times New Roman" w:hAnsi="Times New Roman"/>
          <w:b w:val="false"/>
          <w:i w:val="false"/>
          <w:color w:val="000000"/>
          <w:sz w:val="22"/>
        </w:rPr>
        <w:t>An owner or operator that satisfies the requirements of this paragraph may demonstrate financial assurance for closure by obtaining a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Affiliation. The guarantor must be the direct or higher-tier parent corporation of the owner or operator, a firm whose parent corporation is also the parent corporation of the owner or operator, or a firm with a substantial business relationship with the owner or operator. A certified copy of the executed guarantee must be placed in the facility’s operating record along with copies of the letter from the guarantor’s chief financial officer and the independent certified public accountant’s opinion(s). If the guarantor’s parent corporation is also the parent corporation of the owner or operator, the letter from the guarantor’s chief financial officer must describe the value received in consideration of the guarantee. If the guarantor is a firm with a substantial business relationship with the owner or operator, this letter must describe this substantial business relationship and the value received in consideration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Terms of the written guarantee. The guarantee must be effective and all required submissions made to the department prior to the initial receipt of waste tires or before the cancellation of an alternative financial assurance instrument, in the case of closure. The guarantee must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fails to perform proper closure of a site covered by the guarantee, or fails to obtain alternative financial assurance within 90 days of notice of intent to cancel pursuant to </w:t>
      </w:r>
      <w:hyperlink r:id="rId214">
        <w:r>
          <w:rPr>
            <w:rStyle w:val="Hyperlink"/>
            <w:rFonts w:ascii="Times New Roman" w:hAnsi="Times New Roman"/>
            <w:b w:val="false"/>
            <w:i w:val="false"/>
            <w:color w:val="000000"/>
            <w:sz w:val="22"/>
          </w:rPr>
          <w:t>102.410(8)</w:t>
        </w:r>
      </w:hyperlink>
      <w:r>
        <w:rPr>
          <w:rFonts w:ascii="Times New Roman" w:hAnsi="Times New Roman"/>
          <w:b w:val="false"/>
          <w:i w:val="false"/>
          <w:color w:val="000000"/>
          <w:sz w:val="22"/>
        </w:rPr>
        <w:t>,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proper closure as required (performance guarantee);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w:t>
      </w:r>
      <w:hyperlink r:id="rId215">
        <w:r>
          <w:rPr>
            <w:rStyle w:val="Hyperlink"/>
            <w:rFonts w:ascii="Times New Roman" w:hAnsi="Times New Roman"/>
            <w:b w:val="false"/>
            <w:i w:val="false"/>
            <w:color w:val="000000"/>
            <w:sz w:val="22"/>
          </w:rPr>
          <w:t>102.410(3)</w:t>
        </w:r>
      </w:hyperlink>
      <w:r>
        <w:rPr>
          <w:rFonts w:ascii="Times New Roman" w:hAnsi="Times New Roman"/>
          <w:b w:val="false"/>
          <w:i/>
          <w:color w:val="000000"/>
          <w:sz w:val="22"/>
        </w:rPr>
        <w:t>“d”</w:t>
      </w:r>
      <w:r>
        <w:rPr>
          <w:rFonts w:ascii="Times New Roman" w:hAnsi="Times New Roman"/>
          <w:b w:val="false"/>
          <w:i w:val="false"/>
          <w:color w:val="000000"/>
          <w:sz w:val="22"/>
        </w:rPr>
        <w:t xml:space="preserve"> in the name of the owner or operator (payment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guarantee will remain in force for as long as the owner or operator must comply with the applicable financial assurance requirements of this rule unless the guarantor sends prior notice of cancellation by certified mail to the owner or operator and to the department pursuant to </w:t>
      </w:r>
      <w:hyperlink r:id="rId216">
        <w:r>
          <w:rPr>
            <w:rStyle w:val="Hyperlink"/>
            <w:rFonts w:ascii="Times New Roman" w:hAnsi="Times New Roman"/>
            <w:b w:val="false"/>
            <w:i w:val="false"/>
            <w:color w:val="000000"/>
            <w:sz w:val="22"/>
          </w:rPr>
          <w:t>102.410(8)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based on a reasonable belief that the corporate guarantor may no longer assure the funds of the written guarantee, require at any time the corporate guarantor to provide reports of its financial condition. If a corporate guarantor can no longer assure the funds of the written guarantee, the owner or operator must submit to the department proof of alternative financial assurance within 90-days of written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102.410(4)</w:t>
      </w:r>
      <w:r>
        <w:rPr>
          <w:rFonts w:ascii="Times New Roman" w:hAnsi="Times New Roman"/>
          <w:b w:val="false"/>
          <w:i w:val="false"/>
          <w:color w:val="000000"/>
          <w:sz w:val="22"/>
        </w:rPr>
        <w:t> </w:t>
      </w:r>
      <w:r>
        <w:rPr>
          <w:rFonts w:ascii="Times New Roman" w:hAnsi="Times New Roman"/>
          <w:b w:val="false"/>
          <w:i/>
          <w:color w:val="000000"/>
          <w:sz w:val="22"/>
        </w:rPr>
        <w:t xml:space="preserve">Use of multiple financial assurance instruments. </w:t>
      </w:r>
      <w:r>
        <w:rPr>
          <w:rFonts w:ascii="Times New Roman" w:hAnsi="Times New Roman"/>
          <w:b w:val="false"/>
          <w:i w:val="false"/>
          <w:color w:val="000000"/>
          <w:sz w:val="22"/>
        </w:rPr>
        <w:t xml:space="preserve">An owner or operator may satisfy the requirements of </w:t>
      </w:r>
      <w:hyperlink r:id="rId217">
        <w:r>
          <w:rPr>
            <w:rStyle w:val="Hyperlink"/>
            <w:rFonts w:ascii="Times New Roman" w:hAnsi="Times New Roman"/>
            <w:b w:val="false"/>
            <w:i w:val="false"/>
            <w:color w:val="000000"/>
            <w:sz w:val="22"/>
          </w:rPr>
          <w:t>567—102.410</w:t>
        </w:r>
      </w:hyperlink>
      <w:r>
        <w:rPr>
          <w:rFonts w:ascii="Times New Roman" w:hAnsi="Times New Roman"/>
          <w:b w:val="false"/>
          <w:i w:val="false"/>
          <w:color w:val="000000"/>
          <w:sz w:val="22"/>
        </w:rPr>
        <w:t xml:space="preserve">(455D) by establishing more than one financial assurance instrument per site, except that instruments guaranteeing performance rather than payment may not be combined with other instruments. The instruments must be a combination of those instruments outlined in </w:t>
      </w:r>
      <w:hyperlink r:id="rId218">
        <w:r>
          <w:rPr>
            <w:rStyle w:val="Hyperlink"/>
            <w:rFonts w:ascii="Times New Roman" w:hAnsi="Times New Roman"/>
            <w:b w:val="false"/>
            <w:i w:val="false"/>
            <w:color w:val="000000"/>
            <w:sz w:val="22"/>
          </w:rPr>
          <w:t>102.410(3)</w:t>
        </w:r>
      </w:hyperlink>
      <w:r>
        <w:rPr>
          <w:rFonts w:ascii="Times New Roman" w:hAnsi="Times New Roman"/>
          <w:b w:val="false"/>
          <w:i w:val="false"/>
          <w:color w:val="000000"/>
          <w:sz w:val="22"/>
        </w:rPr>
        <w:t xml:space="preserve"> and must provide financial assurance for an amount sufficient to satisfy the requirements of </w:t>
      </w:r>
      <w:hyperlink r:id="rId219">
        <w:r>
          <w:rPr>
            <w:rStyle w:val="Hyperlink"/>
            <w:rFonts w:ascii="Times New Roman" w:hAnsi="Times New Roman"/>
            <w:b w:val="false"/>
            <w:i w:val="false"/>
            <w:color w:val="000000"/>
            <w:sz w:val="22"/>
          </w:rPr>
          <w:t>102.410(2)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102.410(5)</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The requirement for financial assurance shall not apply to waste tire stockpiling or processing sites operated by a city or county or operated in conjunction with a permitted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102.410(6)</w:t>
      </w:r>
      <w:r>
        <w:rPr>
          <w:rFonts w:ascii="Times New Roman" w:hAnsi="Times New Roman"/>
          <w:b w:val="false"/>
          <w:i w:val="false"/>
          <w:color w:val="000000"/>
          <w:sz w:val="22"/>
        </w:rPr>
        <w:t> </w:t>
      </w:r>
      <w:r>
        <w:rPr>
          <w:rFonts w:ascii="Times New Roman" w:hAnsi="Times New Roman"/>
          <w:b w:val="false"/>
          <w:i/>
          <w:color w:val="000000"/>
          <w:sz w:val="22"/>
        </w:rPr>
        <w:t xml:space="preserve">Benefit of creditors; final judgment. </w:t>
      </w:r>
      <w:r>
        <w:rPr>
          <w:rFonts w:ascii="Times New Roman" w:hAnsi="Times New Roman"/>
          <w:b w:val="false"/>
          <w:i w:val="false"/>
          <w:color w:val="000000"/>
          <w:sz w:val="22"/>
        </w:rPr>
        <w:t>The financial assurance instrument shall not be assigned for the benefit of creditors with the exception of the state and shall not be used to pay any final judgment against a permit holder arising out of the ownership or operation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102.410(7)</w:t>
      </w:r>
      <w:r>
        <w:rPr>
          <w:rFonts w:ascii="Times New Roman" w:hAnsi="Times New Roman"/>
          <w:b w:val="false"/>
          <w:i w:val="false"/>
          <w:color w:val="000000"/>
          <w:sz w:val="22"/>
        </w:rPr>
        <w:t> </w:t>
      </w:r>
      <w:r>
        <w:rPr>
          <w:rFonts w:ascii="Times New Roman" w:hAnsi="Times New Roman"/>
          <w:b w:val="false"/>
          <w:i/>
          <w:color w:val="000000"/>
          <w:sz w:val="22"/>
        </w:rPr>
        <w:t xml:space="preserve">Failure to undertake closure activities. </w:t>
      </w:r>
      <w:r>
        <w:rPr>
          <w:rFonts w:ascii="Times New Roman" w:hAnsi="Times New Roman"/>
          <w:b w:val="false"/>
          <w:i w:val="false"/>
          <w:color w:val="000000"/>
          <w:sz w:val="22"/>
        </w:rPr>
        <w:t>The department shall have full rights of access to all funds existing in a permitted facility’s financial assurance instrument(s), at the sole discretion of the department, if the permit holder fails to undertake closure activities after being directed to do so by a final agency action of the department. These funds shall be used only for the purposes of funding closure activities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102.410(8)</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cancellation and permit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may be terminated by the owner or operator only if the owner or operator substitutes alternative financial assurance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shall be continuous in nature until canceled by the financial assurance provider, or until the department gives written notification to the owner or operator and the financial assurance provider, that the covered site has demonstrated compliance with the applicable closure requirements. The financial assurance provider shall give at least 90 days’ notice in writing to the owner or operator and to the department in the event of any intent to cancel a financial assurance instrument, as evidenced by the return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a written notice of cancellation of a financial assurance instrument, the owner or operator must provide the department with proof of alternative financial assurance or notice from the issuing institution of withdrawal of the cancellation. If a means of continued financial assurance is not provided within the 30-day time frame, the department shall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perform proper closure within 30 days of the permit suspension, termination, revocation, or expiration. For the purpose of this subrule, proper closure means removal of all waste tires and related products from the site or facility through acceptable disposal or processing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does not properly close the site within the 30-day period allowed, this shall constitute a failure to perform and the department shall file a claim with the financial assurance instrument provider to collect the amount of funds necessary to properly close the site prior to the expiration of the 90-day notice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financial assurance instrument provided to the department must remain in continuous effect until the department gives written notification to the owner, operator, and financial assurance provider that the covered site has been properly closed. An owner or operator who elects to terminate a permitted activity, whose renewal application has been denied, or whose permit has been suspended or revoked for cause must submit within 30 days of the termination of the permit a schedule for completing proper closure of the terminated activity. Closure completion cannot exceed 180 days from the date of termination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payment from any financial assurance provider for the purpose of completing proper site closure when the owner or operator declares an economic inability to comply with this rule either by sending written notification to the department or through an action such as but not limited to filing for bankruptcy.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567—102.411</w:t>
      </w:r>
      <w:r>
        <w:rPr>
          <w:rFonts w:ascii="Times New Roman" w:hAnsi="Times New Roman"/>
          <w:b/>
          <w:i w:val="false"/>
          <w:color w:val="000000"/>
          <w:sz w:val="22"/>
        </w:rPr>
        <w:t xml:space="preserve">(455D) </w:t>
      </w:r>
      <w:r>
        <w:rPr>
          <w:rFonts w:ascii="Times New Roman" w:hAnsi="Times New Roman"/>
          <w:b/>
          <w:i w:val="false"/>
          <w:color w:val="000000"/>
          <w:sz w:val="22"/>
        </w:rPr>
        <w:t xml:space="preserve">Beneficial use of waste tires.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102.411(1)</w:t>
      </w:r>
      <w:r>
        <w:rPr>
          <w:rFonts w:ascii="Times New Roman" w:hAnsi="Times New Roman"/>
          <w:b w:val="false"/>
          <w:i w:val="false"/>
          <w:color w:val="000000"/>
          <w:sz w:val="22"/>
        </w:rPr>
        <w:t> </w:t>
      </w:r>
      <w:r>
        <w:rPr>
          <w:rFonts w:ascii="Times New Roman" w:hAnsi="Times New Roman"/>
          <w:b w:val="false"/>
          <w:i/>
          <w:color w:val="000000"/>
          <w:sz w:val="22"/>
        </w:rPr>
        <w:t xml:space="preserve">Role of the department. </w:t>
      </w:r>
      <w:r>
        <w:rPr>
          <w:rFonts w:ascii="Times New Roman" w:hAnsi="Times New Roman"/>
          <w:b w:val="false"/>
          <w:i w:val="false"/>
          <w:color w:val="000000"/>
          <w:sz w:val="22"/>
        </w:rPr>
        <w:t>In order to ensure that proposed uses of whole or processed waste tires do not pose a threat to the environment or to the public health, welfare, and safety, the department shall have the authority to determine if a proposed use is beneficial and shall have the authority to approve or deny applications if such a benefit is not evident. Proposed beneficial uses in which the primary purpose of the project is as a land disposal mechanism shall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102.411(2)</w:t>
      </w:r>
      <w:r>
        <w:rPr>
          <w:rFonts w:ascii="Times New Roman" w:hAnsi="Times New Roman"/>
          <w:b w:val="false"/>
          <w:i w:val="false"/>
          <w:color w:val="000000"/>
          <w:sz w:val="22"/>
        </w:rPr>
        <w:t> </w:t>
      </w:r>
      <w:r>
        <w:rPr>
          <w:rFonts w:ascii="Times New Roman" w:hAnsi="Times New Roman"/>
          <w:b w:val="false"/>
          <w:i/>
          <w:color w:val="000000"/>
          <w:sz w:val="22"/>
        </w:rPr>
        <w:t xml:space="preserve">Beneficial uses for whole waste tires. </w:t>
      </w:r>
      <w:r>
        <w:rPr>
          <w:rFonts w:ascii="Times New Roman" w:hAnsi="Times New Roman"/>
          <w:b w:val="false"/>
          <w:i w:val="false"/>
          <w:color w:val="000000"/>
          <w:sz w:val="22"/>
        </w:rPr>
        <w:t>The following applications shall be considered acceptable beneficial uses for whole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Tire swings, sandboxes, or other equipment for child play areas on residential lots or at schools, care centers, and recreational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Dock bumpers at vehicle loading/unloading docks or marine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Crash barriers at racetracks;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Agricultural uses to hold down covers over hay, silage, and other agricultural commodities. When not in use, the tires should be neatly stacked.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102.411(3)</w:t>
      </w:r>
      <w:r>
        <w:rPr>
          <w:rFonts w:ascii="Times New Roman" w:hAnsi="Times New Roman"/>
          <w:b w:val="false"/>
          <w:i w:val="false"/>
          <w:color w:val="000000"/>
          <w:sz w:val="22"/>
        </w:rPr>
        <w:t> </w:t>
      </w:r>
      <w:r>
        <w:rPr>
          <w:rFonts w:ascii="Times New Roman" w:hAnsi="Times New Roman"/>
          <w:b w:val="false"/>
          <w:i/>
          <w:color w:val="000000"/>
          <w:sz w:val="22"/>
        </w:rPr>
        <w:t xml:space="preserve">Required notifications and approval for whole waste tire uses. </w:t>
      </w:r>
      <w:r>
        <w:rPr>
          <w:rFonts w:ascii="Times New Roman" w:hAnsi="Times New Roman"/>
          <w:b w:val="false"/>
          <w:i w:val="false"/>
          <w:color w:val="000000"/>
          <w:sz w:val="22"/>
        </w:rPr>
        <w:t xml:space="preserve">Prior to the installation or placement of waste tires for a beneficial use as allowed in </w:t>
      </w:r>
      <w:hyperlink r:id="rId220">
        <w:r>
          <w:rPr>
            <w:rStyle w:val="Hyperlink"/>
            <w:rFonts w:ascii="Times New Roman" w:hAnsi="Times New Roman"/>
            <w:b w:val="false"/>
            <w:i w:val="false"/>
            <w:color w:val="000000"/>
            <w:sz w:val="22"/>
          </w:rPr>
          <w:t>102.411(2)</w:t>
        </w:r>
      </w:hyperlink>
      <w:r>
        <w:rPr>
          <w:rFonts w:ascii="Times New Roman" w:hAnsi="Times New Roman"/>
          <w:b w:val="false"/>
          <w:i w:val="false"/>
          <w:color w:val="000000"/>
          <w:sz w:val="22"/>
        </w:rPr>
        <w:t>, the owner or operator of the site of end use shall properly notify or seek approval from the department for the proposed beneficial use under the following circumstances. These circumstances apply to the total combined amount of waste tire material that already is, or is intended to be, used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applications of less than 250 whole waste tires, notification to the department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applications of 250 to 500 whole waste tires, the department shall be notified in writing no less than 30 days prior to the construction or placement of waste tires for a proposed beneficial use, with the following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operator, or individual responsible for the beneficial use application at the site of end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site of beneficial end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total number of waste tires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beneficial use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project timeline, including proposed project start and end dates;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that explains how the site owner shall properly dispose of such waste tires in the event that the beneficial use is discontinued or dismantled.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applications of more than 500 waste tires, approval by the department shall be obtained prior to any such applications. Approval requests shall be made to the department in writing and shall contain all information as requested in </w:t>
      </w:r>
      <w:hyperlink r:id="rId221">
        <w:r>
          <w:rPr>
            <w:rStyle w:val="Hyperlink"/>
            <w:rFonts w:ascii="Times New Roman" w:hAnsi="Times New Roman"/>
            <w:b w:val="false"/>
            <w:i w:val="false"/>
            <w:color w:val="000000"/>
            <w:sz w:val="22"/>
          </w:rPr>
          <w:t>102.411(3)</w:t>
        </w:r>
      </w:hyperlink>
      <w:r>
        <w:rPr>
          <w:rFonts w:ascii="Times New Roman" w:hAnsi="Times New Roman"/>
          <w:b w:val="false"/>
          <w:i/>
          <w:color w:val="000000"/>
          <w:sz w:val="22"/>
        </w:rPr>
        <w:t>“b,”</w:t>
      </w:r>
      <w:r>
        <w:rPr>
          <w:rFonts w:ascii="Times New Roman" w:hAnsi="Times New Roman"/>
          <w:b w:val="false"/>
          <w:i w:val="false"/>
          <w:color w:val="000000"/>
          <w:sz w:val="22"/>
        </w:rPr>
        <w:t xml:space="preserve"> as well as a scaled plan of the site of end use with areas noted where whole waste tires are to be placed, including locations of the site of end use property lines and the location of any structures within 300 feet of the site of end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102.411(4)</w:t>
      </w:r>
      <w:r>
        <w:rPr>
          <w:rFonts w:ascii="Times New Roman" w:hAnsi="Times New Roman"/>
          <w:b w:val="false"/>
          <w:i w:val="false"/>
          <w:color w:val="000000"/>
          <w:sz w:val="22"/>
        </w:rPr>
        <w:t> </w:t>
      </w:r>
      <w:r>
        <w:rPr>
          <w:rFonts w:ascii="Times New Roman" w:hAnsi="Times New Roman"/>
          <w:b w:val="false"/>
          <w:i/>
          <w:color w:val="000000"/>
          <w:sz w:val="22"/>
        </w:rPr>
        <w:t xml:space="preserve">Prevention of public health risks for whole waste tire uses. </w:t>
      </w:r>
      <w:r>
        <w:rPr>
          <w:rFonts w:ascii="Times New Roman" w:hAnsi="Times New Roman"/>
          <w:b w:val="false"/>
          <w:i w:val="false"/>
          <w:color w:val="000000"/>
          <w:sz w:val="22"/>
        </w:rPr>
        <w:t>All beneficial uses of whole waste tires as approved in this rule shall have incorporated into their design and construction measures to prevent the retention and stagnation of water in the event that such conditions are likely to exist. These measures shall include, at a minimum, the piercing or drilling of holes in whole waste tires to allow for water drainage. Such measures shall be designed to minimize risks to public health and safety caused by the breeding of disease-carrying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102.411(5)</w:t>
      </w:r>
      <w:r>
        <w:rPr>
          <w:rFonts w:ascii="Times New Roman" w:hAnsi="Times New Roman"/>
          <w:b w:val="false"/>
          <w:i w:val="false"/>
          <w:color w:val="000000"/>
          <w:sz w:val="22"/>
        </w:rPr>
        <w:t> </w:t>
      </w:r>
      <w:r>
        <w:rPr>
          <w:rFonts w:ascii="Times New Roman" w:hAnsi="Times New Roman"/>
          <w:b w:val="false"/>
          <w:i/>
          <w:color w:val="000000"/>
          <w:sz w:val="22"/>
        </w:rPr>
        <w:t xml:space="preserve">Beneficial uses for processed waste tires. </w:t>
      </w:r>
      <w:r>
        <w:rPr>
          <w:rFonts w:ascii="Times New Roman" w:hAnsi="Times New Roman"/>
          <w:b w:val="false"/>
          <w:i w:val="false"/>
          <w:color w:val="000000"/>
          <w:sz w:val="22"/>
        </w:rPr>
        <w:t>This subrule establishes acceptable beneficial uses for waste tires that have been processed and required design criteria that shall be observed in the placement of processed waste tires at the site of end use. The following applications shall be considered acceptable beneficial uses for processed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On-site wastewater treatment and disposal system construction, to include use of processed waste tires in lateral trenches and as fill to cover distribution pipes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on-site wastewater treatment and disposal system is constructed and permitted according to the requirements of </w:t>
      </w:r>
      <w:hyperlink r:id="rId222">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Processed waste tires used in the system have a minimum dimension of one inch on any one side and a maximum dimension of three inches on any one 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responsible for issuance of the permit approves the beneficial use. The authority shall have the sole discretion to deny use of processed waste tires in system construction based on any engineering or design principle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Lightweight fill in public roads, public road embankment construction, and other public civil engineering applications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waste tire pieces are of uniform composition and sizing;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waste tire pieces are not mixed with other solid wastes, vegetation, composted materials, or other processed waste tire products, including separated tire bead wire, steel cording, or nylon fibers;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waste tires are not placed in direct contact with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processed waste tires are isolated from overburden materials by a protective membrane or liner to prevent intrusion and settling of overburden;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Iowa-licensed professional engineer designs and supervises the incorporation of processed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foundation drainage material used in a project as approved through a local building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bulking agent for composting operations at permitted composting facilities, with processed waste tire pieces no larger than three inches on any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Leachate drainage medium at a permitted sanitary landfill, provided that the medium meets engineering and design requirements for the landfill’s operating permit pursuant to </w:t>
      </w:r>
      <w:hyperlink r:id="rId223">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Divisions I through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Agricultural uses to hold down covers over hay, silage, and other agricultural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Traffic control devices for use in public roadway construction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Portable surfaces manufactured from tire sidewalls or tread.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Tire sidewalls used for underturf water conservation and turf growth enhancement systems at golf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102.411(6)</w:t>
      </w:r>
      <w:r>
        <w:rPr>
          <w:rFonts w:ascii="Times New Roman" w:hAnsi="Times New Roman"/>
          <w:b w:val="false"/>
          <w:i w:val="false"/>
          <w:color w:val="000000"/>
          <w:sz w:val="22"/>
        </w:rPr>
        <w:t> </w:t>
      </w:r>
      <w:r>
        <w:rPr>
          <w:rFonts w:ascii="Times New Roman" w:hAnsi="Times New Roman"/>
          <w:b w:val="false"/>
          <w:i/>
          <w:color w:val="000000"/>
          <w:sz w:val="22"/>
        </w:rPr>
        <w:t xml:space="preserve">Requests for approval of other beneficial use applications. </w:t>
      </w:r>
      <w:r>
        <w:rPr>
          <w:rFonts w:ascii="Times New Roman" w:hAnsi="Times New Roman"/>
          <w:b w:val="false"/>
          <w:i w:val="false"/>
          <w:color w:val="000000"/>
          <w:sz w:val="22"/>
        </w:rPr>
        <w:t>The department shall have the authority to approve or deny requests for beneficial use applications for waste tires and waste tire material not specifically addressed within this rule. Requests for such use determinations shall be made to the department on a form prescribed by the department. The department may request project descriptions and supporting scientific and engineering data to determine if a request for a beneficial use determination is warranted. The department shall have the sole authority to deny a beneficial use request if the department determines that any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requested beneficial use application poses a risk to the environment or to the public health, welfare,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requested beneficial use application is determined to have the primary purpose as a land disposal mechanism, and any beneficial use would be incidental in nature;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requested beneficial use application would not be in accordance with other applicable federal, state, or local laws, regulations,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102.411(7)</w:t>
      </w:r>
      <w:r>
        <w:rPr>
          <w:rFonts w:ascii="Times New Roman" w:hAnsi="Times New Roman"/>
          <w:b w:val="false"/>
          <w:i w:val="false"/>
          <w:color w:val="000000"/>
          <w:sz w:val="22"/>
        </w:rPr>
        <w:t> </w:t>
      </w:r>
      <w:r>
        <w:rPr>
          <w:rFonts w:ascii="Times New Roman" w:hAnsi="Times New Roman"/>
          <w:b w:val="false"/>
          <w:i/>
          <w:color w:val="000000"/>
          <w:sz w:val="22"/>
        </w:rPr>
        <w:t xml:space="preserve">Storage of waste tires prior to beneficial use. </w:t>
      </w:r>
      <w:r>
        <w:rPr>
          <w:rFonts w:ascii="Times New Roman" w:hAnsi="Times New Roman"/>
          <w:b w:val="false"/>
          <w:i w:val="false"/>
          <w:color w:val="000000"/>
          <w:sz w:val="22"/>
        </w:rPr>
        <w:t>Waste tires to be used for a beneficial use may be stored at the site of end use,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Such waste tire materials shall be stored for no longer than 60 days prior to the date of application, except for whole waste tires for agricultural uses as specified in </w:t>
      </w:r>
      <w:hyperlink r:id="rId224">
        <w:r>
          <w:rPr>
            <w:rStyle w:val="Hyperlink"/>
            <w:rFonts w:ascii="Times New Roman" w:hAnsi="Times New Roman"/>
            <w:b w:val="false"/>
            <w:i w:val="false"/>
            <w:color w:val="000000"/>
            <w:sz w:val="22"/>
          </w:rPr>
          <w:t>102.411(2)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storage of such waste tire materials shall be conducted in accordance with the uniform fire code and the requirements of </w:t>
      </w:r>
      <w:hyperlink r:id="rId225">
        <w:r>
          <w:rPr>
            <w:rStyle w:val="Hyperlink"/>
            <w:rFonts w:ascii="Times New Roman" w:hAnsi="Times New Roman"/>
            <w:b w:val="false"/>
            <w:i w:val="false"/>
            <w:color w:val="000000"/>
            <w:sz w:val="22"/>
          </w:rPr>
          <w:t>102.409(3)</w:t>
        </w:r>
      </w:hyperlink>
      <w:r>
        <w:rPr>
          <w:rFonts w:ascii="Times New Roman" w:hAnsi="Times New Roman"/>
          <w:b w:val="false"/>
          <w:i w:val="false"/>
          <w:color w:val="000000"/>
          <w:sz w:val="22"/>
        </w:rPr>
        <w:t xml:space="preserve"> and </w:t>
      </w:r>
      <w:hyperlink r:id="rId226">
        <w:r>
          <w:rPr>
            <w:rStyle w:val="Hyperlink"/>
            <w:rFonts w:ascii="Times New Roman" w:hAnsi="Times New Roman"/>
            <w:b w:val="false"/>
            <w:i w:val="false"/>
            <w:color w:val="000000"/>
            <w:sz w:val="22"/>
          </w:rPr>
          <w:t>102.409(4)</w:t>
        </w:r>
      </w:hyperlink>
      <w:r>
        <w:rPr>
          <w:rFonts w:ascii="Times New Roman" w:hAnsi="Times New Roman"/>
          <w:b w:val="false"/>
          <w:i/>
          <w:color w:val="000000"/>
          <w:sz w:val="22"/>
        </w:rPr>
        <w:t>“c”</w:t>
      </w:r>
      <w:r>
        <w:rPr>
          <w:rFonts w:ascii="Times New Roman" w:hAnsi="Times New Roman"/>
          <w:b w:val="false"/>
          <w:i w:val="false"/>
          <w:color w:val="000000"/>
          <w:sz w:val="22"/>
        </w:rPr>
        <w:t xml:space="preserv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storage of waste tires associated with a proposed beneficial reuse project at a site of end use for longer than 60 days without implementation of completion of a beneficial reuse project shall be subject to the waste tire storage permitting requirements as contained in </w:t>
      </w:r>
      <w:hyperlink r:id="rId227">
        <w:r>
          <w:rPr>
            <w:rStyle w:val="Hyperlink"/>
            <w:rFonts w:ascii="Times New Roman" w:hAnsi="Times New Roman"/>
            <w:b w:val="false"/>
            <w:i w:val="false"/>
            <w:color w:val="000000"/>
            <w:sz w:val="22"/>
          </w:rPr>
          <w:t>567—102.407</w:t>
        </w:r>
      </w:hyperlink>
      <w:r>
        <w:rPr>
          <w:rFonts w:ascii="Times New Roman" w:hAnsi="Times New Roman"/>
          <w:b w:val="false"/>
          <w:i w:val="false"/>
          <w:color w:val="000000"/>
          <w:sz w:val="22"/>
        </w:rPr>
        <w:t>(455D).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567—102.412</w:t>
      </w:r>
      <w:r>
        <w:rPr>
          <w:rFonts w:ascii="Times New Roman" w:hAnsi="Times New Roman"/>
          <w:b w:val="false"/>
          <w:i w:val="false"/>
          <w:color w:val="000000"/>
          <w:sz w:val="22"/>
        </w:rPr>
        <w:t xml:space="preserve"> to </w:t>
      </w:r>
      <w:r>
        <w:rPr>
          <w:rFonts w:ascii="Times New Roman" w:hAnsi="Times New Roman"/>
          <w:b/>
          <w:i w:val="false"/>
          <w:color w:val="000000"/>
          <w:sz w:val="22"/>
        </w:rPr>
        <w:t>102.499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28">
        <w:r>
          <w:rPr>
            <w:rStyle w:val="Hyperlink"/>
            <w:rFonts w:ascii="Times New Roman" w:hAnsi="Times New Roman"/>
            <w:b w:val="false"/>
            <w:i w:val="false"/>
            <w:color w:val="000000"/>
            <w:sz w:val="22"/>
          </w:rPr>
          <w:t>455D.11</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455D.11A</w:t>
        </w:r>
      </w:hyperlink>
      <w:r>
        <w:rPr>
          <w:rFonts w:ascii="Times New Roman" w:hAnsi="Times New Roman"/>
          <w:b w:val="false"/>
          <w:i w:val="false"/>
          <w:color w:val="000000"/>
          <w:sz w:val="22"/>
        </w:rPr>
        <w:t xml:space="preserve">, </w:t>
      </w:r>
      <w:hyperlink r:id="rId230">
        <w:r>
          <w:rPr>
            <w:rStyle w:val="Hyperlink"/>
            <w:rFonts w:ascii="Times New Roman" w:hAnsi="Times New Roman"/>
            <w:b w:val="false"/>
            <w:i w:val="false"/>
            <w:color w:val="000000"/>
            <w:sz w:val="22"/>
          </w:rPr>
          <w:t>455D.11B</w:t>
        </w:r>
      </w:hyperlink>
      <w:r>
        <w:rPr>
          <w:rFonts w:ascii="Times New Roman" w:hAnsi="Times New Roman"/>
          <w:b w:val="false"/>
          <w:i w:val="false"/>
          <w:color w:val="000000"/>
          <w:sz w:val="22"/>
        </w:rPr>
        <w:t xml:space="preserve">, and </w:t>
      </w:r>
      <w:hyperlink r:id="rId231">
        <w:r>
          <w:rPr>
            <w:rStyle w:val="Hyperlink"/>
            <w:rFonts w:ascii="Times New Roman" w:hAnsi="Times New Roman"/>
            <w:b w:val="false"/>
            <w:i w:val="false"/>
            <w:color w:val="000000"/>
            <w:sz w:val="22"/>
          </w:rPr>
          <w:t>455D.11I</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SPECIAL WASTE AUTHORIZATIONS</w:t>
      </w:r>
    </w:p>
    <w:p>
      <w:pPr>
        <w:spacing w:before="0" w:after="0"/>
        <w:ind w:left="120"/>
        <w:jc w:val="both"/>
      </w:pPr>
      <w:r>
        <w:rPr>
          <w:rFonts w:ascii="Times New Roman" w:hAnsi="Times New Roman"/>
          <w:b/>
          <w:i w:val="false"/>
          <w:color w:val="000000"/>
          <w:sz w:val="22"/>
        </w:rPr>
        <w:t>567—102.500</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division is to implement Iowa Code section </w:t>
      </w:r>
      <w:hyperlink r:id="rId232">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by providing rules for the disposal of special waste.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567—102.501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division shall apply to generators of special waste and municipal solid waste landfills that accept special waste. No special wastes shall be delivered to or accepted by a MSWLF unless disposal is authorized by a special waste authorization (SWA) issued by the department or is general special waste pursuant to </w:t>
      </w:r>
      <w:hyperlink r:id="rId233">
        <w:r>
          <w:rPr>
            <w:rStyle w:val="Hyperlink"/>
            <w:rFonts w:ascii="Times New Roman" w:hAnsi="Times New Roman"/>
            <w:b w:val="false"/>
            <w:i w:val="false"/>
            <w:color w:val="000000"/>
            <w:sz w:val="22"/>
          </w:rPr>
          <w:t>567—102.508</w:t>
        </w:r>
      </w:hyperlink>
      <w:r>
        <w:rPr>
          <w:rFonts w:ascii="Times New Roman" w:hAnsi="Times New Roman"/>
          <w:b w:val="false"/>
          <w:i w:val="false"/>
          <w:color w:val="000000"/>
          <w:sz w:val="22"/>
        </w:rPr>
        <w:t>(455B,455D). Wastes for which an SWA has been issued shall be disposed of in accordance with the instructions, conditions, and limitations contained in the SWA. Any amendment requests shall be handled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102.501(2)</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567—102.502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in Iowa Code section </w:t>
      </w:r>
      <w:hyperlink r:id="rId234">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w:t>
      </w:r>
      <w:hyperlink r:id="rId23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567—102.503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Restrictions. </w:t>
      </w:r>
      <w:r>
        <w:rPr>
          <w:rFonts w:ascii="Times New Roman" w:hAnsi="Times New Roman"/>
          <w:b w:val="false"/>
          <w:i w:val="false"/>
          <w:color w:val="000000"/>
          <w:sz w:val="22"/>
        </w:rPr>
        <w:t>Special wastes regulated by this division shall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102.503(1)</w:t>
      </w:r>
      <w:r>
        <w:rPr>
          <w:rFonts w:ascii="Times New Roman" w:hAnsi="Times New Roman"/>
          <w:b w:val="false"/>
          <w:i w:val="false"/>
          <w:color w:val="000000"/>
          <w:sz w:val="22"/>
        </w:rPr>
        <w:t> </w:t>
      </w:r>
      <w:r>
        <w:rPr>
          <w:rFonts w:ascii="Times New Roman" w:hAnsi="Times New Roman"/>
          <w:b w:val="false"/>
          <w:i w:val="false"/>
          <w:color w:val="000000"/>
          <w:sz w:val="22"/>
        </w:rPr>
        <w:t>The waste shall not contain free liquids.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102.503(2)</w:t>
      </w:r>
      <w:r>
        <w:rPr>
          <w:rFonts w:ascii="Times New Roman" w:hAnsi="Times New Roman"/>
          <w:b w:val="false"/>
          <w:i w:val="false"/>
          <w:color w:val="000000"/>
          <w:sz w:val="22"/>
        </w:rPr>
        <w:t> </w:t>
      </w:r>
      <w:r>
        <w:rPr>
          <w:rFonts w:ascii="Times New Roman" w:hAnsi="Times New Roman"/>
          <w:b w:val="false"/>
          <w:i w:val="false"/>
          <w:color w:val="000000"/>
          <w:sz w:val="22"/>
        </w:rPr>
        <w:t>The waste shall not be a listed hazardous waste or meet the criteria for characteristic hazardous waste pursuant to the federal Resource Conservation and Recovery Act (RCRA).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102.503(3)</w:t>
      </w:r>
      <w:r>
        <w:rPr>
          <w:rFonts w:ascii="Times New Roman" w:hAnsi="Times New Roman"/>
          <w:b w:val="false"/>
          <w:i w:val="false"/>
          <w:color w:val="000000"/>
          <w:sz w:val="22"/>
        </w:rPr>
        <w:t> </w:t>
      </w:r>
      <w:r>
        <w:rPr>
          <w:rFonts w:ascii="Times New Roman" w:hAnsi="Times New Roman"/>
          <w:b w:val="false"/>
          <w:i w:val="false"/>
          <w:color w:val="000000"/>
          <w:sz w:val="22"/>
        </w:rPr>
        <w:t xml:space="preserve">Wastes with PCB concentrations equal to or greater than 50 ppm shall not be authorized for disposal at an MSWLF unless the waste is defined as PCB bulk product waste in </w:t>
      </w:r>
      <w:r>
        <w:rPr>
          <w:rFonts w:ascii="Times New Roman" w:hAnsi="Times New Roman"/>
          <w:b w:val="false"/>
          <w:i w:val="false"/>
          <w:color w:val="000000"/>
          <w:sz w:val="22"/>
        </w:rPr>
        <w:t>40 CFR 761.3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102.503(4)</w:t>
      </w:r>
      <w:r>
        <w:rPr>
          <w:rFonts w:ascii="Times New Roman" w:hAnsi="Times New Roman"/>
          <w:b w:val="false"/>
          <w:i w:val="false"/>
          <w:color w:val="000000"/>
          <w:sz w:val="22"/>
        </w:rPr>
        <w:t> </w:t>
      </w:r>
      <w:r>
        <w:rPr>
          <w:rFonts w:ascii="Times New Roman" w:hAnsi="Times New Roman"/>
          <w:b w:val="false"/>
          <w:i w:val="false"/>
          <w:color w:val="000000"/>
          <w:sz w:val="22"/>
        </w:rPr>
        <w:t>Wastes that are used beneficially at an MSWLF are not special wastes.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567—102.504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Issuance of SWA.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102.504(1)</w:t>
      </w:r>
      <w:r>
        <w:rPr>
          <w:rFonts w:ascii="Times New Roman" w:hAnsi="Times New Roman"/>
          <w:b w:val="false"/>
          <w:i w:val="false"/>
          <w:color w:val="000000"/>
          <w:sz w:val="22"/>
        </w:rPr>
        <w:t> </w:t>
      </w:r>
      <w:r>
        <w:rPr>
          <w:rFonts w:ascii="Times New Roman" w:hAnsi="Times New Roman"/>
          <w:b w:val="false"/>
          <w:i w:val="false"/>
          <w:color w:val="000000"/>
          <w:sz w:val="22"/>
        </w:rPr>
        <w:t>Generators of special waste shall initiate an application for a SWA by providing the following to the receiving MSWLF.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chemical analysis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the process that generates the waste and verification that no RCRA listings in 40 CFR 261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Toxicity characteristic leaching procedure (TCLP) test results when appropriate, which show that none of the federal limits in </w:t>
      </w:r>
      <w:r>
        <w:rPr>
          <w:rFonts w:ascii="Times New Roman" w:hAnsi="Times New Roman"/>
          <w:b w:val="false"/>
          <w:i w:val="false"/>
          <w:color w:val="000000"/>
          <w:sz w:val="22"/>
        </w:rPr>
        <w:t>40 CFR Part 261</w:t>
      </w:r>
      <w:r>
        <w:rPr>
          <w:rFonts w:ascii="Times New Roman" w:hAnsi="Times New Roman"/>
          <w:b w:val="false"/>
          <w:i w:val="false"/>
          <w:color w:val="000000"/>
          <w:sz w:val="22"/>
        </w:rPr>
        <w:t xml:space="preserve">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Physical form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Weight or volume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Safety data sheet (SDS) for the waste or for the materials from which the waste is generated,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review of the alternatives to landfilling for each waste for which an SWA is requested, including details as to the extent the waste could be recycled, reduced, or reused so that landfilling is not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 or the MSWLF.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102.504(2)</w:t>
      </w:r>
      <w:r>
        <w:rPr>
          <w:rFonts w:ascii="Times New Roman" w:hAnsi="Times New Roman"/>
          <w:b w:val="false"/>
          <w:i w:val="false"/>
          <w:color w:val="000000"/>
          <w:sz w:val="22"/>
        </w:rPr>
        <w:t> </w:t>
      </w:r>
      <w:r>
        <w:rPr>
          <w:rFonts w:ascii="Times New Roman" w:hAnsi="Times New Roman"/>
          <w:b w:val="false"/>
          <w:i w:val="false"/>
          <w:color w:val="000000"/>
          <w:sz w:val="22"/>
        </w:rPr>
        <w:t>The receiving MSWLF shall review the submitted materials. If after review it is determined that the waste is a special waste and the MSWLF is willing to accept the waste, the MSWLF shall develop a special waste acceptance criteria (SWAC) that includes instructions for disposal of waste. The MSWLF shall submit the SWAC and materials provided by the waste generator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102.504(3)</w:t>
      </w:r>
      <w:r>
        <w:rPr>
          <w:rFonts w:ascii="Times New Roman" w:hAnsi="Times New Roman"/>
          <w:b w:val="false"/>
          <w:i w:val="false"/>
          <w:color w:val="000000"/>
          <w:sz w:val="22"/>
        </w:rPr>
        <w:t> </w:t>
      </w:r>
      <w:r>
        <w:rPr>
          <w:rFonts w:ascii="Times New Roman" w:hAnsi="Times New Roman"/>
          <w:b w:val="false"/>
          <w:i w:val="false"/>
          <w:color w:val="000000"/>
          <w:sz w:val="22"/>
        </w:rPr>
        <w:t>An SWA may be issued for a period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102.504(4)</w:t>
      </w:r>
      <w:r>
        <w:rPr>
          <w:rFonts w:ascii="Times New Roman" w:hAnsi="Times New Roman"/>
          <w:b w:val="false"/>
          <w:i w:val="false"/>
          <w:color w:val="000000"/>
          <w:sz w:val="22"/>
        </w:rPr>
        <w:t> </w:t>
      </w:r>
      <w:r>
        <w:rPr>
          <w:rFonts w:ascii="Times New Roman" w:hAnsi="Times New Roman"/>
          <w:b w:val="false"/>
          <w:i w:val="false"/>
          <w:color w:val="000000"/>
          <w:sz w:val="22"/>
        </w:rPr>
        <w:t>The holder of an SWA must apply for a renewal prior to the expiration of the SWA.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102.504(5)</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an SWA for cause at any time. Such cause may include but is not limited to evidence that indicates that the characteristics of the authorized quality of the waste vary from the authorized values, evidence that the continued disposal of the waste as authorized may pose a threat to the public health or the environment, or failure to comply with any condition in the SWA or the MSWLF’s SWAC.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102.504(6)</w:t>
      </w:r>
      <w:r>
        <w:rPr>
          <w:rFonts w:ascii="Times New Roman" w:hAnsi="Times New Roman"/>
          <w:b w:val="false"/>
          <w:i w:val="false"/>
          <w:color w:val="000000"/>
          <w:sz w:val="22"/>
        </w:rPr>
        <w:t> </w:t>
      </w:r>
      <w:r>
        <w:rPr>
          <w:rFonts w:ascii="Times New Roman" w:hAnsi="Times New Roman"/>
          <w:b w:val="false"/>
          <w:i w:val="false"/>
          <w:color w:val="000000"/>
          <w:sz w:val="22"/>
        </w:rPr>
        <w:t>The issuance of an SWA does not obligate any waste disposal facility to accept the waste nor does it preclude the facility from imposing conditions or restrictions other than those listed in the SWA.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102.504(7)</w:t>
      </w:r>
      <w:r>
        <w:rPr>
          <w:rFonts w:ascii="Times New Roman" w:hAnsi="Times New Roman"/>
          <w:b w:val="false"/>
          <w:i w:val="false"/>
          <w:color w:val="000000"/>
          <w:sz w:val="22"/>
        </w:rPr>
        <w:t> </w:t>
      </w:r>
      <w:r>
        <w:rPr>
          <w:rFonts w:ascii="Times New Roman" w:hAnsi="Times New Roman"/>
          <w:b w:val="false"/>
          <w:i w:val="false"/>
          <w:color w:val="000000"/>
          <w:sz w:val="22"/>
        </w:rPr>
        <w:t>The issuance of an SWA does not exempt the waste generator or the MSWLF from any local, state, or federal laws or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567—102.505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MSWLF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102.505(1)</w:t>
      </w:r>
      <w:r>
        <w:rPr>
          <w:rFonts w:ascii="Times New Roman" w:hAnsi="Times New Roman"/>
          <w:b w:val="false"/>
          <w:i w:val="false"/>
          <w:color w:val="000000"/>
          <w:sz w:val="22"/>
        </w:rPr>
        <w:t> </w:t>
      </w:r>
      <w:r>
        <w:rPr>
          <w:rFonts w:ascii="Times New Roman" w:hAnsi="Times New Roman"/>
          <w:b w:val="false"/>
          <w:i w:val="false"/>
          <w:color w:val="000000"/>
          <w:sz w:val="22"/>
        </w:rPr>
        <w:t>MSWLFs shall submit special waste acceptance criteria to the department with each special waste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102.505(2)</w:t>
      </w:r>
      <w:r>
        <w:rPr>
          <w:rFonts w:ascii="Times New Roman" w:hAnsi="Times New Roman"/>
          <w:b w:val="false"/>
          <w:i w:val="false"/>
          <w:color w:val="000000"/>
          <w:sz w:val="22"/>
        </w:rPr>
        <w:t> </w:t>
      </w:r>
      <w:r>
        <w:rPr>
          <w:rFonts w:ascii="Times New Roman" w:hAnsi="Times New Roman"/>
          <w:b w:val="false"/>
          <w:i w:val="false"/>
          <w:color w:val="000000"/>
          <w:sz w:val="22"/>
        </w:rPr>
        <w:t>MSWLFs are required to ensure that special wastes delivered to the facility conform to the SWAC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102.505(3)</w:t>
      </w:r>
      <w:r>
        <w:rPr>
          <w:rFonts w:ascii="Times New Roman" w:hAnsi="Times New Roman"/>
          <w:b w:val="false"/>
          <w:i w:val="false"/>
          <w:color w:val="000000"/>
          <w:sz w:val="22"/>
        </w:rPr>
        <w:t> </w:t>
      </w:r>
      <w:r>
        <w:rPr>
          <w:rFonts w:ascii="Times New Roman" w:hAnsi="Times New Roman"/>
          <w:b w:val="false"/>
          <w:i w:val="false"/>
          <w:color w:val="000000"/>
          <w:sz w:val="22"/>
        </w:rPr>
        <w:t>Each MSWLF shall provide to the department, on a quarterly basis, a report of SWA activity including each SWA number and the quantities of waste disposed of during the reporting period. This information shall be submitted on a form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567—102.506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Special waste generator responsibilities. </w:t>
      </w:r>
      <w:r>
        <w:rPr>
          <w:rFonts w:ascii="Times New Roman" w:hAnsi="Times New Roman"/>
          <w:b w:val="false"/>
          <w:i w:val="false"/>
          <w:color w:val="000000"/>
          <w:sz w:val="22"/>
        </w:rPr>
        <w:t>Special waste generator responsibilities shall include the following in addition to any requirements in the SWA or SWAC.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102.506(1)</w:t>
      </w:r>
      <w:r>
        <w:rPr>
          <w:rFonts w:ascii="Times New Roman" w:hAnsi="Times New Roman"/>
          <w:b w:val="false"/>
          <w:i w:val="false"/>
          <w:color w:val="000000"/>
          <w:sz w:val="22"/>
        </w:rPr>
        <w:t> </w:t>
      </w:r>
      <w:r>
        <w:rPr>
          <w:rFonts w:ascii="Times New Roman" w:hAnsi="Times New Roman"/>
          <w:b w:val="false"/>
          <w:i w:val="false"/>
          <w:color w:val="000000"/>
          <w:sz w:val="22"/>
        </w:rPr>
        <w:t>The generator shall adhere to the solid waste management hierarchy unless otherwise approved in an SWA. Alternatives include volume reduction at the source; recycling and reuse, including composting and land application; and other approved techniques of solid waste management including but not limited to combustion with energy recovery and combustion for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102.506(2)</w:t>
      </w:r>
      <w:r>
        <w:rPr>
          <w:rFonts w:ascii="Times New Roman" w:hAnsi="Times New Roman"/>
          <w:b w:val="false"/>
          <w:i w:val="false"/>
          <w:color w:val="000000"/>
          <w:sz w:val="22"/>
        </w:rPr>
        <w:t> </w:t>
      </w:r>
      <w:r>
        <w:rPr>
          <w:rFonts w:ascii="Times New Roman" w:hAnsi="Times New Roman"/>
          <w:b w:val="false"/>
          <w:i w:val="false"/>
          <w:color w:val="000000"/>
          <w:sz w:val="22"/>
        </w:rPr>
        <w:t>The generator shall ensure that waste regulated by a SWA arrives at the receiving MSWLF as a separate load and is not commingled with any other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102.506(3)</w:t>
      </w:r>
      <w:r>
        <w:rPr>
          <w:rFonts w:ascii="Times New Roman" w:hAnsi="Times New Roman"/>
          <w:b w:val="false"/>
          <w:i w:val="false"/>
          <w:color w:val="000000"/>
          <w:sz w:val="22"/>
        </w:rPr>
        <w:t> </w:t>
      </w:r>
      <w:r>
        <w:rPr>
          <w:rFonts w:ascii="Times New Roman" w:hAnsi="Times New Roman"/>
          <w:b w:val="false"/>
          <w:i w:val="false"/>
          <w:color w:val="000000"/>
          <w:sz w:val="22"/>
        </w:rPr>
        <w:t>The generator shall make a waste determination as required by federal regulations and submit it and analytical results supporting an SWA to the MSWLF at a frequency to be determined by the MSWLF.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102.506(4)</w:t>
      </w:r>
      <w:r>
        <w:rPr>
          <w:rFonts w:ascii="Times New Roman" w:hAnsi="Times New Roman"/>
          <w:b w:val="false"/>
          <w:i w:val="false"/>
          <w:color w:val="000000"/>
          <w:sz w:val="22"/>
        </w:rPr>
        <w:t> </w:t>
      </w:r>
      <w:r>
        <w:rPr>
          <w:rFonts w:ascii="Times New Roman" w:hAnsi="Times New Roman"/>
          <w:b w:val="false"/>
          <w:i w:val="false"/>
          <w:color w:val="000000"/>
          <w:sz w:val="22"/>
        </w:rPr>
        <w:t>The generator must contact the designated MSWLF for instructions on delivering the waste and instructions for adhering to the MSWLF’s SWAC.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102.506(5)</w:t>
      </w:r>
      <w:r>
        <w:rPr>
          <w:rFonts w:ascii="Times New Roman" w:hAnsi="Times New Roman"/>
          <w:b w:val="false"/>
          <w:i w:val="false"/>
          <w:color w:val="000000"/>
          <w:sz w:val="22"/>
        </w:rPr>
        <w:t> </w:t>
      </w:r>
      <w:r>
        <w:rPr>
          <w:rFonts w:ascii="Times New Roman" w:hAnsi="Times New Roman"/>
          <w:b w:val="false"/>
          <w:i w:val="false"/>
          <w:color w:val="000000"/>
          <w:sz w:val="22"/>
        </w:rPr>
        <w:t>The generator shall notify the department and MSWLF, prior to disposal, of any change in the characteristics of the special wastes being disposed.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102.506(6)</w:t>
      </w:r>
      <w:r>
        <w:rPr>
          <w:rFonts w:ascii="Times New Roman" w:hAnsi="Times New Roman"/>
          <w:b w:val="false"/>
          <w:i w:val="false"/>
          <w:color w:val="000000"/>
          <w:sz w:val="22"/>
        </w:rPr>
        <w:t> </w:t>
      </w:r>
      <w:r>
        <w:rPr>
          <w:rFonts w:ascii="Times New Roman" w:hAnsi="Times New Roman"/>
          <w:b w:val="false"/>
          <w:i w:val="false"/>
          <w:color w:val="000000"/>
          <w:sz w:val="22"/>
        </w:rPr>
        <w:t>Generators shall notify the MSWLF in writing when a one-time disposal under an SWA has been completed. This requirement is for one-time disposals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567—102.507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Additional requirements for specific types of special wastes.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102.507(1)</w:t>
      </w:r>
      <w:r>
        <w:rPr>
          <w:rFonts w:ascii="Times New Roman" w:hAnsi="Times New Roman"/>
          <w:b w:val="false"/>
          <w:i w:val="false"/>
          <w:color w:val="000000"/>
          <w:sz w:val="22"/>
        </w:rPr>
        <w:t> </w:t>
      </w:r>
      <w:r>
        <w:rPr>
          <w:rFonts w:ascii="Times New Roman" w:hAnsi="Times New Roman"/>
          <w:b w:val="false"/>
          <w:i/>
          <w:color w:val="000000"/>
          <w:sz w:val="22"/>
        </w:rPr>
        <w:t xml:space="preserve">Sewage sludge. </w:t>
      </w:r>
      <w:r>
        <w:rPr>
          <w:rFonts w:ascii="Times New Roman" w:hAnsi="Times New Roman"/>
          <w:b w:val="false"/>
          <w:i w:val="false"/>
          <w:color w:val="000000"/>
          <w:sz w:val="22"/>
        </w:rPr>
        <w:t xml:space="preserve">Sewage sludge, including stabilized septic tank pumpings, shall not be disposed of in a MSWLF if it meets the criteria for Class I or II sewage sludge in </w:t>
      </w:r>
      <w:hyperlink r:id="rId236">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 xml:space="preserve">, except for use in daily, interim, or final cover according to the approved plan for the landfill. Class III sewage sludge may be disposed of at a MSWLF if stabilized according to </w:t>
      </w:r>
      <w:hyperlink r:id="rId237">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102.507(2)</w:t>
      </w:r>
      <w:r>
        <w:rPr>
          <w:rFonts w:ascii="Times New Roman" w:hAnsi="Times New Roman"/>
          <w:b w:val="false"/>
          <w:i w:val="false"/>
          <w:color w:val="000000"/>
          <w:sz w:val="22"/>
        </w:rPr>
        <w:t> </w:t>
      </w:r>
      <w:r>
        <w:rPr>
          <w:rFonts w:ascii="Times New Roman" w:hAnsi="Times New Roman"/>
          <w:b w:val="false"/>
          <w:i/>
          <w:color w:val="000000"/>
          <w:sz w:val="22"/>
        </w:rPr>
        <w:t xml:space="preserve">Infectious waste. </w:t>
      </w:r>
      <w:r>
        <w:rPr>
          <w:rFonts w:ascii="Times New Roman" w:hAnsi="Times New Roman"/>
          <w:b w:val="false"/>
          <w:i w:val="false"/>
          <w:color w:val="000000"/>
          <w:sz w:val="22"/>
        </w:rPr>
        <w:t>Infectious waste may be placed with municipal solid waste if it is rendered nonpathological; it does not contain free liquids; and sharps are shredded, blunted, granulated, incinerated, or mechanically destroyed. The generator of the infectious waste must notify the waste hauler and the MSWLF that infectious waste is being placed with the regular municipal solid waste and, with the notice, certify that the infectious waste is properly treated in accordance with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567—102.508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Conditions and requirements for the disposal of general special wastes. </w:t>
      </w:r>
      <w:r>
        <w:rPr>
          <w:rFonts w:ascii="Times New Roman" w:hAnsi="Times New Roman"/>
          <w:b w:val="false"/>
          <w:i w:val="false"/>
          <w:color w:val="000000"/>
          <w:sz w:val="22"/>
        </w:rPr>
        <w:t>Disposal of general special waste shall be in accordance this rule. An SWA is not required for general special wastes. The following wastes are approved as general special wastes: asbestos-containing material (ACM), stabilized grit, bar screenings, and grease skimmings.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102.508(1)</w:t>
      </w:r>
      <w:r>
        <w:rPr>
          <w:rFonts w:ascii="Times New Roman" w:hAnsi="Times New Roman"/>
          <w:b w:val="false"/>
          <w:i w:val="false"/>
          <w:color w:val="000000"/>
          <w:sz w:val="22"/>
        </w:rPr>
        <w:t> </w:t>
      </w:r>
      <w:r>
        <w:rPr>
          <w:rFonts w:ascii="Times New Roman" w:hAnsi="Times New Roman"/>
          <w:b w:val="false"/>
          <w:i/>
          <w:color w:val="000000"/>
          <w:sz w:val="22"/>
        </w:rPr>
        <w:t xml:space="preserve">Asbestos-containing material. </w:t>
      </w:r>
      <w:r>
        <w:rPr>
          <w:rFonts w:ascii="Times New Roman" w:hAnsi="Times New Roman"/>
          <w:b w:val="false"/>
          <w:i w:val="false"/>
          <w:color w:val="000000"/>
          <w:sz w:val="22"/>
        </w:rPr>
        <w:t>The MSWLF permit holder shall comply with the following conditions and requirements whenever asbestos-containing waste materials are accepted and disposed of in an MSWLF.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ACM wastes with 1 percent or less asbestos can be disposed of at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ACM wastes that contain greater than 1 percent asbestos are regulated under federal asbestos National Emission Standards for Hazardous Air Pollutants (NESHAP) and shall be managed in accordance with federal regulations defined in </w:t>
      </w:r>
      <w:r>
        <w:rPr>
          <w:rFonts w:ascii="Times New Roman" w:hAnsi="Times New Roman"/>
          <w:b w:val="false"/>
          <w:i w:val="false"/>
          <w:color w:val="000000"/>
          <w:sz w:val="22"/>
        </w:rPr>
        <w:t>40 CFR Part 61</w:t>
      </w:r>
      <w:r>
        <w:rPr>
          <w:rFonts w:ascii="Times New Roman" w:hAnsi="Times New Roman"/>
          <w:b w:val="false"/>
          <w:i w:val="false"/>
          <w:color w:val="000000"/>
          <w:sz w:val="22"/>
        </w:rPr>
        <w:t xml:space="preserve">, Subpart M. Testing to determine asbestos content shall utilize the method specified in </w:t>
      </w:r>
      <w:r>
        <w:rPr>
          <w:rFonts w:ascii="Times New Roman" w:hAnsi="Times New Roman"/>
          <w:b w:val="false"/>
          <w:i w:val="false"/>
          <w:color w:val="000000"/>
          <w:sz w:val="22"/>
        </w:rPr>
        <w:t>40 CFR Part 763</w:t>
      </w:r>
      <w:r>
        <w:rPr>
          <w:rFonts w:ascii="Times New Roman" w:hAnsi="Times New Roman"/>
          <w:b w:val="false"/>
          <w:i w:val="false"/>
          <w:color w:val="000000"/>
          <w:sz w:val="22"/>
        </w:rPr>
        <w:t>, Section 1, Subpart F,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arrival at the MSWLF, the transporter shall present to the landfill operator the ACM waste shipment records, which shall include a determination whether the ACM waste is friable or nonfriable, if known. The landfill operator must through visual inspection or testing verify whether the ACM waste is friable or nonfriable. If the waste is friable or the inspection or testing cannot verify that the ACM is nonfriable, the waste must be handled as friable ACM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federal NESHAP-regulated ACM waste shipments that show evidence of visible dust emissions or that are not properly containerized, wrapped, wetted, and covered shall be rejected upon arrival at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ACM wastes with greater than 1 percent asbestos content that are nonfriable when received at the landfill may be disposed of at the working face. Care shall be taken when unloading and covering the waste so that it does not become friable at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ACM wastes with greater than 1 percent asbestos content that are confirmed as friable when received at the landfill shall be disposed of in an area separate from the regular working face. The wastes shall be covered carefully with a minimum of six inches of soil cover and compacted by no later than the end of the operating day. Care shall be taken at all times during disposal and covering to prevent rupture of asbestos-containing containers and wrapped waste systems. Covered ACM waste areas shall be protected from erosion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delivery, friable ACM wastes must be wet and contained in labeled, leak-tight containers or wrapping that prevents asbestos from becoming airborne. Bulk demolition wastes with friable ACM need not be placed in leak-tight containers but must remain wet at all times and be properly labeled and wrapped to prevent asbestos from becoming airborne during transport and disposal and covering at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Care shall be taken at all times when transporting, depositing, and covering federal NESHAP-regulated ACM waste to control the evolution of dust and airborne asbestos fibers and to not allow the rupture of asbestos containers and wraps.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After landfill acceptance, if any federal NESHAP-regulated ACM waste becomes dry prior to disposal, rewetting or an approved alternative means of dust emissions control is mandatory. When disposed of, the wet ACM waste must be properly covered before it can dry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 the event that any visible dust emissions from federal NESHAP-regulated ACM waste occur, protective safety equipment, consistent with federal NESHAP and OSHA regulations, shall be immediately utilized by landfill operating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Daily records of the acceptance and disposal of all ACM wastes shall be maintained. Landfill records for each NESHAP-regulated ACM waste shipment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ACM waste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the originating waste generation site, facility owner, agent responsible for performing removal and the waste transporter.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description of ACM wastes, quantity in cubic yards, weight and the number and type of containers or systems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waste shipment record and any accompanying asbestos content laboratory test and friable status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operational log notation relative to the landfill operator’s visual confirmation of waste type compared to waste shipment records and the friable or nonfriable status for each federal NESHAP-regulated ACM waste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operational log notation of any rejected ACM waste and the reasons for rejection by landfill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site operational area, coordinates location, and vertical elevation keyed to site mapping and the quantity of buried waste in cubic yards for each federal NESHAP-regulated waste shipment disposed of within the disposal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for all federal NESHAP-regulated ACM wastes accepted at the landfill in accordance with </w:t>
      </w:r>
      <w:r>
        <w:rPr>
          <w:rFonts w:ascii="Times New Roman" w:hAnsi="Times New Roman"/>
          <w:b w:val="false"/>
          <w:i w:val="false"/>
          <w:color w:val="000000"/>
          <w:sz w:val="22"/>
        </w:rPr>
        <w:t>40 CFR Part 61</w:t>
      </w:r>
      <w:r>
        <w:rPr>
          <w:rFonts w:ascii="Times New Roman" w:hAnsi="Times New Roman"/>
          <w:b w:val="false"/>
          <w:i w:val="false"/>
          <w:color w:val="000000"/>
          <w:sz w:val="22"/>
        </w:rPr>
        <w:t>, including required federal and state asbestos NESHAP program operational and site closure reports, shall be maintained. All records, except for waste shipment records, shall be maintained through site closure. Waste shipment records shall be retained for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copy of an Affidavit Explanatory of Title that has been file stamped by the county recorder shall be submitted to the department within 60 days of site closure. The affidavit shall appear at part of the property deed record and shall indicate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landfill has been used for the disposal of ACM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survey plot and all records of the location and quantity of regulated ACM wastes have been filed with federal and state NESHAP program officials. Such documentation must be filed with the department, along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is subject to the regulations under </w:t>
      </w:r>
      <w:r>
        <w:rPr>
          <w:rFonts w:ascii="Times New Roman" w:hAnsi="Times New Roman"/>
          <w:b w:val="false"/>
          <w:i w:val="false"/>
          <w:color w:val="000000"/>
          <w:sz w:val="22"/>
        </w:rPr>
        <w:t>40 CFR Part 61</w:t>
      </w:r>
      <w:r>
        <w:rPr>
          <w:rFonts w:ascii="Times New Roman" w:hAnsi="Times New Roman"/>
          <w:b w:val="false"/>
          <w:i w:val="false"/>
          <w:color w:val="000000"/>
          <w:sz w:val="22"/>
        </w:rPr>
        <w:t>, Subpart M, and the site closure permit requirements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Strict adherence to federal NESHAP asbestos regulations under </w:t>
      </w:r>
      <w:r>
        <w:rPr>
          <w:rFonts w:ascii="Times New Roman" w:hAnsi="Times New Roman"/>
          <w:b w:val="false"/>
          <w:i w:val="false"/>
          <w:color w:val="000000"/>
          <w:sz w:val="22"/>
        </w:rPr>
        <w:t>40 CFR Part 61</w:t>
      </w:r>
      <w:r>
        <w:rPr>
          <w:rFonts w:ascii="Times New Roman" w:hAnsi="Times New Roman"/>
          <w:b w:val="false"/>
          <w:i w:val="false"/>
          <w:color w:val="000000"/>
          <w:sz w:val="22"/>
        </w:rPr>
        <w:t xml:space="preserve"> is mandatory for all federal regulated ACM wastes.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102.508(2)</w:t>
      </w:r>
      <w:r>
        <w:rPr>
          <w:rFonts w:ascii="Times New Roman" w:hAnsi="Times New Roman"/>
          <w:b w:val="false"/>
          <w:i w:val="false"/>
          <w:color w:val="000000"/>
          <w:sz w:val="22"/>
        </w:rPr>
        <w:t> </w:t>
      </w:r>
      <w:r>
        <w:rPr>
          <w:rFonts w:ascii="Times New Roman" w:hAnsi="Times New Roman"/>
          <w:b w:val="false"/>
          <w:i/>
          <w:color w:val="000000"/>
          <w:sz w:val="22"/>
        </w:rPr>
        <w:t xml:space="preserve">Stabilized grit, bar screenings, and grease skimmings. </w:t>
      </w:r>
      <w:r>
        <w:rPr>
          <w:rFonts w:ascii="Times New Roman" w:hAnsi="Times New Roman"/>
          <w:b w:val="false"/>
          <w:i w:val="false"/>
          <w:color w:val="000000"/>
          <w:sz w:val="22"/>
        </w:rPr>
        <w:t>The MSWLF operator, the generator, and the hauler shall comply with the following conditions and requirements whenever stabilized grit, bar screenings, or grease skimmings are disposed of in a MSWLF.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generator shall stabilize the grit, bar screenings, and grease skimmings prior to their disposal at the landfill in order to destroy any pathogenic organisms. Stabilization shall be done by addition of lime to raise the pH to at least 12 for two hours. In lieu of stabilization for bar screenings, a system that flushes organic matter then dewaters and bags the screenings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generator shall prearrange a delivery schedule with the landfill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arrival at the landfill, the hauler shall identify the waste to the landfill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landfill operator shall direct the hauler to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waste shall be deposited at the working face, covered with regular refuse or soil and compacted.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567—102.509</w:t>
      </w:r>
      <w:r>
        <w:rPr>
          <w:rFonts w:ascii="Times New Roman" w:hAnsi="Times New Roman"/>
          <w:b w:val="false"/>
          <w:i w:val="false"/>
          <w:color w:val="000000"/>
          <w:sz w:val="22"/>
        </w:rPr>
        <w:t xml:space="preserve"> to </w:t>
      </w:r>
      <w:r>
        <w:rPr>
          <w:rFonts w:ascii="Times New Roman" w:hAnsi="Times New Roman"/>
          <w:b/>
          <w:i w:val="false"/>
          <w:color w:val="000000"/>
          <w:sz w:val="22"/>
        </w:rPr>
        <w:t>102.599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38">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DISCARDED APPLIANCE DEMANUFACTURING</w:t>
      </w:r>
    </w:p>
    <w:p>
      <w:pPr>
        <w:spacing w:before="0" w:after="0"/>
        <w:ind w:left="120"/>
        <w:jc w:val="both"/>
      </w:pPr>
      <w:r>
        <w:rPr>
          <w:rFonts w:ascii="Times New Roman" w:hAnsi="Times New Roman"/>
          <w:b/>
          <w:i w:val="false"/>
          <w:color w:val="000000"/>
          <w:sz w:val="22"/>
        </w:rPr>
        <w:t>567—102.600</w:t>
      </w:r>
      <w:r>
        <w:rPr>
          <w:rFonts w:ascii="Times New Roman" w:hAnsi="Times New Roman"/>
          <w:b/>
          <w:i w:val="false"/>
          <w:color w:val="000000"/>
          <w:sz w:val="22"/>
        </w:rPr>
        <w:t xml:space="preserve">(455D) </w:t>
      </w:r>
      <w:r>
        <w:rPr>
          <w:rFonts w:ascii="Times New Roman" w:hAnsi="Times New Roman"/>
          <w:b/>
          <w:i w:val="false"/>
          <w:color w:val="000000"/>
          <w:sz w:val="22"/>
        </w:rPr>
        <w:t xml:space="preserve">Purpose; applicability; compliance. </w:t>
      </w:r>
      <w:r>
        <w:rPr>
          <w:rFonts w:ascii="Times New Roman" w:hAnsi="Times New Roman"/>
          <w:b w:val="false"/>
          <w:i w:val="false"/>
          <w:color w:val="000000"/>
          <w:sz w:val="22"/>
        </w:rPr>
        <w:t>This division is to ensure the proper removal and disposal of electrical parts containing polychlorinated biphenyls (PCBs), components containing mercury, and refrigerants (e.g., CFCs and HCFCs) from discarded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102.600(1)</w:t>
      </w:r>
      <w:r>
        <w:rPr>
          <w:rFonts w:ascii="Times New Roman" w:hAnsi="Times New Roman"/>
          <w:b w:val="false"/>
          <w:i w:val="false"/>
          <w:color w:val="000000"/>
          <w:sz w:val="22"/>
        </w:rPr>
        <w:t> </w:t>
      </w:r>
      <w:r>
        <w:rPr>
          <w:rFonts w:ascii="Times New Roman" w:hAnsi="Times New Roman"/>
          <w:b w:val="false"/>
          <w:i w:val="false"/>
          <w:color w:val="000000"/>
          <w:sz w:val="22"/>
        </w:rPr>
        <w:t>All discarded appliances must be demanufactured pursuant to this division before being disposed of or recycled. This division does not apply to the service, repair, reuse, or rebuilding of appliances or components for their original purpose. These rules do not apply to the removal of capacitors, refrigerants, or components containing mercury during the maintenance or service of equipment containing such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102.600(2)</w:t>
      </w:r>
      <w:r>
        <w:rPr>
          <w:rFonts w:ascii="Times New Roman" w:hAnsi="Times New Roman"/>
          <w:b w:val="false"/>
          <w:i w:val="false"/>
          <w:color w:val="000000"/>
          <w:sz w:val="22"/>
        </w:rPr>
        <w:t> </w:t>
      </w:r>
      <w:r>
        <w:rPr>
          <w:rFonts w:ascii="Times New Roman" w:hAnsi="Times New Roman"/>
          <w:b w:val="false"/>
          <w:i w:val="false"/>
          <w:color w:val="000000"/>
          <w:sz w:val="22"/>
        </w:rPr>
        <w:t>Compliance with this division in no way relieves the appliance demanufacturer of the responsibility of complying with all other local, state, or federal statutes, ordinances, and rules and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102.600(3)</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567—102.601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239">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w:t>
      </w:r>
      <w:hyperlink r:id="rId240">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apply to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567—102.602</w:t>
      </w:r>
      <w:r>
        <w:rPr>
          <w:rFonts w:ascii="Times New Roman" w:hAnsi="Times New Roman"/>
          <w:b/>
          <w:i w:val="false"/>
          <w:color w:val="000000"/>
          <w:sz w:val="22"/>
        </w:rPr>
        <w:t xml:space="preserve">(455D) </w:t>
      </w:r>
      <w:r>
        <w:rPr>
          <w:rFonts w:ascii="Times New Roman" w:hAnsi="Times New Roman"/>
          <w:b/>
          <w:i w:val="false"/>
          <w:color w:val="000000"/>
          <w:sz w:val="22"/>
        </w:rPr>
        <w:t xml:space="preserve">Storage and handling of appliances prior to demanufacturing.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102.602(1)</w:t>
      </w:r>
      <w:r>
        <w:rPr>
          <w:rFonts w:ascii="Times New Roman" w:hAnsi="Times New Roman"/>
          <w:b w:val="false"/>
          <w:i w:val="false"/>
          <w:color w:val="000000"/>
          <w:sz w:val="22"/>
        </w:rPr>
        <w:t> </w:t>
      </w:r>
      <w:r>
        <w:rPr>
          <w:rFonts w:ascii="Times New Roman" w:hAnsi="Times New Roman"/>
          <w:b w:val="false"/>
          <w:i w:val="false"/>
          <w:color w:val="000000"/>
          <w:sz w:val="22"/>
        </w:rPr>
        <w:t>Any person collecting and storing discarded appliances must store the appliances so as to prevent electrical capacitors, refrigerant lines and compressors, and mercury-containing components from being damaged and allowing a release into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102.602(2)</w:t>
      </w:r>
      <w:r>
        <w:rPr>
          <w:rFonts w:ascii="Times New Roman" w:hAnsi="Times New Roman"/>
          <w:b w:val="false"/>
          <w:i w:val="false"/>
          <w:color w:val="000000"/>
          <w:sz w:val="22"/>
        </w:rPr>
        <w:t> </w:t>
      </w:r>
      <w:r>
        <w:rPr>
          <w:rFonts w:ascii="Times New Roman" w:hAnsi="Times New Roman"/>
          <w:b w:val="false"/>
          <w:i w:val="false"/>
          <w:color w:val="000000"/>
          <w:sz w:val="22"/>
        </w:rPr>
        <w:t>No method of handling discarded appliances may be used that in any way damages, cuts, or breaks refrigerant lines; crushes compressors, capacitors, or mercury-containing components; or may cause a release of refrigerant, PCBs, or mercury into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102.602(3)</w:t>
      </w:r>
      <w:r>
        <w:rPr>
          <w:rFonts w:ascii="Times New Roman" w:hAnsi="Times New Roman"/>
          <w:b w:val="false"/>
          <w:i w:val="false"/>
          <w:color w:val="000000"/>
          <w:sz w:val="22"/>
        </w:rPr>
        <w:t> </w:t>
      </w:r>
      <w:r>
        <w:rPr>
          <w:rFonts w:ascii="Times New Roman" w:hAnsi="Times New Roman"/>
          <w:b w:val="false"/>
          <w:i w:val="false"/>
          <w:color w:val="000000"/>
          <w:sz w:val="22"/>
        </w:rPr>
        <w:t>No more than 1,000 discarded appliances may be stored at a location prior to demanufacturing.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102.602(4)</w:t>
      </w:r>
      <w:r>
        <w:rPr>
          <w:rFonts w:ascii="Times New Roman" w:hAnsi="Times New Roman"/>
          <w:b w:val="false"/>
          <w:i w:val="false"/>
          <w:color w:val="000000"/>
          <w:sz w:val="22"/>
        </w:rPr>
        <w:t> </w:t>
      </w:r>
      <w:r>
        <w:rPr>
          <w:rFonts w:ascii="Times New Roman" w:hAnsi="Times New Roman"/>
          <w:b w:val="false"/>
          <w:i w:val="false"/>
          <w:color w:val="000000"/>
          <w:sz w:val="22"/>
        </w:rPr>
        <w:t>Discarded appliances may not be stored for more than 270 days before being demanufactured.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567—102.603</w:t>
      </w:r>
      <w:r>
        <w:rPr>
          <w:rFonts w:ascii="Times New Roman" w:hAnsi="Times New Roman"/>
          <w:b/>
          <w:i w:val="false"/>
          <w:color w:val="000000"/>
          <w:sz w:val="22"/>
        </w:rPr>
        <w:t xml:space="preserve">(455D) </w:t>
      </w:r>
      <w:r>
        <w:rPr>
          <w:rFonts w:ascii="Times New Roman" w:hAnsi="Times New Roman"/>
          <w:b/>
          <w:i w:val="false"/>
          <w:color w:val="000000"/>
          <w:sz w:val="22"/>
        </w:rPr>
        <w:t xml:space="preserve">Appliance demanufacturing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102.603(1)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A person must obtain a Solid Waste Management permit pursuant to </w:t>
      </w:r>
      <w:hyperlink r:id="rId241">
        <w:r>
          <w:rPr>
            <w:rStyle w:val="Hyperlink"/>
            <w:rFonts w:ascii="Times New Roman" w:hAnsi="Times New Roman"/>
            <w:b w:val="false"/>
            <w:i w:val="false"/>
            <w:color w:val="000000"/>
            <w:sz w:val="22"/>
          </w:rPr>
          <w:t>567—subrule 100.4(2)</w:t>
        </w:r>
      </w:hyperlink>
      <w:r>
        <w:rPr>
          <w:rFonts w:ascii="Times New Roman" w:hAnsi="Times New Roman"/>
          <w:b w:val="false"/>
          <w:i w:val="false"/>
          <w:color w:val="000000"/>
          <w:sz w:val="22"/>
        </w:rPr>
        <w:t xml:space="preserve"> for appliance demanufacturing from the department before conducting any demanufacturing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102.603(2)</w:t>
      </w:r>
      <w:r>
        <w:rPr>
          <w:rFonts w:ascii="Times New Roman" w:hAnsi="Times New Roman"/>
          <w:b w:val="false"/>
          <w:i w:val="false"/>
          <w:color w:val="000000"/>
          <w:sz w:val="22"/>
        </w:rPr>
        <w:t> </w:t>
      </w:r>
      <w:r>
        <w:rPr>
          <w:rFonts w:ascii="Times New Roman" w:hAnsi="Times New Roman"/>
          <w:b w:val="false"/>
          <w:i/>
          <w:color w:val="000000"/>
          <w:sz w:val="22"/>
        </w:rPr>
        <w:t xml:space="preserve">Types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may request a permit that excludes appliances that contain a particular type of material (e.g., refrigerants, sodium chromate, PCBs, or mercury switches). Persons may not demanufacture or place their unique mark on an appliance that once contained a material that is excluded from their permit. An appliance demanufacturing facility must clearly post the types of appliances the facility does not accept.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Permits may be issued for both fixed facilities and mobile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102.603(3)</w:t>
      </w:r>
      <w:r>
        <w:rPr>
          <w:rFonts w:ascii="Times New Roman" w:hAnsi="Times New Roman"/>
          <w:b w:val="false"/>
          <w:i w:val="false"/>
          <w:color w:val="000000"/>
          <w:sz w:val="22"/>
        </w:rPr>
        <w:t> </w:t>
      </w:r>
      <w:r>
        <w:rPr>
          <w:rFonts w:ascii="Times New Roman" w:hAnsi="Times New Roman"/>
          <w:b w:val="false"/>
          <w:i/>
          <w:color w:val="000000"/>
          <w:sz w:val="22"/>
        </w:rPr>
        <w:t xml:space="preserve">Factors in permit issuance decisions. </w:t>
      </w:r>
      <w:r>
        <w:rPr>
          <w:rFonts w:ascii="Times New Roman" w:hAnsi="Times New Roman"/>
          <w:b w:val="false"/>
          <w:i w:val="false"/>
          <w:color w:val="000000"/>
          <w:sz w:val="22"/>
        </w:rPr>
        <w:t xml:space="preserve">The department may request that additional information be submitted for review to make a permit issuance decision. The department may review and inspect the facility, its agents and operators, and compliance history. The department may review whether a good-faith effort to maintain compliance and protect human health and the environment is being made and whether a compliance schedule is being followed. The department may issue a permit on a trial basis. After review of the permit application or a trial period, the department may require financial assurance as a condition of a permit. Any such condition will be consistent with those types detailed in Iowa Code section </w:t>
      </w:r>
      <w:hyperlink r:id="rId242">
        <w:r>
          <w:rPr>
            <w:rStyle w:val="Hyperlink"/>
            <w:rFonts w:ascii="Times New Roman" w:hAnsi="Times New Roman"/>
            <w:b w:val="false"/>
            <w:i w:val="false"/>
            <w:color w:val="000000"/>
            <w:sz w:val="22"/>
          </w:rPr>
          <w:t>455B.301(9)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567—102.604</w:t>
      </w:r>
      <w:r>
        <w:rPr>
          <w:rFonts w:ascii="Times New Roman" w:hAnsi="Times New Roman"/>
          <w:b/>
          <w:i w:val="false"/>
          <w:color w:val="000000"/>
          <w:sz w:val="22"/>
        </w:rPr>
        <w:t>(</w:t>
      </w:r>
      <w:hyperlink r:id="rId243">
        <w:r>
          <w:rPr>
            <w:rStyle w:val="Hyperlink"/>
            <w:rFonts w:ascii="Times New Roman" w:hAnsi="Times New Roman"/>
            <w:b/>
            <w:i w:val="false"/>
            <w:color w:val="000000"/>
            <w:sz w:val="22"/>
          </w:rPr>
          <w:t>455D</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Appliance demanufacturing permit application requirements. </w:t>
      </w:r>
      <w:r>
        <w:rPr>
          <w:rFonts w:ascii="Times New Roman" w:hAnsi="Times New Roman"/>
          <w:b w:val="false"/>
          <w:i w:val="false"/>
          <w:color w:val="000000"/>
          <w:sz w:val="22"/>
        </w:rPr>
        <w:t xml:space="preserve">In addition to the permit application requirements in </w:t>
      </w:r>
      <w:hyperlink r:id="rId244">
        <w:r>
          <w:rPr>
            <w:rStyle w:val="Hyperlink"/>
            <w:rFonts w:ascii="Times New Roman" w:hAnsi="Times New Roman"/>
            <w:b w:val="false"/>
            <w:i w:val="false"/>
            <w:color w:val="000000"/>
            <w:sz w:val="22"/>
          </w:rPr>
          <w:t>567—100.5</w:t>
        </w:r>
      </w:hyperlink>
      <w:r>
        <w:rPr>
          <w:rFonts w:ascii="Times New Roman" w:hAnsi="Times New Roman"/>
          <w:b w:val="false"/>
          <w:i w:val="false"/>
          <w:color w:val="000000"/>
          <w:sz w:val="22"/>
        </w:rPr>
        <w:t>(455B,455D), the applicant shall submit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Type, source and expected number or weight of appliances to be handled per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fixed facility, schematic site plans of the facility, including the schematic floor plans of any buildings showing where activities will take place and where waste is stored.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mobile operations, schematic plans, or a description and photographs of the mobile van or trailer.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EPA-approved refrigerant removal equipment that will be used.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Operation plan: a detailed summary of the activities that will be performed on each type of appliance considered for demanufacturing. This summary must include step-by-step activities of the demanufacturing process.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contingency plan detailing the specific procedures to be used in case of equipment breakdown or fire, including methods to be used to remove or dispose of accumulated waste.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copy of the NPDES Stormwater General Permit Authorization number, if applicable.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copy of EPA Notification of PCB Activity Form 7710-53 and a return response from EPA.</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Documentation showing compliance with </w:t>
      </w:r>
      <w:hyperlink r:id="rId245">
        <w:r>
          <w:rPr>
            <w:rStyle w:val="Hyperlink"/>
            <w:rFonts w:ascii="Times New Roman" w:hAnsi="Times New Roman"/>
            <w:b w:val="false"/>
            <w:i w:val="false"/>
            <w:color w:val="000000"/>
            <w:sz w:val="22"/>
          </w:rPr>
          <w:t>567—102.606</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copy of the unique mark to be applied to each discarded appliance after demanufacturing.</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Documentation that a permanent appliance demanufacturing facility meets local zoning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567—102.605</w:t>
      </w:r>
      <w:r>
        <w:rPr>
          <w:rFonts w:ascii="Times New Roman" w:hAnsi="Times New Roman"/>
          <w:b/>
          <w:i w:val="false"/>
          <w:color w:val="000000"/>
          <w:sz w:val="22"/>
        </w:rPr>
        <w:t xml:space="preserve">(455D) </w:t>
      </w:r>
      <w:r>
        <w:rPr>
          <w:rFonts w:ascii="Times New Roman" w:hAnsi="Times New Roman"/>
          <w:b/>
          <w:i w:val="false"/>
          <w:color w:val="000000"/>
          <w:sz w:val="22"/>
        </w:rPr>
        <w:t xml:space="preserve">Operations. </w:t>
      </w:r>
      <w:r>
        <w:rPr>
          <w:rFonts w:ascii="Times New Roman" w:hAnsi="Times New Roman"/>
          <w:b w:val="false"/>
          <w:i w:val="false"/>
          <w:color w:val="000000"/>
          <w:sz w:val="22"/>
        </w:rPr>
        <w:t>The following removal and disposal requirements must be met by both fixed facilities and mobile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102.605(1)</w:t>
      </w:r>
      <w:r>
        <w:rPr>
          <w:rFonts w:ascii="Times New Roman" w:hAnsi="Times New Roman"/>
          <w:b w:val="false"/>
          <w:i w:val="false"/>
          <w:color w:val="000000"/>
          <w:sz w:val="22"/>
        </w:rPr>
        <w:t> </w:t>
      </w:r>
      <w:r>
        <w:rPr>
          <w:rFonts w:ascii="Times New Roman" w:hAnsi="Times New Roman"/>
          <w:b w:val="false"/>
          <w:i w:val="false"/>
          <w:color w:val="000000"/>
          <w:sz w:val="22"/>
        </w:rPr>
        <w:t>Demanufacturing of appliances must take place on an impervious floor, including but not limited to concrete, ceramic tile, or metal, but not including wood. Any spills must be contained and picked up with proper equipment and procedures and be disposed of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102.605(2)</w:t>
      </w:r>
      <w:r>
        <w:rPr>
          <w:rFonts w:ascii="Times New Roman" w:hAnsi="Times New Roman"/>
          <w:b w:val="false"/>
          <w:i w:val="false"/>
          <w:color w:val="000000"/>
          <w:sz w:val="22"/>
        </w:rPr>
        <w:t> </w:t>
      </w:r>
      <w:r>
        <w:rPr>
          <w:rFonts w:ascii="Times New Roman" w:hAnsi="Times New Roman"/>
          <w:b w:val="false"/>
          <w:i w:val="false"/>
          <w:color w:val="000000"/>
          <w:sz w:val="22"/>
        </w:rPr>
        <w:t>The point of demanufacturing must be located at least 50 feet from a well and any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102.605(3)</w:t>
      </w:r>
      <w:r>
        <w:rPr>
          <w:rFonts w:ascii="Times New Roman" w:hAnsi="Times New Roman"/>
          <w:b w:val="false"/>
          <w:i w:val="false"/>
          <w:color w:val="000000"/>
          <w:sz w:val="22"/>
        </w:rPr>
        <w:t> </w:t>
      </w:r>
      <w:r>
        <w:rPr>
          <w:rFonts w:ascii="Times New Roman" w:hAnsi="Times New Roman"/>
          <w:b w:val="false"/>
          <w:i w:val="false"/>
          <w:color w:val="000000"/>
          <w:sz w:val="22"/>
        </w:rPr>
        <w:t>The facility must be located above the 100-year floodwater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102.605(4)</w:t>
      </w:r>
      <w:r>
        <w:rPr>
          <w:rFonts w:ascii="Times New Roman" w:hAnsi="Times New Roman"/>
          <w:b w:val="false"/>
          <w:i w:val="false"/>
          <w:color w:val="000000"/>
          <w:sz w:val="22"/>
        </w:rPr>
        <w:t> </w:t>
      </w:r>
      <w:r>
        <w:rPr>
          <w:rFonts w:ascii="Times New Roman" w:hAnsi="Times New Roman"/>
          <w:b w:val="false"/>
          <w:i w:val="false"/>
          <w:color w:val="000000"/>
          <w:sz w:val="22"/>
        </w:rPr>
        <w:t>A permanent facility must meet local zoning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102.605(5)</w:t>
      </w:r>
      <w:r>
        <w:rPr>
          <w:rFonts w:ascii="Times New Roman" w:hAnsi="Times New Roman"/>
          <w:b w:val="false"/>
          <w:i w:val="false"/>
          <w:color w:val="000000"/>
          <w:sz w:val="22"/>
        </w:rPr>
        <w:t> </w:t>
      </w:r>
      <w:r>
        <w:rPr>
          <w:rFonts w:ascii="Times New Roman" w:hAnsi="Times New Roman"/>
          <w:b w:val="false"/>
          <w:i w:val="false"/>
          <w:color w:val="000000"/>
          <w:sz w:val="22"/>
        </w:rPr>
        <w:t>Every operation must have a unique mark that signifies all refrigerants, PCB-containing articles, and mercury-containing components have been removed. The unique mark must be a minimum of nine inches by nine inches. The unique mark must be applied to appliances after demanufacturing.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567—102.606</w:t>
      </w:r>
      <w:r>
        <w:rPr>
          <w:rFonts w:ascii="Times New Roman" w:hAnsi="Times New Roman"/>
          <w:b/>
          <w:i w:val="false"/>
          <w:color w:val="000000"/>
          <w:sz w:val="22"/>
        </w:rPr>
        <w:t xml:space="preserve">(455D) </w:t>
      </w:r>
      <w:r>
        <w:rPr>
          <w:rFonts w:ascii="Times New Roman" w:hAnsi="Times New Roman"/>
          <w:b/>
          <w:i w:val="false"/>
          <w:color w:val="000000"/>
          <w:sz w:val="22"/>
        </w:rPr>
        <w:t xml:space="preserve">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102.606(1)</w:t>
      </w:r>
      <w:r>
        <w:rPr>
          <w:rFonts w:ascii="Times New Roman" w:hAnsi="Times New Roman"/>
          <w:b w:val="false"/>
          <w:i w:val="false"/>
          <w:color w:val="000000"/>
          <w:sz w:val="22"/>
        </w:rPr>
        <w:t> </w:t>
      </w:r>
      <w:r>
        <w:rPr>
          <w:rFonts w:ascii="Times New Roman" w:hAnsi="Times New Roman"/>
          <w:b w:val="false"/>
          <w:i w:val="false"/>
          <w:color w:val="000000"/>
          <w:sz w:val="22"/>
        </w:rPr>
        <w:t>At least one owner or employee of an appliance demanufacturing facility must have a training certificate from a department-approved demanufacturer training course. A person who has completed the department-approved training course must be on site at all times when discarded appliances are being demanufactured.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102.606(2)</w:t>
      </w:r>
      <w:r>
        <w:rPr>
          <w:rFonts w:ascii="Times New Roman" w:hAnsi="Times New Roman"/>
          <w:b w:val="false"/>
          <w:i w:val="false"/>
          <w:color w:val="000000"/>
          <w:sz w:val="22"/>
        </w:rPr>
        <w:t> </w:t>
      </w:r>
      <w:r>
        <w:rPr>
          <w:rFonts w:ascii="Times New Roman" w:hAnsi="Times New Roman"/>
          <w:b w:val="false"/>
          <w:i w:val="false"/>
          <w:color w:val="000000"/>
          <w:sz w:val="22"/>
        </w:rPr>
        <w:t>To be approved by the department, the training must, at a minimum, cover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and federal regulations for the removal, storage, transportation, and disposal of refrigerant, PCB-containing articles, and mercury-containing components from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 precautions for handling appliances and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Spill prevention and cleanup procedures appropriate for appliance demanufacturing.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proper methods of loading and unloading discarded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General demanufacturing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567—102.607</w:t>
      </w:r>
      <w:r>
        <w:rPr>
          <w:rFonts w:ascii="Times New Roman" w:hAnsi="Times New Roman"/>
          <w:b/>
          <w:i w:val="false"/>
          <w:color w:val="000000"/>
          <w:sz w:val="22"/>
        </w:rPr>
        <w:t xml:space="preserve">(455D) </w:t>
      </w:r>
      <w:r>
        <w:rPr>
          <w:rFonts w:ascii="Times New Roman" w:hAnsi="Times New Roman"/>
          <w:b/>
          <w:i w:val="false"/>
          <w:color w:val="000000"/>
          <w:sz w:val="22"/>
        </w:rPr>
        <w:t xml:space="preserve">Refrigerant removal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102.607(1)</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demanufacturers of refrigerant containing appliances shall comply with </w:t>
      </w:r>
      <w:r>
        <w:rPr>
          <w:rFonts w:ascii="Times New Roman" w:hAnsi="Times New Roman"/>
          <w:b w:val="false"/>
          <w:i w:val="false"/>
          <w:color w:val="000000"/>
          <w:sz w:val="22"/>
        </w:rPr>
        <w:t>40 CFR 82.155</w:t>
      </w:r>
      <w:r>
        <w:rPr>
          <w:rFonts w:ascii="Times New Roman" w:hAnsi="Times New Roman"/>
          <w:b w:val="false"/>
          <w:i w:val="false"/>
          <w:color w:val="000000"/>
          <w:sz w:val="22"/>
        </w:rPr>
        <w:t xml:space="preserve"> as amended March 7,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102.607(2)</w:t>
      </w:r>
      <w:r>
        <w:rPr>
          <w:rFonts w:ascii="Times New Roman" w:hAnsi="Times New Roman"/>
          <w:b w:val="false"/>
          <w:i w:val="false"/>
          <w:color w:val="000000"/>
          <w:sz w:val="22"/>
        </w:rPr>
        <w:t> </w:t>
      </w:r>
      <w:r>
        <w:rPr>
          <w:rFonts w:ascii="Times New Roman" w:hAnsi="Times New Roman"/>
          <w:b w:val="false"/>
          <w:i w:val="false"/>
          <w:color w:val="000000"/>
          <w:sz w:val="22"/>
        </w:rPr>
        <w:t>The removal of refrigerant from refrigeration appliances must take place in an area where the temperature of the surrounding air and of the appliance being demanufactured is 45°F or greater.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102.607(3)</w:t>
      </w:r>
      <w:r>
        <w:rPr>
          <w:rFonts w:ascii="Times New Roman" w:hAnsi="Times New Roman"/>
          <w:b w:val="false"/>
          <w:i w:val="false"/>
          <w:color w:val="000000"/>
          <w:sz w:val="22"/>
        </w:rPr>
        <w:t> </w:t>
      </w:r>
      <w:r>
        <w:rPr>
          <w:rFonts w:ascii="Times New Roman" w:hAnsi="Times New Roman"/>
          <w:b w:val="false"/>
          <w:i w:val="false"/>
          <w:color w:val="000000"/>
          <w:sz w:val="22"/>
        </w:rPr>
        <w:t>Facilities that are not EPA-certified refrigerant reclaimers must transport recovered refrigerant to an EPA-certified reclamation facility or properly dispose of the refrigerant at an EPA-permitted facility. Reclamation may take place on site only if the appliance demanufacturing facility is certified as a reclaimer by the EPA.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102.607(4)</w:t>
      </w:r>
      <w:r>
        <w:rPr>
          <w:rFonts w:ascii="Times New Roman" w:hAnsi="Times New Roman"/>
          <w:b w:val="false"/>
          <w:i w:val="false"/>
          <w:color w:val="000000"/>
          <w:sz w:val="22"/>
        </w:rPr>
        <w:t> </w:t>
      </w:r>
      <w:r>
        <w:rPr>
          <w:rFonts w:ascii="Times New Roman" w:hAnsi="Times New Roman"/>
          <w:b w:val="false"/>
          <w:i w:val="false"/>
          <w:color w:val="000000"/>
          <w:sz w:val="22"/>
        </w:rPr>
        <w:t>The following rules apply to the demanufacturing of appliances containing compressor 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Compressor oil from refrigeration unit compressors may be removed during the demanufacturing process, and any oil removed must be stored in accordance with </w:t>
      </w:r>
      <w:r>
        <w:rPr>
          <w:rFonts w:ascii="Times New Roman" w:hAnsi="Times New Roman"/>
          <w:b w:val="false"/>
          <w:i w:val="false"/>
          <w:color w:val="000000"/>
          <w:sz w:val="22"/>
        </w:rPr>
        <w:t>40 CFR 279.22</w:t>
      </w:r>
      <w:r>
        <w:rPr>
          <w:rFonts w:ascii="Times New Roman" w:hAnsi="Times New Roman"/>
          <w:b w:val="false"/>
          <w:i w:val="false"/>
          <w:color w:val="000000"/>
          <w:sz w:val="22"/>
        </w:rPr>
        <w:t xml:space="preserve"> as amended March 3,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Compressor oil is not hazardous and may be burned in used oil-fired space heaters, provided the heaters have a capacity of 0.5 British thermal units (BTUs) per hour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Compressor oil may be sold to a marketer of used 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102.607(5)</w:t>
      </w:r>
      <w:r>
        <w:rPr>
          <w:rFonts w:ascii="Times New Roman" w:hAnsi="Times New Roman"/>
          <w:b w:val="false"/>
          <w:i w:val="false"/>
          <w:color w:val="000000"/>
          <w:sz w:val="22"/>
        </w:rPr>
        <w:t> </w:t>
      </w:r>
      <w:r>
        <w:rPr>
          <w:rFonts w:ascii="Times New Roman" w:hAnsi="Times New Roman"/>
          <w:b w:val="false"/>
          <w:i w:val="false"/>
          <w:color w:val="000000"/>
          <w:sz w:val="22"/>
        </w:rPr>
        <w:t>The following rules apply to the demanufacturing of ammonia gas-operated refrigerators and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Ammonia gas must be vented into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Sodium chromate must be removed from refrigeration equipment containing sodium chromate.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Sodium chromate liquid is a hazardous waste and must be disposed of at an EPA-permitted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Removal of sodium chromate liquid must take place on an impervious surface. In case of a spill, the spilled liquid and the material used as absorbent must be handled as a hazardous waste and disposed of as a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Sodium chromate must be stored in a department of transportation-approved (DOT-approved) container that shows no sign of damage. The container must be labeled with a proper EPA-approved chromium label stating “chromium” or “hazardous waste” as required by </w:t>
      </w:r>
      <w:r>
        <w:rPr>
          <w:rFonts w:ascii="Times New Roman" w:hAnsi="Times New Roman"/>
          <w:b w:val="false"/>
          <w:i w:val="false"/>
          <w:color w:val="000000"/>
          <w:sz w:val="22"/>
        </w:rPr>
        <w:t>40 CFR 262.32</w:t>
      </w:r>
      <w:r>
        <w:rPr>
          <w:rFonts w:ascii="Times New Roman" w:hAnsi="Times New Roman"/>
          <w:b w:val="false"/>
          <w:i w:val="false"/>
          <w:color w:val="000000"/>
          <w:sz w:val="22"/>
        </w:rPr>
        <w:t xml:space="preserve"> as amended March 3, 2025, and </w:t>
      </w:r>
      <w:r>
        <w:rPr>
          <w:rFonts w:ascii="Times New Roman" w:hAnsi="Times New Roman"/>
          <w:b w:val="false"/>
          <w:i w:val="false"/>
          <w:color w:val="000000"/>
          <w:sz w:val="22"/>
        </w:rPr>
        <w:t>49 CFR 172.304</w:t>
      </w:r>
      <w:r>
        <w:rPr>
          <w:rFonts w:ascii="Times New Roman" w:hAnsi="Times New Roman"/>
          <w:b w:val="false"/>
          <w:i w:val="false"/>
          <w:color w:val="000000"/>
          <w:sz w:val="22"/>
        </w:rPr>
        <w:t xml:space="preserve"> as amended March 3, 2025, in both English and the predominant language of any non-English-reading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shipment, sodium chromate must be packaged to prevent leakage and all containers must be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person generating sodium chromate waste must maintain records to determine if the person is a very small quantity generator (VSQG), small quantity generator (SQG), or large quantity generator (LQG) of hazardous waste.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567—102.608</w:t>
      </w:r>
      <w:r>
        <w:rPr>
          <w:rFonts w:ascii="Times New Roman" w:hAnsi="Times New Roman"/>
          <w:b/>
          <w:i w:val="false"/>
          <w:color w:val="000000"/>
          <w:sz w:val="22"/>
        </w:rPr>
        <w:t xml:space="preserve">(455D) </w:t>
      </w:r>
      <w:r>
        <w:rPr>
          <w:rFonts w:ascii="Times New Roman" w:hAnsi="Times New Roman"/>
          <w:b/>
          <w:i w:val="false"/>
          <w:color w:val="000000"/>
          <w:sz w:val="22"/>
        </w:rPr>
        <w:t xml:space="preserve">Mercury-containing component removal and disposal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102.608(1)</w:t>
      </w:r>
      <w:r>
        <w:rPr>
          <w:rFonts w:ascii="Times New Roman" w:hAnsi="Times New Roman"/>
          <w:b w:val="false"/>
          <w:i w:val="false"/>
          <w:color w:val="000000"/>
          <w:sz w:val="22"/>
        </w:rPr>
        <w:t> </w:t>
      </w:r>
      <w:r>
        <w:rPr>
          <w:rFonts w:ascii="Times New Roman" w:hAnsi="Times New Roman"/>
          <w:b w:val="false"/>
          <w:i w:val="false"/>
          <w:color w:val="000000"/>
          <w:sz w:val="22"/>
        </w:rPr>
        <w:t>All components containing mercury shall be removed from appliances. Precautions shall be taken to prevent breakage of the mercury-containing components and the release of mercury.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102.608(2)</w:t>
      </w:r>
      <w:r>
        <w:rPr>
          <w:rFonts w:ascii="Times New Roman" w:hAnsi="Times New Roman"/>
          <w:b w:val="false"/>
          <w:i w:val="false"/>
          <w:color w:val="000000"/>
          <w:sz w:val="22"/>
        </w:rPr>
        <w:t> </w:t>
      </w:r>
      <w:r>
        <w:rPr>
          <w:rFonts w:ascii="Times New Roman" w:hAnsi="Times New Roman"/>
          <w:b w:val="false"/>
          <w:i w:val="false"/>
          <w:color w:val="000000"/>
          <w:sz w:val="22"/>
        </w:rPr>
        <w:t>All mercury-containing component storage containers must be labeled with the proper EPA-approved mercury label stating: “Universal Waste—Mercury Containing Equipment” or “Waste Mercury-Containing Equipment” or “Used Mercury-Containing Equipment” in both English and the predominant language of any non-English-reading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102.608(3)</w:t>
      </w:r>
      <w:r>
        <w:rPr>
          <w:rFonts w:ascii="Times New Roman" w:hAnsi="Times New Roman"/>
          <w:b w:val="false"/>
          <w:i w:val="false"/>
          <w:color w:val="000000"/>
          <w:sz w:val="22"/>
        </w:rPr>
        <w:t> </w:t>
      </w:r>
      <w:r>
        <w:rPr>
          <w:rFonts w:ascii="Times New Roman" w:hAnsi="Times New Roman"/>
          <w:b w:val="false"/>
          <w:i w:val="false"/>
          <w:color w:val="000000"/>
          <w:sz w:val="22"/>
        </w:rPr>
        <w:t>The date when the first mercury-containing component was placed in the container shall be affixed to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102.608(4)</w:t>
      </w:r>
      <w:r>
        <w:rPr>
          <w:rFonts w:ascii="Times New Roman" w:hAnsi="Times New Roman"/>
          <w:b w:val="false"/>
          <w:i w:val="false"/>
          <w:color w:val="000000"/>
          <w:sz w:val="22"/>
        </w:rPr>
        <w:t> </w:t>
      </w:r>
      <w:r>
        <w:rPr>
          <w:rFonts w:ascii="Times New Roman" w:hAnsi="Times New Roman"/>
          <w:b w:val="false"/>
          <w:i w:val="false"/>
          <w:color w:val="000000"/>
          <w:sz w:val="22"/>
        </w:rPr>
        <w:t>Mercury-containing components may be stored for no longer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102.608(5)</w:t>
      </w:r>
      <w:r>
        <w:rPr>
          <w:rFonts w:ascii="Times New Roman" w:hAnsi="Times New Roman"/>
          <w:b w:val="false"/>
          <w:i w:val="false"/>
          <w:color w:val="000000"/>
          <w:sz w:val="22"/>
        </w:rPr>
        <w:t> </w:t>
      </w:r>
      <w:r>
        <w:rPr>
          <w:rFonts w:ascii="Times New Roman" w:hAnsi="Times New Roman"/>
          <w:b w:val="false"/>
          <w:i w:val="false"/>
          <w:color w:val="000000"/>
          <w:sz w:val="22"/>
        </w:rPr>
        <w:t>Accumulation of mercury-containing components shall not exceed 5,000 kg (11,025 lbs)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102.608(6)</w:t>
      </w:r>
      <w:r>
        <w:rPr>
          <w:rFonts w:ascii="Times New Roman" w:hAnsi="Times New Roman"/>
          <w:b w:val="false"/>
          <w:i w:val="false"/>
          <w:color w:val="000000"/>
          <w:sz w:val="22"/>
        </w:rPr>
        <w:t> </w:t>
      </w:r>
      <w:r>
        <w:rPr>
          <w:rFonts w:ascii="Times New Roman" w:hAnsi="Times New Roman"/>
          <w:b w:val="false"/>
          <w:i w:val="false"/>
          <w:color w:val="000000"/>
          <w:sz w:val="22"/>
        </w:rPr>
        <w:t>All mercury containers must be sealed prior to shipment.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102.608(7)</w:t>
      </w:r>
      <w:r>
        <w:rPr>
          <w:rFonts w:ascii="Times New Roman" w:hAnsi="Times New Roman"/>
          <w:b w:val="false"/>
          <w:i w:val="false"/>
          <w:color w:val="000000"/>
          <w:sz w:val="22"/>
        </w:rPr>
        <w:t> </w:t>
      </w:r>
      <w:r>
        <w:rPr>
          <w:rFonts w:ascii="Times New Roman" w:hAnsi="Times New Roman"/>
          <w:b w:val="false"/>
          <w:i w:val="false"/>
          <w:color w:val="000000"/>
          <w:sz w:val="22"/>
        </w:rPr>
        <w:t>All components containing mercury must be disposed of at an EPA-approved mercury recycling/recovery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102.608(8)</w:t>
      </w:r>
      <w:r>
        <w:rPr>
          <w:rFonts w:ascii="Times New Roman" w:hAnsi="Times New Roman"/>
          <w:b w:val="false"/>
          <w:i w:val="false"/>
          <w:color w:val="000000"/>
          <w:sz w:val="22"/>
        </w:rPr>
        <w:t> </w:t>
      </w:r>
      <w:r>
        <w:rPr>
          <w:rFonts w:ascii="Times New Roman" w:hAnsi="Times New Roman"/>
          <w:b w:val="false"/>
          <w:i w:val="false"/>
          <w:color w:val="000000"/>
          <w:sz w:val="22"/>
        </w:rPr>
        <w:t>Fluorescent tubes, lamps, bulbs, and similar items must be placed in a container and packaged to prevent breakage for shipment to an EPA-approved recycler or must be processed in a manner that complies with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102.608(9)</w:t>
      </w:r>
      <w:r>
        <w:rPr>
          <w:rFonts w:ascii="Times New Roman" w:hAnsi="Times New Roman"/>
          <w:b w:val="false"/>
          <w:i w:val="false"/>
          <w:color w:val="000000"/>
          <w:sz w:val="22"/>
        </w:rPr>
        <w:t> </w:t>
      </w:r>
      <w:r>
        <w:rPr>
          <w:rFonts w:ascii="Times New Roman" w:hAnsi="Times New Roman"/>
          <w:b w:val="false"/>
          <w:i w:val="false"/>
          <w:color w:val="000000"/>
          <w:sz w:val="22"/>
        </w:rPr>
        <w:t>All mercury-containing components must be managed in accordance with 40 CFR 273 as amended March 3, 2025, and all state and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567—102.609</w:t>
      </w:r>
      <w:r>
        <w:rPr>
          <w:rFonts w:ascii="Times New Roman" w:hAnsi="Times New Roman"/>
          <w:b/>
          <w:i w:val="false"/>
          <w:color w:val="000000"/>
          <w:sz w:val="22"/>
        </w:rPr>
        <w:t xml:space="preserve">(455D) </w:t>
      </w:r>
      <w:r>
        <w:rPr>
          <w:rFonts w:ascii="Times New Roman" w:hAnsi="Times New Roman"/>
          <w:b/>
          <w:i w:val="false"/>
          <w:color w:val="000000"/>
          <w:sz w:val="22"/>
        </w:rPr>
        <w:t xml:space="preserve">Capacitor removal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102.609(1)</w:t>
      </w:r>
      <w:r>
        <w:rPr>
          <w:rFonts w:ascii="Times New Roman" w:hAnsi="Times New Roman"/>
          <w:b w:val="false"/>
          <w:i w:val="false"/>
          <w:color w:val="000000"/>
          <w:sz w:val="22"/>
        </w:rPr>
        <w:t> </w:t>
      </w:r>
      <w:r>
        <w:rPr>
          <w:rFonts w:ascii="Times New Roman" w:hAnsi="Times New Roman"/>
          <w:b w:val="false"/>
          <w:i w:val="false"/>
          <w:color w:val="000000"/>
          <w:sz w:val="22"/>
        </w:rPr>
        <w:t>All capacitors must be removed from discarded appliances unless the appliance manufacturer certifies in writing that no PCBs were used in the manufacture of the appliance.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102.609(2)</w:t>
      </w:r>
      <w:r>
        <w:rPr>
          <w:rFonts w:ascii="Times New Roman" w:hAnsi="Times New Roman"/>
          <w:b w:val="false"/>
          <w:i w:val="false"/>
          <w:color w:val="000000"/>
          <w:sz w:val="22"/>
        </w:rPr>
        <w:t> </w:t>
      </w:r>
      <w:r>
        <w:rPr>
          <w:rFonts w:ascii="Times New Roman" w:hAnsi="Times New Roman"/>
          <w:b w:val="false"/>
          <w:i w:val="false"/>
          <w:color w:val="000000"/>
          <w:sz w:val="22"/>
        </w:rPr>
        <w:t>Capacitors that meet one or more of the following criteria may be disposed of or recycled as solid waste. The capacitor: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proven to be free of PCBs by an approved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imprinted by the manufacturer with the words “No PCBs” on the body of the capacitor.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certified in writing by the manufacturer of the capacitor not to contain PCBs.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Does not contain dielectric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102.609(3)</w:t>
      </w:r>
      <w:r>
        <w:rPr>
          <w:rFonts w:ascii="Times New Roman" w:hAnsi="Times New Roman"/>
          <w:b w:val="false"/>
          <w:i w:val="false"/>
          <w:color w:val="000000"/>
          <w:sz w:val="22"/>
        </w:rPr>
        <w:t> </w:t>
      </w:r>
      <w:r>
        <w:rPr>
          <w:rFonts w:ascii="Times New Roman" w:hAnsi="Times New Roman"/>
          <w:b w:val="false"/>
          <w:i w:val="false"/>
          <w:color w:val="000000"/>
          <w:sz w:val="22"/>
        </w:rPr>
        <w:t>The following rules apply to the storage and disposal of PCB-containing items. PCB-containing items must be stored and transported according to the Toxic Substances Control Act (TSCA) and 40 CFR 761 as amended March 3, 2025, and disposed of at a TSCA-permitted disposal facility. Facilities used for the storage of PCB-containing items designated for disposal must meet the following storage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register with the EPA and receive an EPA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PCB-containing items must be stored in a manner that provides adequate protection from the elements and adequate secondary containment. This storage must take place on an impervious material above the 100-year floodwater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point of demanufacturing must be located above the 100-year floodwater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capacitors containing or suspected of containing PCBs must be placed in a DOT-approved container that shows no signs of damage. The bottom of the container must be filled to a depth of two inches with absorbent material such as sand, oil-dry, or kitty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DOT-approved containers must be affixed with the large PCB mark as described in </w:t>
      </w:r>
      <w:r>
        <w:rPr>
          <w:rFonts w:ascii="Times New Roman" w:hAnsi="Times New Roman"/>
          <w:b w:val="false"/>
          <w:i w:val="false"/>
          <w:color w:val="000000"/>
          <w:sz w:val="22"/>
        </w:rPr>
        <w:t>40 CFR 761.45</w:t>
      </w:r>
      <w:r>
        <w:rPr>
          <w:rFonts w:ascii="Times New Roman" w:hAnsi="Times New Roman"/>
          <w:b w:val="false"/>
          <w:i w:val="false"/>
          <w:color w:val="000000"/>
          <w:sz w:val="22"/>
        </w:rPr>
        <w:t xml:space="preserve"> as amended March 3,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when the first PCB-containing item was placed in the container shall be placed on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Nonleaking small PCB capacitors may be stored for up to 30 days from the date of removal in an area that does not comply with the requirements in </w:t>
      </w:r>
      <w:hyperlink r:id="rId246">
        <w:r>
          <w:rPr>
            <w:rStyle w:val="Hyperlink"/>
            <w:rFonts w:ascii="Times New Roman" w:hAnsi="Times New Roman"/>
            <w:b w:val="false"/>
            <w:i w:val="false"/>
            <w:color w:val="000000"/>
            <w:sz w:val="22"/>
          </w:rPr>
          <w:t>102.609(4)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provided a notation is placed on the PCB capacitor indicating the date the item was removed from the appliance.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PCB-containing items may be stored for no more than 270 days. The storage area must be labeled with the PCB M</w:t>
      </w:r>
      <w:r>
        <w:rPr>
          <w:rFonts w:ascii="Times New Roman" w:hAnsi="Times New Roman"/>
          <w:b w:val="false"/>
          <w:i w:val="false"/>
          <w:color w:val="000000"/>
          <w:sz w:val="11"/>
          <w:vertAlign w:val="subscript"/>
        </w:rPr>
        <w:t>L</w:t>
      </w:r>
      <w:r>
        <w:rPr>
          <w:rFonts w:ascii="Times New Roman" w:hAnsi="Times New Roman"/>
          <w:b w:val="false"/>
          <w:i w:val="false"/>
          <w:color w:val="000000"/>
          <w:sz w:val="22"/>
        </w:rPr>
        <w:t>mark. The storage area must be inspected every 30 days, and the inspection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If a demanufacturer stores more than 45 kg (99.4 lbs) at any one time, the demanufacturer must maintain annual written records and the annual document log as required by </w:t>
      </w:r>
      <w:r>
        <w:rPr>
          <w:rFonts w:ascii="Times New Roman" w:hAnsi="Times New Roman"/>
          <w:b w:val="false"/>
          <w:i w:val="false"/>
          <w:color w:val="000000"/>
          <w:sz w:val="22"/>
        </w:rPr>
        <w:t>40 CFR 761.180</w:t>
      </w:r>
      <w:r>
        <w:rPr>
          <w:rFonts w:ascii="Times New Roman" w:hAnsi="Times New Roman"/>
          <w:b w:val="false"/>
          <w:i w:val="false"/>
          <w:color w:val="000000"/>
          <w:sz w:val="22"/>
        </w:rPr>
        <w:t xml:space="preserve"> as amended March 3,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102.609(4)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capacitors not meeting the criteria in </w:t>
      </w:r>
      <w:hyperlink r:id="rId247">
        <w:r>
          <w:rPr>
            <w:rStyle w:val="Hyperlink"/>
            <w:rFonts w:ascii="Times New Roman" w:hAnsi="Times New Roman"/>
            <w:b w:val="false"/>
            <w:i w:val="false"/>
            <w:color w:val="000000"/>
            <w:sz w:val="22"/>
          </w:rPr>
          <w:t>102.609(2)</w:t>
        </w:r>
      </w:hyperlink>
      <w:r>
        <w:rPr>
          <w:rFonts w:ascii="Times New Roman" w:hAnsi="Times New Roman"/>
          <w:b w:val="false"/>
          <w:i w:val="false"/>
          <w:color w:val="000000"/>
          <w:sz w:val="22"/>
        </w:rPr>
        <w:t xml:space="preserve"> must be disposed of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Appliance demanufacturers may dispose of PCB capacitors by one of two means. If the facility is a VSQG, the demanufacturer may send the properly marked and dated container of capacitors to a regional collection center (RCC) licensed under </w:t>
      </w:r>
      <w:hyperlink r:id="rId248">
        <w:r>
          <w:rPr>
            <w:rStyle w:val="Hyperlink"/>
            <w:rFonts w:ascii="Times New Roman" w:hAnsi="Times New Roman"/>
            <w:b w:val="false"/>
            <w:i w:val="false"/>
            <w:color w:val="000000"/>
            <w:sz w:val="22"/>
          </w:rPr>
          <w:t>567—Chapter 103</w:t>
        </w:r>
      </w:hyperlink>
      <w:r>
        <w:rPr>
          <w:rFonts w:ascii="Times New Roman" w:hAnsi="Times New Roman"/>
          <w:b w:val="false"/>
          <w:i w:val="false"/>
          <w:color w:val="000000"/>
          <w:sz w:val="22"/>
        </w:rPr>
        <w:t xml:space="preserve"> for disposal. If the facility is not a VSQG, the capacitors must be manifested and shipped for disposal in accordance with </w:t>
      </w:r>
      <w:r>
        <w:rPr>
          <w:rFonts w:ascii="Times New Roman" w:hAnsi="Times New Roman"/>
          <w:b w:val="false"/>
          <w:i w:val="false"/>
          <w:color w:val="000000"/>
          <w:sz w:val="22"/>
        </w:rPr>
        <w:t>40 CFR 761.65</w:t>
      </w:r>
      <w:r>
        <w:rPr>
          <w:rFonts w:ascii="Times New Roman" w:hAnsi="Times New Roman"/>
          <w:b w:val="false"/>
          <w:i w:val="false"/>
          <w:color w:val="000000"/>
          <w:sz w:val="22"/>
        </w:rPr>
        <w:t xml:space="preserve"> as amended March 3,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through an RCC. Shipments from a VSQG to an RCC shall be considered equivalent to disposal as municipal solid waste for the purposes of </w:t>
      </w:r>
      <w:r>
        <w:rPr>
          <w:rFonts w:ascii="Times New Roman" w:hAnsi="Times New Roman"/>
          <w:b w:val="false"/>
          <w:i w:val="false"/>
          <w:color w:val="000000"/>
          <w:sz w:val="22"/>
        </w:rPr>
        <w:t>40 CFR 761.60(b)</w:t>
      </w:r>
      <w:r>
        <w:rPr>
          <w:rFonts w:ascii="Times New Roman" w:hAnsi="Times New Roman"/>
          <w:b w:val="false"/>
          <w:i w:val="false"/>
          <w:color w:val="000000"/>
          <w:sz w:val="22"/>
        </w:rPr>
        <w:t xml:space="preserve">(2)(iii) as amended March 3, 2025; capacitors may not be disposed of in a landfill. An RCC may accept PCB capacitors without having to provide a certificate of disposal. The RCC shall provide the appliance demanufacturer with a receipt specifying the name of the RCC, the appliance demanufacturer from which the capacitors were received, the weight or number of capacitors, and the date the capacitors were received. Copies of this document must be retained for three years at both locations. The date that capacitors are received shall be considered the date the capacitors are determined to be PCB-containing waste for the purposes of </w:t>
      </w:r>
      <w:r>
        <w:rPr>
          <w:rFonts w:ascii="Times New Roman" w:hAnsi="Times New Roman"/>
          <w:b w:val="false"/>
          <w:i w:val="false"/>
          <w:color w:val="000000"/>
          <w:sz w:val="22"/>
        </w:rPr>
        <w:t>40 CFR 761.65(a)</w:t>
      </w:r>
      <w:r>
        <w:rPr>
          <w:rFonts w:ascii="Times New Roman" w:hAnsi="Times New Roman"/>
          <w:b w:val="false"/>
          <w:i w:val="false"/>
          <w:color w:val="000000"/>
          <w:sz w:val="22"/>
        </w:rPr>
        <w:t>(1) as amended March 3, 2025. Capacitors may be consolidated in DOT-approved shipping containers for transport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through EPA-approved facility for the disposal of PCB waste. The labeled and dated DOT-approved container must be transported by a transporter with a valid EPA identification number, using an EPA Uniform Hazardous Waste Manifest Form. All containers must be sealed prior to shipment. The demanufacturer has one year from the date the first PCB-containing item is placed in the container to properly dispose of the contents by incineration, recycling, or another approved method pursuant to </w:t>
      </w:r>
      <w:r>
        <w:rPr>
          <w:rFonts w:ascii="Times New Roman" w:hAnsi="Times New Roman"/>
          <w:b w:val="false"/>
          <w:i w:val="false"/>
          <w:color w:val="000000"/>
          <w:sz w:val="22"/>
        </w:rPr>
        <w:t>40 CFR 761.60(b)</w:t>
      </w:r>
      <w:r>
        <w:rPr>
          <w:rFonts w:ascii="Times New Roman" w:hAnsi="Times New Roman"/>
          <w:b w:val="false"/>
          <w:i w:val="false"/>
          <w:color w:val="000000"/>
          <w:sz w:val="22"/>
        </w:rPr>
        <w:t xml:space="preserve"> as amended March 3, 2025, or 761.60(c) as amended March 3, 2025. Disposal must be documented and the record kept by the demanufacturer for three years from the date the PCB-containing waste was accepted by the initial transporter.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PCB-containing items shall be properly disposed of within one year of removal from the appliance. The generator shall obtain a certificate of disposal within 30 days of the date that disposal of the PCB-containing items was completed at a PCB disposal facility. If a certificate of disposal is not obtained within 30 days, the EPA regional administrator must be notified pursuant to </w:t>
      </w:r>
      <w:r>
        <w:rPr>
          <w:rFonts w:ascii="Times New Roman" w:hAnsi="Times New Roman"/>
          <w:b w:val="false"/>
          <w:i w:val="false"/>
          <w:color w:val="000000"/>
          <w:sz w:val="22"/>
        </w:rPr>
        <w:t>40 CFR 761.218(d)</w:t>
      </w:r>
      <w:r>
        <w:rPr>
          <w:rFonts w:ascii="Times New Roman" w:hAnsi="Times New Roman"/>
          <w:b w:val="false"/>
          <w:i w:val="false"/>
          <w:color w:val="000000"/>
          <w:sz w:val="22"/>
        </w:rPr>
        <w:t xml:space="preserve"> as amended March 3,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567—102.610</w:t>
      </w:r>
      <w:r>
        <w:rPr>
          <w:rFonts w:ascii="Times New Roman" w:hAnsi="Times New Roman"/>
          <w:b/>
          <w:i w:val="false"/>
          <w:color w:val="000000"/>
          <w:sz w:val="22"/>
        </w:rPr>
        <w:t xml:space="preserve">(455D) </w:t>
      </w:r>
      <w:r>
        <w:rPr>
          <w:rFonts w:ascii="Times New Roman" w:hAnsi="Times New Roman"/>
          <w:b/>
          <w:i w:val="false"/>
          <w:color w:val="000000"/>
          <w:sz w:val="22"/>
        </w:rPr>
        <w:t xml:space="preserve">Spills.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102.610(1)</w:t>
      </w:r>
      <w:r>
        <w:rPr>
          <w:rFonts w:ascii="Times New Roman" w:hAnsi="Times New Roman"/>
          <w:b w:val="false"/>
          <w:i w:val="false"/>
          <w:color w:val="000000"/>
          <w:sz w:val="22"/>
        </w:rPr>
        <w:t> </w:t>
      </w:r>
      <w:r>
        <w:rPr>
          <w:rFonts w:ascii="Times New Roman" w:hAnsi="Times New Roman"/>
          <w:b w:val="false"/>
          <w:i w:val="false"/>
          <w:color w:val="000000"/>
          <w:sz w:val="22"/>
        </w:rPr>
        <w:t xml:space="preserve">Any spills from leaking or cracked capacitors must be handled by placing the capacitor and any contaminated rags, clothing, and soil into a container for shipment to an EPA-approved waste disposal facility. Spills of liquid PCBs that occur outside a DOT-approved container must be cleaned and the cleanup verified by sampling as described at </w:t>
      </w:r>
      <w:r>
        <w:rPr>
          <w:rFonts w:ascii="Times New Roman" w:hAnsi="Times New Roman"/>
          <w:b w:val="false"/>
          <w:i w:val="false"/>
          <w:color w:val="000000"/>
          <w:sz w:val="22"/>
        </w:rPr>
        <w:t>40 CFR 761.130</w:t>
      </w:r>
      <w:r>
        <w:rPr>
          <w:rFonts w:ascii="Times New Roman" w:hAnsi="Times New Roman"/>
          <w:b w:val="false"/>
          <w:i w:val="false"/>
          <w:color w:val="000000"/>
          <w:sz w:val="22"/>
        </w:rPr>
        <w:t xml:space="preserve"> as amended March 3, 2025. Detailed records of such cleanups and sampling must be maintained as described at </w:t>
      </w:r>
      <w:r>
        <w:rPr>
          <w:rFonts w:ascii="Times New Roman" w:hAnsi="Times New Roman"/>
          <w:b w:val="false"/>
          <w:i w:val="false"/>
          <w:color w:val="000000"/>
          <w:sz w:val="22"/>
        </w:rPr>
        <w:t>40 CFR 761.180</w:t>
      </w:r>
      <w:r>
        <w:rPr>
          <w:rFonts w:ascii="Times New Roman" w:hAnsi="Times New Roman"/>
          <w:b w:val="false"/>
          <w:i w:val="false"/>
          <w:color w:val="000000"/>
          <w:sz w:val="22"/>
        </w:rPr>
        <w:t xml:space="preserve"> as amended March 3,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102.610(2)</w:t>
      </w:r>
      <w:r>
        <w:rPr>
          <w:rFonts w:ascii="Times New Roman" w:hAnsi="Times New Roman"/>
          <w:b w:val="false"/>
          <w:i w:val="false"/>
          <w:color w:val="000000"/>
          <w:sz w:val="22"/>
        </w:rPr>
        <w:t> </w:t>
      </w:r>
      <w:r>
        <w:rPr>
          <w:rFonts w:ascii="Times New Roman" w:hAnsi="Times New Roman"/>
          <w:b w:val="false"/>
          <w:i w:val="false"/>
          <w:color w:val="000000"/>
          <w:sz w:val="22"/>
        </w:rPr>
        <w:t>Mercury spill kits (with a mercury absorbent in the kits) must be on hand and used in the event of a mercury spill. Any waste from the cleanup of a mercury spill must be disposed of as a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102.610(3)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spill results in a hazardous condition, the facility must follow the requirements in </w:t>
      </w:r>
      <w:hyperlink r:id="rId249">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Division 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567—102.611</w:t>
      </w:r>
      <w:r>
        <w:rPr>
          <w:rFonts w:ascii="Times New Roman" w:hAnsi="Times New Roman"/>
          <w:b/>
          <w:i w:val="false"/>
          <w:color w:val="000000"/>
          <w:sz w:val="22"/>
        </w:rPr>
        <w:t xml:space="preserve">(455D) </w:t>
      </w:r>
      <w:r>
        <w:rPr>
          <w:rFonts w:ascii="Times New Roman" w:hAnsi="Times New Roman"/>
          <w:b/>
          <w:i w:val="false"/>
          <w:color w:val="000000"/>
          <w:sz w:val="22"/>
        </w:rPr>
        <w:t xml:space="preserve">Recordkeeping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102.611(1)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reports with the information required in </w:t>
      </w:r>
      <w:hyperlink r:id="rId250">
        <w:r>
          <w:rPr>
            <w:rStyle w:val="Hyperlink"/>
            <w:rFonts w:ascii="Times New Roman" w:hAnsi="Times New Roman"/>
            <w:b w:val="false"/>
            <w:i w:val="false"/>
            <w:color w:val="000000"/>
            <w:sz w:val="22"/>
          </w:rPr>
          <w:t>102.611(2)</w:t>
        </w:r>
      </w:hyperlink>
      <w:r>
        <w:rPr>
          <w:rFonts w:ascii="Times New Roman" w:hAnsi="Times New Roman"/>
          <w:b w:val="false"/>
          <w:i w:val="false"/>
          <w:color w:val="000000"/>
          <w:sz w:val="22"/>
        </w:rPr>
        <w:t xml:space="preserv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submitted to the solid waste and contaminated sites section of the department’s main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Due January 31 each year for the activities of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submitted on forms provided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be retained by the permit holder for at least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102.611(2)</w:t>
      </w:r>
      <w:r>
        <w:rPr>
          <w:rFonts w:ascii="Times New Roman" w:hAnsi="Times New Roman"/>
          <w:b w:val="false"/>
          <w:i w:val="false"/>
          <w:color w:val="000000"/>
          <w:sz w:val="22"/>
        </w:rPr>
        <w:t> </w:t>
      </w:r>
      <w:r>
        <w:rPr>
          <w:rFonts w:ascii="Times New Roman" w:hAnsi="Times New Roman"/>
          <w:b w:val="false"/>
          <w:i w:val="false"/>
          <w:color w:val="000000"/>
          <w:sz w:val="22"/>
        </w:rPr>
        <w:t>Annual reports shall contain the following information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Number of appliances demanufactured in each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Refrigerators and freezers.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Commercial coolers.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Air-conditioning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Dehumidifiers.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Gas water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Furnaces.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Clothes washers and clothes dryers.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Dishwashers.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Microwave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Other items containing mercury, refrigerant or PCB-containing articles.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Number of mercury switches removed from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mercury thermocouples removed from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the first item was placed in the mercury storage drum that is in use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fluorescent tubes removed from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sodium chromate-containing appliances shipped to another demanufacturer.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Amount of refrigerant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Number of PCB capacitors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Number of PCB ballasts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Date the first PCB-containing item was placed in the storage drum that is in use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102.611(3)</w:t>
      </w:r>
      <w:r>
        <w:rPr>
          <w:rFonts w:ascii="Times New Roman" w:hAnsi="Times New Roman"/>
          <w:b w:val="false"/>
          <w:i w:val="false"/>
          <w:color w:val="000000"/>
          <w:sz w:val="22"/>
        </w:rPr>
        <w:t> </w:t>
      </w:r>
      <w:r>
        <w:rPr>
          <w:rFonts w:ascii="Times New Roman" w:hAnsi="Times New Roman"/>
          <w:b w:val="false"/>
          <w:i w:val="false"/>
          <w:color w:val="000000"/>
          <w:sz w:val="22"/>
        </w:rPr>
        <w:t>A permitted appliance demanufacturing facility shall retain the following records on site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hazardous waste manifests and bills of lading for shipments of refrigerant, mercury switches, PCB-containing materials, and any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Receipts for any sodium chromate-containing units that were sent to another facility for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destruction or receipt from a regional collection center for all PCB materials shipped.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of inspections of the PCB storage area as required by 102.607</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written records and annual document log if required by </w:t>
      </w:r>
      <w:hyperlink r:id="rId251">
        <w:r>
          <w:rPr>
            <w:rStyle w:val="Hyperlink"/>
            <w:rFonts w:ascii="Times New Roman" w:hAnsi="Times New Roman"/>
            <w:b w:val="false"/>
            <w:i w:val="false"/>
            <w:color w:val="000000"/>
            <w:sz w:val="22"/>
          </w:rPr>
          <w:t>102.607(4)</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the annual report as required in </w:t>
      </w:r>
      <w:hyperlink r:id="rId252">
        <w:r>
          <w:rPr>
            <w:rStyle w:val="Hyperlink"/>
            <w:rFonts w:ascii="Times New Roman" w:hAnsi="Times New Roman"/>
            <w:b w:val="false"/>
            <w:i w:val="false"/>
            <w:color w:val="000000"/>
            <w:sz w:val="22"/>
          </w:rPr>
          <w:t>102.609(1)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567—102.612</w:t>
      </w:r>
      <w:r>
        <w:rPr>
          <w:rFonts w:ascii="Times New Roman" w:hAnsi="Times New Roman"/>
          <w:b/>
          <w:i w:val="false"/>
          <w:color w:val="000000"/>
          <w:sz w:val="22"/>
        </w:rPr>
        <w:t xml:space="preserve">(455D) </w:t>
      </w:r>
      <w:r>
        <w:rPr>
          <w:rFonts w:ascii="Times New Roman" w:hAnsi="Times New Roman"/>
          <w:b/>
          <w:i w:val="false"/>
          <w:color w:val="000000"/>
          <w:sz w:val="22"/>
        </w:rPr>
        <w:t xml:space="preserve">Appliance demanufacturing facility closure requirements. </w:t>
      </w:r>
      <w:r>
        <w:rPr>
          <w:rFonts w:ascii="Times New Roman" w:hAnsi="Times New Roman"/>
          <w:b w:val="false"/>
          <w:i w:val="false"/>
          <w:color w:val="000000"/>
          <w:sz w:val="22"/>
        </w:rPr>
        <w:t xml:space="preserve">In addition to the requirements in </w:t>
      </w:r>
      <w:hyperlink r:id="rId253">
        <w:r>
          <w:rPr>
            <w:rStyle w:val="Hyperlink"/>
            <w:rFonts w:ascii="Times New Roman" w:hAnsi="Times New Roman"/>
            <w:b w:val="false"/>
            <w:i w:val="false"/>
            <w:color w:val="000000"/>
            <w:sz w:val="22"/>
          </w:rPr>
          <w:t>567—100.10</w:t>
        </w:r>
      </w:hyperlink>
      <w:r>
        <w:rPr>
          <w:rFonts w:ascii="Times New Roman" w:hAnsi="Times New Roman"/>
          <w:b w:val="false"/>
          <w:i w:val="false"/>
          <w:color w:val="000000"/>
          <w:sz w:val="22"/>
        </w:rPr>
        <w:t>(455B), an appliance demanufacturing facility shall do the following prior to closure: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Remove all appliances that have not been demanufactured.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Properly dispose of all refrigerant, PCBs, mercury, and all hazardous materials.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Submit an annual report covering January 1, through the last disposal of hazardous materials, PCBs, and refrigerant.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567—102.613</w:t>
      </w:r>
      <w:r>
        <w:rPr>
          <w:rFonts w:ascii="Times New Roman" w:hAnsi="Times New Roman"/>
          <w:b/>
          <w:i w:val="false"/>
          <w:color w:val="000000"/>
          <w:sz w:val="22"/>
        </w:rPr>
        <w:t xml:space="preserve">(455D) </w:t>
      </w:r>
      <w:r>
        <w:rPr>
          <w:rFonts w:ascii="Times New Roman" w:hAnsi="Times New Roman"/>
          <w:b/>
          <w:i w:val="false"/>
          <w:color w:val="000000"/>
          <w:sz w:val="22"/>
        </w:rPr>
        <w:t xml:space="preserve">Shredding of appliances.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102.613(1)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shredding demanufactured appliances shall sample the fluff from the shredding of demanufactured appliances at least quarterly and analyze the fluff for the presence of PCBs, and according to the TCLP for arsenic, barium, cadmium, chromium, lead, mercury, selenium, and silver. The waste shall be sampled once a day for seven consecutive working days to make a composite sample. If the concentrations of heavy metals do not exceed concentrations listed in </w:t>
      </w:r>
      <w:r>
        <w:rPr>
          <w:rFonts w:ascii="Times New Roman" w:hAnsi="Times New Roman"/>
          <w:b w:val="false"/>
          <w:i w:val="false"/>
          <w:color w:val="000000"/>
          <w:sz w:val="22"/>
        </w:rPr>
        <w:t>40 CFR 261.24</w:t>
      </w:r>
      <w:r>
        <w:rPr>
          <w:rFonts w:ascii="Times New Roman" w:hAnsi="Times New Roman"/>
          <w:b w:val="false"/>
          <w:i w:val="false"/>
          <w:color w:val="000000"/>
          <w:sz w:val="22"/>
        </w:rPr>
        <w:t xml:space="preserve"> as amended March 3, 2025, the fluff may be landfilled in Iowa. Results must be retained on site for a minimum of three years and be submitted to the department within 30 days of the end of each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102.613(2)</w:t>
      </w:r>
      <w:r>
        <w:rPr>
          <w:rFonts w:ascii="Times New Roman" w:hAnsi="Times New Roman"/>
          <w:b w:val="false"/>
          <w:i w:val="false"/>
          <w:color w:val="000000"/>
          <w:sz w:val="22"/>
        </w:rPr>
        <w:t> </w:t>
      </w:r>
      <w:r>
        <w:rPr>
          <w:rFonts w:ascii="Times New Roman" w:hAnsi="Times New Roman"/>
          <w:b w:val="false"/>
          <w:i w:val="false"/>
          <w:color w:val="000000"/>
          <w:sz w:val="22"/>
        </w:rPr>
        <w:t>Fluff from the shredding of demanufactured appliances may be sampled and tested by the department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102.613(3)</w:t>
      </w:r>
      <w:r>
        <w:rPr>
          <w:rFonts w:ascii="Times New Roman" w:hAnsi="Times New Roman"/>
          <w:b w:val="false"/>
          <w:i w:val="false"/>
          <w:color w:val="000000"/>
          <w:sz w:val="22"/>
        </w:rPr>
        <w:t> </w:t>
      </w:r>
      <w:r>
        <w:rPr>
          <w:rFonts w:ascii="Times New Roman" w:hAnsi="Times New Roman"/>
          <w:b w:val="false"/>
          <w:i w:val="false"/>
          <w:color w:val="000000"/>
          <w:sz w:val="22"/>
        </w:rPr>
        <w:t>A person or facility engaged in demanufacturing in the state may not shred, crush, or bale any appliances that have not been demanufactured. A person or facility located in Iowa that does not engage in demanufacturing but accepts appliances from demanufacturers for recycling or disposal may shred, crush, or bale only appliances that have been demanufactured in accordance with federal regulations and the laws of the state from which the appliances are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567—102.614</w:t>
      </w:r>
      <w:r>
        <w:rPr>
          <w:rFonts w:ascii="Times New Roman" w:hAnsi="Times New Roman"/>
          <w:b w:val="false"/>
          <w:i w:val="false"/>
          <w:color w:val="000000"/>
          <w:sz w:val="22"/>
        </w:rPr>
        <w:t xml:space="preserve"> to </w:t>
      </w:r>
      <w:r>
        <w:rPr>
          <w:rFonts w:ascii="Times New Roman" w:hAnsi="Times New Roman"/>
          <w:b/>
          <w:i w:val="false"/>
          <w:color w:val="000000"/>
          <w:sz w:val="22"/>
        </w:rPr>
        <w:t>102.699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4">
        <w:r>
          <w:rPr>
            <w:rStyle w:val="Hyperlink"/>
            <w:rFonts w:ascii="Times New Roman" w:hAnsi="Times New Roman"/>
            <w:b w:val="false"/>
            <w:i w:val="false"/>
            <w:color w:val="000000"/>
            <w:sz w:val="22"/>
          </w:rPr>
          <w:t>455D.6(4)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CATHODE RAY TUBE RECYCLING</w:t>
      </w:r>
    </w:p>
    <w:p>
      <w:pPr>
        <w:spacing w:before="0" w:after="0"/>
        <w:ind w:left="120"/>
        <w:jc w:val="both"/>
      </w:pPr>
      <w:r>
        <w:rPr>
          <w:rFonts w:ascii="Times New Roman" w:hAnsi="Times New Roman"/>
          <w:b/>
          <w:i w:val="false"/>
          <w:color w:val="000000"/>
          <w:sz w:val="22"/>
        </w:rPr>
        <w:t>567—102.700</w:t>
      </w:r>
      <w:r>
        <w:rPr>
          <w:rFonts w:ascii="Times New Roman" w:hAnsi="Times New Roman"/>
          <w:b/>
          <w:i w:val="false"/>
          <w:color w:val="000000"/>
          <w:sz w:val="22"/>
        </w:rPr>
        <w:t xml:space="preserve">(455D)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division is to implement rules for the recycling of discarded CRTs and the disassembly and removal of toxic parts from discarded CRTs in a manner that is safe for human health and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567—102.701</w:t>
      </w:r>
      <w:r>
        <w:rPr>
          <w:rFonts w:ascii="Times New Roman" w:hAnsi="Times New Roman"/>
          <w:b/>
          <w:i w:val="false"/>
          <w:color w:val="000000"/>
          <w:sz w:val="22"/>
        </w:rPr>
        <w:t xml:space="preserve">(455D) </w:t>
      </w:r>
      <w:r>
        <w:rPr>
          <w:rFonts w:ascii="Times New Roman" w:hAnsi="Times New Roman"/>
          <w:b/>
          <w:i w:val="false"/>
          <w:color w:val="000000"/>
          <w:sz w:val="22"/>
        </w:rPr>
        <w:t xml:space="preserve">Applicability and compliance. </w:t>
      </w:r>
      <w:r>
        <w:rPr>
          <w:rFonts w:ascii="Times New Roman" w:hAnsi="Times New Roman"/>
          <w:b w:val="false"/>
          <w:i w:val="false"/>
          <w:color w:val="000000"/>
          <w:sz w:val="22"/>
        </w:rPr>
        <w:t>This division applies to discarded CRTs that are collected for recycling and to CRT glass processed for recycling. This division does not apply to CRTs collected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102.701(1)</w:t>
      </w:r>
      <w:r>
        <w:rPr>
          <w:rFonts w:ascii="Times New Roman" w:hAnsi="Times New Roman"/>
          <w:b w:val="false"/>
          <w:i w:val="false"/>
          <w:color w:val="000000"/>
          <w:sz w:val="22"/>
        </w:rPr>
        <w:t> </w:t>
      </w:r>
      <w:r>
        <w:rPr>
          <w:rFonts w:ascii="Times New Roman" w:hAnsi="Times New Roman"/>
          <w:b w:val="false"/>
          <w:i w:val="false"/>
          <w:color w:val="000000"/>
          <w:sz w:val="22"/>
        </w:rPr>
        <w:t>This division applies to facilities and short-term CRT collection events that perform CRT recycling functions including but not limited to the collection, demanufacturing, and processing of discarded CRTs.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102.701(2)</w:t>
      </w:r>
      <w:r>
        <w:rPr>
          <w:rFonts w:ascii="Times New Roman" w:hAnsi="Times New Roman"/>
          <w:b w:val="false"/>
          <w:i w:val="false"/>
          <w:color w:val="000000"/>
          <w:sz w:val="22"/>
        </w:rPr>
        <w:t> </w:t>
      </w:r>
      <w:r>
        <w:rPr>
          <w:rFonts w:ascii="Times New Roman" w:hAnsi="Times New Roman"/>
          <w:b w:val="false"/>
          <w:i w:val="false"/>
          <w:color w:val="000000"/>
          <w:sz w:val="22"/>
        </w:rPr>
        <w:t>This division does not apply to CRT reuse activities, CRT service and repair activities, or CRT refurbishing activities that do not otherwise qualify as CRT recycling.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102.701(3)</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or registration by the department in no way relieves the applicant of the responsibility of complying with all other local, state, or federal statutes, ordinances, and rules or other requirements applicable to the construction, operation, and closure of a CRT collection facility or CRT recycling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102.701(4)</w:t>
      </w:r>
      <w:r>
        <w:rPr>
          <w:rFonts w:ascii="Times New Roman" w:hAnsi="Times New Roman"/>
          <w:b w:val="false"/>
          <w:i w:val="false"/>
          <w:color w:val="000000"/>
          <w:sz w:val="22"/>
        </w:rPr>
        <w:t> </w:t>
      </w:r>
      <w:r>
        <w:rPr>
          <w:rFonts w:ascii="Times New Roman" w:hAnsi="Times New Roman"/>
          <w:b w:val="false"/>
          <w:i w:val="false"/>
          <w:color w:val="000000"/>
          <w:sz w:val="22"/>
        </w:rPr>
        <w:t xml:space="preserve">All discarded CRTs collected for recycling, including those generated by a household, once collected by a CRT collection facility or CRT recycling facility, shall be managed in accordance with </w:t>
      </w:r>
      <w:r>
        <w:rPr>
          <w:rFonts w:ascii="Times New Roman" w:hAnsi="Times New Roman"/>
          <w:b w:val="false"/>
          <w:i w:val="false"/>
          <w:color w:val="000000"/>
          <w:sz w:val="22"/>
        </w:rPr>
        <w:t>40 CFR 261.39</w:t>
      </w:r>
      <w:r>
        <w:rPr>
          <w:rFonts w:ascii="Times New Roman" w:hAnsi="Times New Roman"/>
          <w:b w:val="false"/>
          <w:i w:val="false"/>
          <w:color w:val="000000"/>
          <w:sz w:val="22"/>
        </w:rPr>
        <w:t xml:space="preserve"> and this division. If there is a conflict, the more stringent regulation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102.701(5)</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567—102.702</w:t>
      </w:r>
      <w:r>
        <w:rPr>
          <w:rFonts w:ascii="Times New Roman" w:hAnsi="Times New Roman"/>
          <w:b/>
          <w:i w:val="false"/>
          <w:color w:val="000000"/>
          <w:sz w:val="22"/>
        </w:rPr>
        <w:t xml:space="preserve">(455D)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in </w:t>
      </w:r>
      <w:hyperlink r:id="rId25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Iowa Code section </w:t>
      </w:r>
      <w:hyperlink r:id="rId256">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chapter </w:t>
      </w:r>
      <w:hyperlink r:id="rId257">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567—102.703</w:t>
      </w:r>
      <w:r>
        <w:rPr>
          <w:rFonts w:ascii="Times New Roman" w:hAnsi="Times New Roman"/>
          <w:b/>
          <w:i w:val="false"/>
          <w:color w:val="000000"/>
          <w:sz w:val="22"/>
        </w:rPr>
        <w:t xml:space="preserve">(455D) </w:t>
      </w:r>
      <w:r>
        <w:rPr>
          <w:rFonts w:ascii="Times New Roman" w:hAnsi="Times New Roman"/>
          <w:b/>
          <w:i w:val="false"/>
          <w:color w:val="000000"/>
          <w:sz w:val="22"/>
        </w:rPr>
        <w:t xml:space="preserve">Short-term CRT collection events. </w:t>
      </w:r>
      <w:r>
        <w:rPr>
          <w:rFonts w:ascii="Times New Roman" w:hAnsi="Times New Roman"/>
          <w:b w:val="false"/>
          <w:i w:val="false"/>
          <w:color w:val="000000"/>
          <w:sz w:val="22"/>
        </w:rPr>
        <w:t>All short-term CRT collection events shall be conducted in a manner that complies with this rule. Short-term CRT collection event organizers are not required to register the event as a CRT collection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102.703(1)</w:t>
      </w:r>
      <w:r>
        <w:rPr>
          <w:rFonts w:ascii="Times New Roman" w:hAnsi="Times New Roman"/>
          <w:b w:val="false"/>
          <w:i w:val="false"/>
          <w:color w:val="000000"/>
          <w:sz w:val="22"/>
        </w:rPr>
        <w:t> </w:t>
      </w:r>
      <w:r>
        <w:rPr>
          <w:rFonts w:ascii="Times New Roman" w:hAnsi="Times New Roman"/>
          <w:b w:val="false"/>
          <w:i w:val="false"/>
          <w:color w:val="000000"/>
          <w:sz w:val="22"/>
        </w:rPr>
        <w:t>Within one week of collection, all discarded CRTs and CRT glass shall be transported to a properly permitted CRT recycling facility or registered CRT collection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102.703(2)</w:t>
      </w:r>
      <w:r>
        <w:rPr>
          <w:rFonts w:ascii="Times New Roman" w:hAnsi="Times New Roman"/>
          <w:b w:val="false"/>
          <w:i w:val="false"/>
          <w:color w:val="000000"/>
          <w:sz w:val="22"/>
        </w:rPr>
        <w:t> </w:t>
      </w:r>
      <w:r>
        <w:rPr>
          <w:rFonts w:ascii="Times New Roman" w:hAnsi="Times New Roman"/>
          <w:b w:val="false"/>
          <w:i w:val="false"/>
          <w:color w:val="000000"/>
          <w:sz w:val="22"/>
        </w:rPr>
        <w:t>During the period between collection and transport, all broken CRTs and CRT glass shall be stored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fully enclosed building with a roof, floor, and walls,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container that is constructed, filled, and closed to minimize releases to the environment of CRT glass (including fine solid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102.703(3)</w:t>
      </w:r>
      <w:r>
        <w:rPr>
          <w:rFonts w:ascii="Times New Roman" w:hAnsi="Times New Roman"/>
          <w:b w:val="false"/>
          <w:i w:val="false"/>
          <w:color w:val="000000"/>
          <w:sz w:val="22"/>
        </w:rPr>
        <w:t> </w:t>
      </w:r>
      <w:r>
        <w:rPr>
          <w:rFonts w:ascii="Times New Roman" w:hAnsi="Times New Roman"/>
          <w:b w:val="false"/>
          <w:i w:val="false"/>
          <w:color w:val="000000"/>
          <w:sz w:val="22"/>
        </w:rPr>
        <w:t>During the period between collection and transport, intact discarded CRTs shall be stored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fully enclosed building with a roof, floor, and walls,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secure container (e.g., package or vehicle) that is constructed and maintained to minimize breakage of electronic waste and to prevent releases of hazardous materials to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567—102.704</w:t>
      </w:r>
      <w:r>
        <w:rPr>
          <w:rFonts w:ascii="Times New Roman" w:hAnsi="Times New Roman"/>
          <w:b/>
          <w:i w:val="false"/>
          <w:color w:val="000000"/>
          <w:sz w:val="22"/>
        </w:rPr>
        <w:t xml:space="preserve">(455D) </w:t>
      </w:r>
      <w:r>
        <w:rPr>
          <w:rFonts w:ascii="Times New Roman" w:hAnsi="Times New Roman"/>
          <w:b/>
          <w:i w:val="false"/>
          <w:color w:val="000000"/>
          <w:sz w:val="22"/>
        </w:rPr>
        <w:t xml:space="preserve">Registration for CRT collection facilities. </w:t>
      </w:r>
      <w:r>
        <w:rPr>
          <w:rFonts w:ascii="Times New Roman" w:hAnsi="Times New Roman"/>
          <w:b w:val="false"/>
          <w:i w:val="false"/>
          <w:color w:val="000000"/>
          <w:sz w:val="22"/>
        </w:rPr>
        <w:t>A CRT collection facility shall register with the department using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102.704(1)</w:t>
      </w:r>
      <w:r>
        <w:rPr>
          <w:rFonts w:ascii="Times New Roman" w:hAnsi="Times New Roman"/>
          <w:b w:val="false"/>
          <w:i w:val="false"/>
          <w:color w:val="000000"/>
          <w:sz w:val="22"/>
        </w:rPr>
        <w:t> </w:t>
      </w:r>
      <w:r>
        <w:rPr>
          <w:rFonts w:ascii="Times New Roman" w:hAnsi="Times New Roman"/>
          <w:b w:val="false"/>
          <w:i w:val="false"/>
          <w:color w:val="000000"/>
          <w:sz w:val="22"/>
        </w:rPr>
        <w:t>The registration application shall include proof of the applicant’s ownership of the property or legal entitlement to use the property for CRT collection. If the facility is leased, the application shall also include a statement, signed by the property owner, stating that the property owner is aware that CRT collection is taking place at the site and that the property owner may be held liable for wastes abandoned at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102.704(2)</w:t>
      </w:r>
      <w:r>
        <w:rPr>
          <w:rFonts w:ascii="Times New Roman" w:hAnsi="Times New Roman"/>
          <w:b w:val="false"/>
          <w:i w:val="false"/>
          <w:color w:val="000000"/>
          <w:sz w:val="22"/>
        </w:rPr>
        <w:t> </w:t>
      </w:r>
      <w:r>
        <w:rPr>
          <w:rFonts w:ascii="Times New Roman" w:hAnsi="Times New Roman"/>
          <w:b w:val="false"/>
          <w:i w:val="false"/>
          <w:color w:val="000000"/>
          <w:sz w:val="22"/>
        </w:rPr>
        <w:t>Registration will expire March 1 of each year if renewal has not been made and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102.704(3)</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registration renewal occurs by complying with the reporting requirements in </w:t>
      </w:r>
      <w:hyperlink r:id="rId258">
        <w:r>
          <w:rPr>
            <w:rStyle w:val="Hyperlink"/>
            <w:rFonts w:ascii="Times New Roman" w:hAnsi="Times New Roman"/>
            <w:b w:val="false"/>
            <w:i w:val="false"/>
            <w:color w:val="000000"/>
            <w:sz w:val="22"/>
          </w:rPr>
          <w:t>567—102.710</w:t>
        </w:r>
      </w:hyperlink>
      <w:r>
        <w:rPr>
          <w:rFonts w:ascii="Times New Roman" w:hAnsi="Times New Roman"/>
          <w:b w:val="false"/>
          <w:i w:val="false"/>
          <w:color w:val="000000"/>
          <w:sz w:val="22"/>
        </w:rPr>
        <w:t>(455D). Once a complete report is received and confirmed complete in writing by the department, the facility’s registration will be renewed until March 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102.704(4)</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or revoke CRT collection facility registration if one or more of the following is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registration application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violation of a requirement of this division, including but not limited to failing to submit accurate and timely reports as required in </w:t>
      </w:r>
      <w:hyperlink r:id="rId259">
        <w:r>
          <w:rPr>
            <w:rStyle w:val="Hyperlink"/>
            <w:rFonts w:ascii="Times New Roman" w:hAnsi="Times New Roman"/>
            <w:b w:val="false"/>
            <w:i w:val="false"/>
            <w:color w:val="000000"/>
            <w:sz w:val="22"/>
          </w:rPr>
          <w:t>567—102.710</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or was a misrepresentation made in obtaining a registration or registration renewal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fails to correct a condition as agreed to in an agreed order with the department or fails to come into compliance with this division within the time frame established in the agreed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permittee has lost legal entitlement to use the property identified in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notice to the department by the permittee that the permittee no longer wishes to retain the registration for future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567—102.705</w:t>
      </w:r>
      <w:r>
        <w:rPr>
          <w:rFonts w:ascii="Times New Roman" w:hAnsi="Times New Roman"/>
          <w:b/>
          <w:i w:val="false"/>
          <w:color w:val="000000"/>
          <w:sz w:val="22"/>
        </w:rPr>
        <w:t xml:space="preserve">(455D) </w:t>
      </w:r>
      <w:r>
        <w:rPr>
          <w:rFonts w:ascii="Times New Roman" w:hAnsi="Times New Roman"/>
          <w:b/>
          <w:i w:val="false"/>
          <w:color w:val="000000"/>
          <w:sz w:val="22"/>
        </w:rPr>
        <w:t xml:space="preserve">CRT recycling facility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A CRT recycling facility shall not be operated without a solid waste management permit for CRT recycling from the department as per </w:t>
      </w:r>
      <w:hyperlink r:id="rId260">
        <w:r>
          <w:rPr>
            <w:rStyle w:val="Hyperlink"/>
            <w:rFonts w:ascii="Times New Roman" w:hAnsi="Times New Roman"/>
            <w:b w:val="false"/>
            <w:i w:val="false"/>
            <w:color w:val="000000"/>
            <w:sz w:val="22"/>
          </w:rPr>
          <w:t>567—subrule 100.4(2)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change in status. </w:t>
      </w:r>
      <w:r>
        <w:rPr>
          <w:rFonts w:ascii="Times New Roman" w:hAnsi="Times New Roman"/>
          <w:b w:val="false"/>
          <w:i w:val="false"/>
          <w:color w:val="000000"/>
          <w:sz w:val="22"/>
        </w:rPr>
        <w:t>CRT recycling facilities must notify the department 30 days prior to any significant change of status of the operation, including any change in the ownership or operation of the facility or location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102.705(3)</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permit. </w:t>
      </w:r>
      <w:r>
        <w:rPr>
          <w:rFonts w:ascii="Times New Roman" w:hAnsi="Times New Roman"/>
          <w:b w:val="false"/>
          <w:i w:val="false"/>
          <w:color w:val="000000"/>
          <w:sz w:val="22"/>
        </w:rPr>
        <w:t>The department may deny, revoke, or limit the length of a permit if one or more of the following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revoked the applicant’s previous permit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violation of a requirement of this division or a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 failure to disclose all relevant facts in obtaining a permit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misrepresentation made in obtaining a permit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misrepresentation in the annual report required in </w:t>
      </w:r>
      <w:hyperlink r:id="rId261">
        <w:r>
          <w:rPr>
            <w:rStyle w:val="Hyperlink"/>
            <w:rFonts w:ascii="Times New Roman" w:hAnsi="Times New Roman"/>
            <w:b w:val="false"/>
            <w:i w:val="false"/>
            <w:color w:val="000000"/>
            <w:sz w:val="22"/>
          </w:rPr>
          <w:t>567—102.710</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permittee fails to meet the requirements for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permittee fails to correct a condition as agreed to in an agreed order with the department or fails to come into compliance with the permit or this division within the time frame established in the agreed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permittee has lost legal entitlement to use the property identified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Upon notice to the department by the permittee that the permittee no longer wishes to retain the permit for future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102.705(4)</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The department may place conditions on any permit deemed necessary by the department to ensure compliance with this division and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102.705(5)</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If a permit held by any public or private agency is revoked by the director, then no new permit shall be issued to that agency for that CRT recycling facility for a period of one year from the date of revocation. Such revocation shall not prohibit the issuance of a permit for the facility to another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102.705(6)</w:t>
      </w:r>
      <w:r>
        <w:rPr>
          <w:rFonts w:ascii="Times New Roman" w:hAnsi="Times New Roman"/>
          <w:b w:val="false"/>
          <w:i w:val="false"/>
          <w:color w:val="000000"/>
          <w:sz w:val="22"/>
        </w:rPr>
        <w:t> </w:t>
      </w:r>
      <w:r>
        <w:rPr>
          <w:rFonts w:ascii="Times New Roman" w:hAnsi="Times New Roman"/>
          <w:b w:val="false"/>
          <w:i/>
          <w:color w:val="000000"/>
          <w:sz w:val="22"/>
        </w:rPr>
        <w:t xml:space="preserve">Permits without expiration date. </w:t>
      </w:r>
      <w:r>
        <w:rPr>
          <w:rFonts w:ascii="Times New Roman" w:hAnsi="Times New Roman"/>
          <w:b w:val="false"/>
          <w:i w:val="false"/>
          <w:color w:val="000000"/>
          <w:sz w:val="22"/>
        </w:rPr>
        <w:t xml:space="preserve">CRT recycling permits that were issued prior to September 23, 2026, that do not have an expiration date will expire September 23, 2031. The permit holder shall file an application for renewal as per </w:t>
      </w:r>
      <w:hyperlink r:id="rId262">
        <w:r>
          <w:rPr>
            <w:rStyle w:val="Hyperlink"/>
            <w:rFonts w:ascii="Times New Roman" w:hAnsi="Times New Roman"/>
            <w:b w:val="false"/>
            <w:i w:val="false"/>
            <w:color w:val="000000"/>
            <w:sz w:val="22"/>
          </w:rPr>
          <w:t>567—paragraph 100.4(2)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567—102.706</w:t>
      </w:r>
      <w:r>
        <w:rPr>
          <w:rFonts w:ascii="Times New Roman" w:hAnsi="Times New Roman"/>
          <w:b/>
          <w:i w:val="false"/>
          <w:color w:val="000000"/>
          <w:sz w:val="22"/>
        </w:rPr>
        <w:t xml:space="preserve">(455D) </w:t>
      </w:r>
      <w:r>
        <w:rPr>
          <w:rFonts w:ascii="Times New Roman" w:hAnsi="Times New Roman"/>
          <w:b/>
          <w:i w:val="false"/>
          <w:color w:val="000000"/>
          <w:sz w:val="22"/>
        </w:rPr>
        <w:t xml:space="preserve">CRT recycling facility permit application requirements. </w:t>
      </w:r>
      <w:r>
        <w:rPr>
          <w:rFonts w:ascii="Times New Roman" w:hAnsi="Times New Roman"/>
          <w:b w:val="false"/>
          <w:i w:val="false"/>
          <w:color w:val="000000"/>
          <w:sz w:val="22"/>
        </w:rPr>
        <w:t xml:space="preserve">In addition to the requirements in </w:t>
      </w:r>
      <w:hyperlink r:id="rId263">
        <w:r>
          <w:rPr>
            <w:rStyle w:val="Hyperlink"/>
            <w:rFonts w:ascii="Times New Roman" w:hAnsi="Times New Roman"/>
            <w:b w:val="false"/>
            <w:i w:val="false"/>
            <w:color w:val="000000"/>
            <w:sz w:val="22"/>
          </w:rPr>
          <w:t>567—subrule 100.5(1)</w:t>
        </w:r>
      </w:hyperlink>
      <w:r>
        <w:rPr>
          <w:rFonts w:ascii="Times New Roman" w:hAnsi="Times New Roman"/>
          <w:b w:val="false"/>
          <w:i w:val="false"/>
          <w:color w:val="000000"/>
          <w:sz w:val="22"/>
        </w:rPr>
        <w:t>, a CRT recycling facility permit applicant shall submit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102.706(1)</w:t>
      </w:r>
      <w:r>
        <w:rPr>
          <w:rFonts w:ascii="Times New Roman" w:hAnsi="Times New Roman"/>
          <w:b w:val="false"/>
          <w:i w:val="false"/>
          <w:color w:val="000000"/>
          <w:sz w:val="22"/>
        </w:rPr>
        <w:t> </w:t>
      </w:r>
      <w:r>
        <w:rPr>
          <w:rFonts w:ascii="Times New Roman" w:hAnsi="Times New Roman"/>
          <w:b w:val="false"/>
          <w:i w:val="false"/>
          <w:color w:val="000000"/>
          <w:sz w:val="22"/>
        </w:rPr>
        <w:t>The physical location of any collection sites if separate from the main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102.706(2)</w:t>
      </w:r>
      <w:r>
        <w:rPr>
          <w:rFonts w:ascii="Times New Roman" w:hAnsi="Times New Roman"/>
          <w:b w:val="false"/>
          <w:i w:val="false"/>
          <w:color w:val="000000"/>
          <w:sz w:val="22"/>
        </w:rPr>
        <w:t> </w:t>
      </w:r>
      <w:r>
        <w:rPr>
          <w:rFonts w:ascii="Times New Roman" w:hAnsi="Times New Roman"/>
          <w:b w:val="false"/>
          <w:i w:val="false"/>
          <w:color w:val="000000"/>
          <w:sz w:val="22"/>
        </w:rPr>
        <w:t>If the facility is leased, a signed statement from the property owner stating that the property owner is aware that CRT collection or recycling is taking place at the property and that the property owner may be held liable for wastes left at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102.706(3)</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facility and the CRT processing that will take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567—102.707</w:t>
      </w:r>
      <w:r>
        <w:rPr>
          <w:rFonts w:ascii="Times New Roman" w:hAnsi="Times New Roman"/>
          <w:b/>
          <w:i w:val="false"/>
          <w:color w:val="000000"/>
          <w:sz w:val="22"/>
        </w:rPr>
        <w:t xml:space="preserve">(455D) </w:t>
      </w:r>
      <w:r>
        <w:rPr>
          <w:rFonts w:ascii="Times New Roman" w:hAnsi="Times New Roman"/>
          <w:b/>
          <w:i w:val="false"/>
          <w:color w:val="000000"/>
          <w:sz w:val="22"/>
        </w:rPr>
        <w:t xml:space="preserve">Discarded CRT management requirements. </w:t>
      </w:r>
      <w:r>
        <w:rPr>
          <w:rFonts w:ascii="Times New Roman" w:hAnsi="Times New Roman"/>
          <w:b w:val="false"/>
          <w:i w:val="false"/>
          <w:color w:val="000000"/>
          <w:sz w:val="22"/>
        </w:rPr>
        <w:t xml:space="preserve">CRT collection facilities and CRT recycling facilities shall manage all discarded CRTs in accordance with </w:t>
      </w:r>
      <w:r>
        <w:rPr>
          <w:rFonts w:ascii="Times New Roman" w:hAnsi="Times New Roman"/>
          <w:b w:val="false"/>
          <w:i w:val="false"/>
          <w:color w:val="000000"/>
          <w:sz w:val="22"/>
        </w:rPr>
        <w:t>40 CFR 261.39</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40</w:t>
      </w:r>
      <w:r>
        <w:rPr>
          <w:rFonts w:ascii="Times New Roman" w:hAnsi="Times New Roman"/>
          <w:b w:val="false"/>
          <w:i w:val="false"/>
          <w:color w:val="000000"/>
          <w:sz w:val="22"/>
        </w:rPr>
        <w:t xml:space="preserve"> CFR 260.43.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102.707(1)</w:t>
      </w:r>
      <w:r>
        <w:rPr>
          <w:rFonts w:ascii="Times New Roman" w:hAnsi="Times New Roman"/>
          <w:b w:val="false"/>
          <w:i w:val="false"/>
          <w:color w:val="000000"/>
          <w:sz w:val="22"/>
        </w:rPr>
        <w:t> </w:t>
      </w:r>
      <w:r>
        <w:rPr>
          <w:rFonts w:ascii="Times New Roman" w:hAnsi="Times New Roman"/>
          <w:b w:val="false"/>
          <w:i w:val="false"/>
          <w:color w:val="000000"/>
          <w:sz w:val="22"/>
        </w:rPr>
        <w:t xml:space="preserve">Discarded CRTs and processed CRT glass shall not be speculatively accumulated pursuant to </w:t>
      </w:r>
      <w:r>
        <w:rPr>
          <w:rFonts w:ascii="Times New Roman" w:hAnsi="Times New Roman"/>
          <w:b w:val="false"/>
          <w:i w:val="false"/>
          <w:color w:val="000000"/>
          <w:sz w:val="22"/>
        </w:rPr>
        <w:t>40 CFR 261.1(c)</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102.707(2)</w:t>
      </w:r>
      <w:r>
        <w:rPr>
          <w:rFonts w:ascii="Times New Roman" w:hAnsi="Times New Roman"/>
          <w:b w:val="false"/>
          <w:i w:val="false"/>
          <w:color w:val="000000"/>
          <w:sz w:val="22"/>
        </w:rPr>
        <w:t> </w:t>
      </w:r>
      <w:r>
        <w:rPr>
          <w:rFonts w:ascii="Times New Roman" w:hAnsi="Times New Roman"/>
          <w:b w:val="false"/>
          <w:i w:val="false"/>
          <w:color w:val="000000"/>
          <w:sz w:val="22"/>
        </w:rPr>
        <w:t>Broken CRTs and processed CRT glass shall be stored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building with a roof, floor, and walls,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container (e.g., a package or a vehicle) that is constructed, filled, and closed to minimize releases to the environment of CRT glass (including fine solid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102.707(3)</w:t>
      </w:r>
      <w:r>
        <w:rPr>
          <w:rFonts w:ascii="Times New Roman" w:hAnsi="Times New Roman"/>
          <w:b w:val="false"/>
          <w:i w:val="false"/>
          <w:color w:val="000000"/>
          <w:sz w:val="22"/>
        </w:rPr>
        <w:t> </w:t>
      </w:r>
      <w:r>
        <w:rPr>
          <w:rFonts w:ascii="Times New Roman" w:hAnsi="Times New Roman"/>
          <w:b w:val="false"/>
          <w:i w:val="false"/>
          <w:color w:val="000000"/>
          <w:sz w:val="22"/>
        </w:rPr>
        <w:t>Intact discarded CRTs shall be stored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building with a roof, floor, and walls,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secure container (e.g., package or vehicle) that is constructed and maintained to minimize breakage of electronic waste and to prevent releases of hazardous materials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102.707(4)</w:t>
      </w:r>
      <w:r>
        <w:rPr>
          <w:rFonts w:ascii="Times New Roman" w:hAnsi="Times New Roman"/>
          <w:b w:val="false"/>
          <w:i w:val="false"/>
          <w:color w:val="000000"/>
          <w:sz w:val="22"/>
        </w:rPr>
        <w:t> </w:t>
      </w:r>
      <w:r>
        <w:rPr>
          <w:rFonts w:ascii="Times New Roman" w:hAnsi="Times New Roman"/>
          <w:b w:val="false"/>
          <w:i w:val="false"/>
          <w:color w:val="000000"/>
          <w:sz w:val="22"/>
        </w:rPr>
        <w:t>Each container of broken CRTs or CRT glass must be labeled or marked clearly with one of the following phrases: “Used cathode ray tube(s)-contains leaded glass. Do not mix with other glass materials” or “Leaded glass from televisions or computers. Do not mix with other glass materials.” Each container shall also be labeled with the first date that material began to be accumulated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102.707(5)</w:t>
      </w:r>
      <w:r>
        <w:rPr>
          <w:rFonts w:ascii="Times New Roman" w:hAnsi="Times New Roman"/>
          <w:b w:val="false"/>
          <w:i w:val="false"/>
          <w:color w:val="000000"/>
          <w:sz w:val="22"/>
        </w:rPr>
        <w:t> </w:t>
      </w:r>
      <w:r>
        <w:rPr>
          <w:rFonts w:ascii="Times New Roman" w:hAnsi="Times New Roman"/>
          <w:b w:val="false"/>
          <w:i w:val="false"/>
          <w:color w:val="000000"/>
          <w:sz w:val="22"/>
        </w:rPr>
        <w:t>Each container or pallet of intact discarded CRTs shall be labeled with the first date that any material began to accumulate in the container or on the pallet.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102.707(6)</w:t>
      </w:r>
      <w:r>
        <w:rPr>
          <w:rFonts w:ascii="Times New Roman" w:hAnsi="Times New Roman"/>
          <w:b w:val="false"/>
          <w:i w:val="false"/>
          <w:color w:val="000000"/>
          <w:sz w:val="22"/>
        </w:rPr>
        <w:t> </w:t>
      </w:r>
      <w:r>
        <w:rPr>
          <w:rFonts w:ascii="Times New Roman" w:hAnsi="Times New Roman"/>
          <w:b w:val="false"/>
          <w:i w:val="false"/>
          <w:color w:val="000000"/>
          <w:sz w:val="22"/>
        </w:rPr>
        <w:t xml:space="preserve">Broken CRTs must be transported in a container meeting the requirements of </w:t>
      </w:r>
      <w:hyperlink r:id="rId264">
        <w:r>
          <w:rPr>
            <w:rStyle w:val="Hyperlink"/>
            <w:rFonts w:ascii="Times New Roman" w:hAnsi="Times New Roman"/>
            <w:b w:val="false"/>
            <w:i w:val="false"/>
            <w:color w:val="000000"/>
            <w:sz w:val="22"/>
          </w:rPr>
          <w:t>102.707(2)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102.707(7)</w:t>
      </w:r>
      <w:r>
        <w:rPr>
          <w:rFonts w:ascii="Times New Roman" w:hAnsi="Times New Roman"/>
          <w:b w:val="false"/>
          <w:i w:val="false"/>
          <w:color w:val="000000"/>
          <w:sz w:val="22"/>
        </w:rPr>
        <w:t> </w:t>
      </w:r>
      <w:r>
        <w:rPr>
          <w:rFonts w:ascii="Times New Roman" w:hAnsi="Times New Roman"/>
          <w:b w:val="false"/>
          <w:i w:val="false"/>
          <w:color w:val="000000"/>
          <w:sz w:val="22"/>
        </w:rPr>
        <w:t xml:space="preserve">CRT collection facilities or CRT recycling facilities that export broken CRTs shall also comply with </w:t>
      </w:r>
      <w:r>
        <w:rPr>
          <w:rFonts w:ascii="Times New Roman" w:hAnsi="Times New Roman"/>
          <w:b w:val="false"/>
          <w:i w:val="false"/>
          <w:color w:val="000000"/>
          <w:sz w:val="22"/>
        </w:rPr>
        <w:t>40 CFR 261.39(a)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102.707(8)</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processing of CRTs shall be processed according to </w:t>
      </w:r>
      <w:r>
        <w:rPr>
          <w:rFonts w:ascii="Times New Roman" w:hAnsi="Times New Roman"/>
          <w:b w:val="false"/>
          <w:i w:val="false"/>
          <w:color w:val="000000"/>
          <w:sz w:val="22"/>
        </w:rPr>
        <w:t>40 CFR 261.39(b)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102.707(9)</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this rule and the referenced CFR sections is grounds for termination of any permit or registration authorized by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567—102.708</w:t>
      </w:r>
      <w:r>
        <w:rPr>
          <w:rFonts w:ascii="Times New Roman" w:hAnsi="Times New Roman"/>
          <w:b/>
          <w:i w:val="false"/>
          <w:color w:val="000000"/>
          <w:sz w:val="22"/>
        </w:rPr>
        <w:t xml:space="preserve">(455D) </w:t>
      </w:r>
      <w:r>
        <w:rPr>
          <w:rFonts w:ascii="Times New Roman" w:hAnsi="Times New Roman"/>
          <w:b/>
          <w:i w:val="false"/>
          <w:color w:val="000000"/>
          <w:sz w:val="22"/>
        </w:rPr>
        <w:t xml:space="preserve">Recordkeeping requirements for CRT collection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102.708(1)</w:t>
      </w:r>
      <w:r>
        <w:rPr>
          <w:rFonts w:ascii="Times New Roman" w:hAnsi="Times New Roman"/>
          <w:b w:val="false"/>
          <w:i w:val="false"/>
          <w:color w:val="000000"/>
          <w:sz w:val="22"/>
        </w:rPr>
        <w:t> </w:t>
      </w:r>
      <w:r>
        <w:rPr>
          <w:rFonts w:ascii="Times New Roman" w:hAnsi="Times New Roman"/>
          <w:b w:val="false"/>
          <w:i w:val="false"/>
          <w:color w:val="000000"/>
          <w:sz w:val="22"/>
        </w:rPr>
        <w:t>All CRT collection facilities shall maintain the following records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facility receiving a shipment that left the CRT collection facility and contact information for the receiving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service the receiving facility will provide to the CRT collection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shipment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hazardous waste manifests.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102.708(2)</w:t>
      </w:r>
      <w:r>
        <w:rPr>
          <w:rFonts w:ascii="Times New Roman" w:hAnsi="Times New Roman"/>
          <w:b w:val="false"/>
          <w:i w:val="false"/>
          <w:color w:val="000000"/>
          <w:sz w:val="22"/>
        </w:rPr>
        <w:t> </w:t>
      </w:r>
      <w:r>
        <w:rPr>
          <w:rFonts w:ascii="Times New Roman" w:hAnsi="Times New Roman"/>
          <w:b w:val="false"/>
          <w:i w:val="false"/>
          <w:color w:val="000000"/>
          <w:sz w:val="22"/>
        </w:rPr>
        <w:t>Records must be maintained at the facility, must be submitted to the department upon request, and may be destroyed after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567—102.709</w:t>
      </w:r>
      <w:r>
        <w:rPr>
          <w:rFonts w:ascii="Times New Roman" w:hAnsi="Times New Roman"/>
          <w:b/>
          <w:i w:val="false"/>
          <w:color w:val="000000"/>
          <w:sz w:val="22"/>
        </w:rPr>
        <w:t xml:space="preserve">(455D) </w:t>
      </w:r>
      <w:r>
        <w:rPr>
          <w:rFonts w:ascii="Times New Roman" w:hAnsi="Times New Roman"/>
          <w:b/>
          <w:i w:val="false"/>
          <w:color w:val="000000"/>
          <w:sz w:val="22"/>
        </w:rPr>
        <w:t xml:space="preserve">Recordkeeping requirements for CRT recycling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102.709(1)</w:t>
      </w:r>
      <w:r>
        <w:rPr>
          <w:rFonts w:ascii="Times New Roman" w:hAnsi="Times New Roman"/>
          <w:b w:val="false"/>
          <w:i w:val="false"/>
          <w:color w:val="000000"/>
          <w:sz w:val="22"/>
        </w:rPr>
        <w:t> </w:t>
      </w:r>
      <w:r>
        <w:rPr>
          <w:rFonts w:ascii="Times New Roman" w:hAnsi="Times New Roman"/>
          <w:b w:val="false"/>
          <w:i w:val="false"/>
          <w:color w:val="000000"/>
          <w:sz w:val="22"/>
        </w:rPr>
        <w:t>All CRT recycling facilities shall maintain the following records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aggregate weight and receipt date of each shipment of discarded CRTs received from businesses, institutions, CRT collection facilities, short-term CRT collection events, and other permitted CRT recycling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contact information for shipments reported pursuant to </w:t>
      </w:r>
      <w:hyperlink r:id="rId265">
        <w:r>
          <w:rPr>
            <w:rStyle w:val="Hyperlink"/>
            <w:rFonts w:ascii="Times New Roman" w:hAnsi="Times New Roman"/>
            <w:b w:val="false"/>
            <w:i w:val="false"/>
            <w:color w:val="000000"/>
            <w:sz w:val="22"/>
          </w:rPr>
          <w:t>102.710(2)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aggregate weight and date of each shipment leaving the CRT recycling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facility receiving a shipment that left the CRT recycling facility, contact information for the receiving facility, and a description of the shipment contents including all applicable 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of service the receiving facility will provide to the CRT recycling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hazardous waste manifests.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102.709(2)</w:t>
      </w:r>
      <w:r>
        <w:rPr>
          <w:rFonts w:ascii="Times New Roman" w:hAnsi="Times New Roman"/>
          <w:b w:val="false"/>
          <w:i w:val="false"/>
          <w:color w:val="000000"/>
          <w:sz w:val="22"/>
        </w:rPr>
        <w:t> </w:t>
      </w:r>
      <w:r>
        <w:rPr>
          <w:rFonts w:ascii="Times New Roman" w:hAnsi="Times New Roman"/>
          <w:b w:val="false"/>
          <w:i w:val="false"/>
          <w:color w:val="000000"/>
          <w:sz w:val="22"/>
        </w:rPr>
        <w:t>Records must be maintained at the facility, must be available for review by the department on demand, and may be destroyed after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567—102.710</w:t>
      </w:r>
      <w:r>
        <w:rPr>
          <w:rFonts w:ascii="Times New Roman" w:hAnsi="Times New Roman"/>
          <w:b/>
          <w:i w:val="false"/>
          <w:color w:val="000000"/>
          <w:sz w:val="22"/>
        </w:rPr>
        <w:t xml:space="preserve">(455D)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CRT collection facilities and CRT recycling facilities shall report the following information, on a form provided by the department, to the department by February 1 of each year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102.710(1)</w:t>
      </w:r>
      <w:r>
        <w:rPr>
          <w:rFonts w:ascii="Times New Roman" w:hAnsi="Times New Roman"/>
          <w:b w:val="false"/>
          <w:i w:val="false"/>
          <w:color w:val="000000"/>
          <w:sz w:val="22"/>
        </w:rPr>
        <w:t> </w:t>
      </w:r>
      <w:r>
        <w:rPr>
          <w:rFonts w:ascii="Times New Roman" w:hAnsi="Times New Roman"/>
          <w:b w:val="false"/>
          <w:i w:val="false"/>
          <w:color w:val="000000"/>
          <w:sz w:val="22"/>
        </w:rPr>
        <w:t>The amount, either by weight or volume, of discarded CRTs and processed CRT glass on site 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102.710(2)</w:t>
      </w:r>
      <w:r>
        <w:rPr>
          <w:rFonts w:ascii="Times New Roman" w:hAnsi="Times New Roman"/>
          <w:b w:val="false"/>
          <w:i w:val="false"/>
          <w:color w:val="000000"/>
          <w:sz w:val="22"/>
        </w:rPr>
        <w:t> </w:t>
      </w:r>
      <w:r>
        <w:rPr>
          <w:rFonts w:ascii="Times New Roman" w:hAnsi="Times New Roman"/>
          <w:b w:val="false"/>
          <w:i w:val="false"/>
          <w:color w:val="000000"/>
          <w:sz w:val="22"/>
        </w:rPr>
        <w:t>The amount, either by weight or by volume, of discarded CRTs and CRT glass recycled or transferred for recycling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102.710(3)</w:t>
      </w:r>
      <w:r>
        <w:rPr>
          <w:rFonts w:ascii="Times New Roman" w:hAnsi="Times New Roman"/>
          <w:b w:val="false"/>
          <w:i w:val="false"/>
          <w:color w:val="000000"/>
          <w:sz w:val="22"/>
        </w:rPr>
        <w:t> </w:t>
      </w:r>
      <w:r>
        <w:rPr>
          <w:rFonts w:ascii="Times New Roman" w:hAnsi="Times New Roman"/>
          <w:b w:val="false"/>
          <w:i w:val="false"/>
          <w:color w:val="000000"/>
          <w:sz w:val="22"/>
        </w:rPr>
        <w:t>The amount, either by weight or by volume, of discarded CRTs and processed CRT glass on site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102.710(4)</w:t>
      </w:r>
      <w:r>
        <w:rPr>
          <w:rFonts w:ascii="Times New Roman" w:hAnsi="Times New Roman"/>
          <w:b w:val="false"/>
          <w:i w:val="false"/>
          <w:color w:val="000000"/>
          <w:sz w:val="22"/>
        </w:rPr>
        <w:t> </w:t>
      </w:r>
      <w:r>
        <w:rPr>
          <w:rFonts w:ascii="Times New Roman" w:hAnsi="Times New Roman"/>
          <w:b w:val="false"/>
          <w:i w:val="false"/>
          <w:color w:val="000000"/>
          <w:sz w:val="22"/>
        </w:rPr>
        <w:t>Indication of whether the CRTs received over the past year were generated by households, businesses, or both households and businesses.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66">
        <w:r>
          <w:rPr>
            <w:rStyle w:val="Hyperlink"/>
            <w:rFonts w:ascii="Times New Roman" w:hAnsi="Times New Roman"/>
            <w:b w:val="false"/>
            <w:i w:val="false"/>
            <w:color w:val="000000"/>
            <w:sz w:val="22"/>
          </w:rPr>
          <w:t>455D.6(5)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2/25/77, Notice 9/22/76—published 3/23/77, effective 4/27/77]</w:t>
      </w:r>
    </w:p>
    <w:p>
      <w:pPr>
        <w:spacing w:before="0" w:after="0"/>
        <w:ind w:left="120"/>
        <w:jc w:val="center"/>
      </w:pPr>
      <w:r>
        <w:rPr>
          <w:rFonts w:ascii="Times New Roman" w:hAnsi="Times New Roman"/>
          <w:b w:val="false"/>
          <w:i w:val="false"/>
          <w:color w:val="000000"/>
          <w:sz w:val="21"/>
        </w:rPr>
        <w:t>[Filed 5/25/78, Notice 2/22/78—published 6/14/78, effective 7/19/78]</w:t>
      </w:r>
    </w:p>
    <w:p>
      <w:pPr>
        <w:spacing w:before="0" w:after="0"/>
        <w:ind w:left="120"/>
        <w:jc w:val="center"/>
      </w:pPr>
      <w:r>
        <w:rPr>
          <w:rFonts w:ascii="Times New Roman" w:hAnsi="Times New Roman"/>
          <w:b w:val="false"/>
          <w:i w:val="false"/>
          <w:color w:val="000000"/>
          <w:sz w:val="21"/>
        </w:rPr>
        <w:t>[Filed emergency 8/31/78 after Notice 4/19/78—published 9/20/78, effective 8/31/78]</w:t>
      </w:r>
    </w:p>
    <w:p>
      <w:pPr>
        <w:spacing w:before="0" w:after="0"/>
        <w:ind w:left="120"/>
        <w:jc w:val="center"/>
      </w:pPr>
      <w:r>
        <w:rPr>
          <w:rFonts w:ascii="Times New Roman" w:hAnsi="Times New Roman"/>
          <w:b w:val="false"/>
          <w:i w:val="false"/>
          <w:color w:val="000000"/>
          <w:sz w:val="21"/>
        </w:rPr>
        <w:t>[Filed 9/28/79, Notice 5/30/79—published 10/17/79, effective 11/21/79]</w:t>
      </w:r>
    </w:p>
    <w:p>
      <w:pPr>
        <w:spacing w:before="0" w:after="0"/>
        <w:ind w:left="120"/>
        <w:jc w:val="center"/>
      </w:pPr>
      <w:r>
        <w:rPr>
          <w:rFonts w:ascii="Times New Roman" w:hAnsi="Times New Roman"/>
          <w:b w:val="false"/>
          <w:i w:val="false"/>
          <w:color w:val="000000"/>
          <w:sz w:val="21"/>
        </w:rPr>
        <w:t>[Filed 4/23/81, Notice 2/18/81—published 5/13/81, effective 6/17/81]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8/31/89, Notice 5/17/89—published 9/20/89, effective 10/25/89]</w:t>
      </w:r>
    </w:p>
    <w:p>
      <w:pPr>
        <w:spacing w:before="0" w:after="0"/>
        <w:ind w:left="120"/>
        <w:jc w:val="center"/>
      </w:pPr>
      <w:r>
        <w:rPr>
          <w:rFonts w:ascii="Times New Roman" w:hAnsi="Times New Roman"/>
          <w:b w:val="false"/>
          <w:i w:val="false"/>
          <w:color w:val="000000"/>
          <w:sz w:val="21"/>
        </w:rPr>
        <w:t>[Filed 7/19/90, Notice 5/16/90—published 8/8/90, effective 9/12/90]</w:t>
      </w:r>
    </w:p>
    <w:p>
      <w:pPr>
        <w:spacing w:before="0" w:after="0"/>
        <w:ind w:left="120"/>
        <w:jc w:val="center"/>
      </w:pPr>
      <w:r>
        <w:rPr>
          <w:rFonts w:ascii="Times New Roman" w:hAnsi="Times New Roman"/>
          <w:b w:val="false"/>
          <w:i w:val="false"/>
          <w:color w:val="000000"/>
          <w:sz w:val="21"/>
        </w:rPr>
        <w:t>[Filed 4/26/91, Notice 3/6/91—published 5/15/91, effective 6/19/91]</w:t>
      </w:r>
    </w:p>
    <w:p>
      <w:pPr>
        <w:spacing w:before="0" w:after="0"/>
        <w:ind w:left="120"/>
        <w:jc w:val="center"/>
      </w:pPr>
      <w:r>
        <w:rPr>
          <w:rFonts w:ascii="Times New Roman" w:hAnsi="Times New Roman"/>
          <w:b w:val="false"/>
          <w:i w:val="false"/>
          <w:color w:val="000000"/>
          <w:sz w:val="21"/>
        </w:rPr>
        <w:t>[Filed emergency 5/24/91 after Notice 3/20/91—published 6/12/91, effective 5/24/91]</w:t>
      </w:r>
    </w:p>
    <w:p>
      <w:pPr>
        <w:spacing w:before="0" w:after="0"/>
        <w:ind w:left="120"/>
        <w:jc w:val="center"/>
      </w:pPr>
      <w:r>
        <w:rPr>
          <w:rFonts w:ascii="Times New Roman" w:hAnsi="Times New Roman"/>
          <w:b w:val="false"/>
          <w:i w:val="false"/>
          <w:color w:val="000000"/>
          <w:sz w:val="21"/>
        </w:rPr>
        <w:t>[Filed 9/24/93, Notice 4/14/93—published 10/13/93, effective 11/17/93]</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2/21/97, Notice 11/20/96—published 3/12/97, effective 4/16/97]</w:t>
      </w:r>
    </w:p>
    <w:p>
      <w:pPr>
        <w:spacing w:before="0" w:after="0"/>
        <w:ind w:left="120"/>
        <w:jc w:val="center"/>
      </w:pPr>
      <w:r>
        <w:rPr>
          <w:rFonts w:ascii="Times New Roman" w:hAnsi="Times New Roman"/>
          <w:b w:val="false"/>
          <w:i w:val="false"/>
          <w:color w:val="000000"/>
          <w:sz w:val="21"/>
        </w:rPr>
        <w:t>[Filed 8/31/01, Notice 6/13/01—published 9/19/01, effective 10/24/01]</w:t>
      </w:r>
    </w:p>
    <w:p>
      <w:pPr>
        <w:spacing w:before="0" w:after="0"/>
        <w:ind w:left="120"/>
        <w:jc w:val="center"/>
      </w:pPr>
      <w:r>
        <w:rPr>
          <w:rFonts w:ascii="Times New Roman" w:hAnsi="Times New Roman"/>
          <w:b w:val="false"/>
          <w:i w:val="false"/>
          <w:color w:val="000000"/>
          <w:sz w:val="21"/>
        </w:rPr>
        <w:t>[Filed 3/27/02, Notice 12/12/01—published 4/17/02, effective 5/22/02]</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ARC 6982C</w:t>
      </w:r>
      <w:r>
        <w:rPr>
          <w:rFonts w:ascii="Times New Roman" w:hAnsi="Times New Roman"/>
          <w:b w:val="false"/>
          <w:i w:val="false"/>
          <w:color w:val="000000"/>
          <w:sz w:val="21"/>
        </w:rPr>
        <w:t xml:space="preserve"> (Notice ARC 6755C, IAB 12/14/22)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0483D</w:t>
      </w:r>
      <w:r>
        <w:rPr>
          <w:rFonts w:ascii="Times New Roman" w:hAnsi="Times New Roman"/>
          <w:b w:val="false"/>
          <w:i w:val="false"/>
          <w:color w:val="000000"/>
          <w:sz w:val="21"/>
        </w:rPr>
        <w:t xml:space="preserve"> (Amended Notice ARC 0356D, IAB 6/10/26; </w:t>
      </w:r>
      <w:r>
        <w:rPr>
          <w:rFonts w:ascii="Times New Roman" w:hAnsi="Times New Roman"/>
          <w:b w:val="false"/>
          <w:i w:val="false"/>
          <w:color w:val="000000"/>
          <w:sz w:val="21"/>
        </w:rPr>
        <w:t>Notice ARC 9926C, IAB 1/7/26)</w:t>
      </w:r>
      <w:r>
        <w:rPr>
          <w:rFonts w:ascii="Times New Roman" w:hAnsi="Times New Roman"/>
          <w:b w:val="false"/>
          <w:i w:val="false"/>
          <w:color w:val="000000"/>
          <w:sz w:val="21"/>
        </w:rPr>
        <w:t>, IAB 8/19/26, effective 9/23/26]</w:t>
      </w:r>
    </w:p>
    <w:sectPr>
      <w:footerReference r:id="rId26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65.pdf" Type="http://schemas.openxmlformats.org/officeDocument/2006/relationships/hyperlink" Id="rId5"/>
    <Relationship TargetMode="External" Target="https://www.legis.iowa.gov/docs/ico/chapter/200A.pdf" Type="http://schemas.openxmlformats.org/officeDocument/2006/relationships/hyperlink" Id="rId6"/>
    <Relationship TargetMode="External" Target="https://www.legis.iowa.gov/docs/ico/chapter/200.pdf" Type="http://schemas.openxmlformats.org/officeDocument/2006/relationships/hyperlink" Id="rId7"/>
    <Relationship TargetMode="External" Target="https://www.legis.iowa.gov/docs/ico/chapter/455B.301.pdf" Type="http://schemas.openxmlformats.org/officeDocument/2006/relationships/hyperlink" Id="rId8"/>
    <Relationship TargetMode="External" Target="https://www.legis.iowa.gov/docs/ico/chapter/455D.9.pdf" Type="http://schemas.openxmlformats.org/officeDocument/2006/relationships/hyperlink" Id="rId9"/>
    <Relationship TargetMode="External" Target="https://www.legis.iowa.gov/docs/iac/chapter/567.100.pdf" Type="http://schemas.openxmlformats.org/officeDocument/2006/relationships/hyperlink" Id="rId10"/>
    <Relationship TargetMode="External" Target="https://www.legis.iowa.gov/docs/iac/chapter/567.65.pdf" Type="http://schemas.openxmlformats.org/officeDocument/2006/relationships/hyperlink" Id="rId11"/>
    <Relationship TargetMode="External" Target="https://www.legis.iowa.gov/docs/iac/rule/567.109.3.pdf" Type="http://schemas.openxmlformats.org/officeDocument/2006/relationships/hyperlink" Id="rId12"/>
    <Relationship TargetMode="External" Target="https://www.legis.iowa.gov/docs/ico/chapter/455B.411.pdf" Type="http://schemas.openxmlformats.org/officeDocument/2006/relationships/hyperlink" Id="rId13"/>
    <Relationship TargetMode="External" Target="https://www.legis.iowa.gov/docs/iac/rule/567.102.9.pdf" Type="http://schemas.openxmlformats.org/officeDocument/2006/relationships/hyperlink" Id="rId14"/>
    <Relationship TargetMode="External" Target="https://www.legis.iowa.gov/docs/ico/chapter/657.pdf" Type="http://schemas.openxmlformats.org/officeDocument/2006/relationships/hyperlink" Id="rId15"/>
    <Relationship TargetMode="External" Target="https://www.legis.iowa.gov/docs/iac/chapter/567.65.pdf" Type="http://schemas.openxmlformats.org/officeDocument/2006/relationships/hyperlink" Id="rId16"/>
    <Relationship TargetMode="External" Target="https://www.legis.iowa.gov/docs/iac/rule/567.102.4.pdf" Type="http://schemas.openxmlformats.org/officeDocument/2006/relationships/hyperlink" Id="rId17"/>
    <Relationship TargetMode="External" Target="https://www.legis.iowa.gov/docs/iac/rule/567.71.5.pdf" Type="http://schemas.openxmlformats.org/officeDocument/2006/relationships/hyperlink" Id="rId18"/>
    <Relationship TargetMode="External" Target="https://www.legis.iowa.gov/docs/iac/chapter/567.60.pdf" Type="http://schemas.openxmlformats.org/officeDocument/2006/relationships/hyperlink" Id="rId19"/>
    <Relationship TargetMode="External" Target="https://www.legis.iowa.gov/docs/iac/rule/567.102.11.pdf" Type="http://schemas.openxmlformats.org/officeDocument/2006/relationships/hyperlink" Id="rId20"/>
    <Relationship TargetMode="External" Target="https://www.legis.iowa.gov/docs/iac/rule/567.102.5.pdf" Type="http://schemas.openxmlformats.org/officeDocument/2006/relationships/hyperlink" Id="rId21"/>
    <Relationship TargetMode="External" Target="https://www.legis.iowa.gov/docs/iac/rule/567.102.11.pdf" Type="http://schemas.openxmlformats.org/officeDocument/2006/relationships/hyperlink" Id="rId22"/>
    <Relationship TargetMode="External" Target="https://www.legis.iowa.gov/docs/iac/rule/567.100.4.pdf" Type="http://schemas.openxmlformats.org/officeDocument/2006/relationships/hyperlink" Id="rId23"/>
    <Relationship TargetMode="External" Target="https://www.legis.iowa.gov/docs/iac/rule/567.100.5.pdf" Type="http://schemas.openxmlformats.org/officeDocument/2006/relationships/hyperlink" Id="rId24"/>
    <Relationship TargetMode="External" Target="https://www.legis.iowa.gov/docs/iac/rule/567.102.9.pdf" Type="http://schemas.openxmlformats.org/officeDocument/2006/relationships/hyperlink" Id="rId25"/>
    <Relationship TargetMode="External" Target="https://www.legis.iowa.gov/docs/iac/rule/567.100.10.pdf" Type="http://schemas.openxmlformats.org/officeDocument/2006/relationships/hyperlink" Id="rId26"/>
    <Relationship TargetMode="External" Target="https://www.legis.iowa.gov/docs/iac/rule/567.102.5.pdf" Type="http://schemas.openxmlformats.org/officeDocument/2006/relationships/hyperlink" Id="rId27"/>
    <Relationship TargetMode="External" Target="https://www.legis.iowa.gov/docs/iac/rule/567.102.4.pdf" Type="http://schemas.openxmlformats.org/officeDocument/2006/relationships/hyperlink" Id="rId28"/>
    <Relationship TargetMode="External" Target="https://www.legis.iowa.gov/docs/iac/rule/567.102.11.pdf" Type="http://schemas.openxmlformats.org/officeDocument/2006/relationships/hyperlink" Id="rId29"/>
    <Relationship TargetMode="External" Target="https://www.legis.iowa.gov/docs/iac/rule/567.102.9.pdf" Type="http://schemas.openxmlformats.org/officeDocument/2006/relationships/hyperlink" Id="rId30"/>
    <Relationship TargetMode="External" Target="https://www.legis.iowa.gov/docs/iac/rule/567.102.9.pdf" Type="http://schemas.openxmlformats.org/officeDocument/2006/relationships/hyperlink" Id="rId31"/>
    <Relationship TargetMode="External" Target="https://www.legis.iowa.gov/docs/iac/rule/567.102.9.pdf" Type="http://schemas.openxmlformats.org/officeDocument/2006/relationships/hyperlink" Id="rId32"/>
    <Relationship TargetMode="External" Target="https://www.legis.iowa.gov/docs/iac/rule/567.102.9.pdf" Type="http://schemas.openxmlformats.org/officeDocument/2006/relationships/hyperlink" Id="rId33"/>
    <Relationship TargetMode="External" Target="https://www.legis.iowa.gov/docs/iac/rule/567.102.9.pdf" Type="http://schemas.openxmlformats.org/officeDocument/2006/relationships/hyperlink" Id="rId34"/>
    <Relationship TargetMode="External" Target="https://www.legis.iowa.gov/docs/iac/chapter/567.100.pdf" Type="http://schemas.openxmlformats.org/officeDocument/2006/relationships/hyperlink" Id="rId35"/>
    <Relationship TargetMode="External" Target="https://www.legis.iowa.gov/docs/iac/chapter/567.102.pdf" Type="http://schemas.openxmlformats.org/officeDocument/2006/relationships/hyperlink" Id="rId36"/>
    <Relationship TargetMode="External" Target="https://www.legis.iowa.gov/docs/iac/rule/567.102.10.pdf" Type="http://schemas.openxmlformats.org/officeDocument/2006/relationships/hyperlink" Id="rId37"/>
    <Relationship TargetMode="External" Target="https://www.legis.iowa.gov/docs/iac/chapter/567.100.pdf" Type="http://schemas.openxmlformats.org/officeDocument/2006/relationships/hyperlink" Id="rId38"/>
    <Relationship TargetMode="External" Target="https://www.legis.iowa.gov/docs/iac/chapter/567.123.pdf" Type="http://schemas.openxmlformats.org/officeDocument/2006/relationships/hyperlink" Id="rId39"/>
    <Relationship TargetMode="External" Target="https://www.legis.iowa.gov/docs/iac/rule/567.102.10.pdf" Type="http://schemas.openxmlformats.org/officeDocument/2006/relationships/hyperlink" Id="rId40"/>
    <Relationship TargetMode="External" Target="https://www.legis.iowa.gov/docs/iac/rule/567.102.10.pdf" Type="http://schemas.openxmlformats.org/officeDocument/2006/relationships/hyperlink" Id="rId41"/>
    <Relationship TargetMode="External" Target="https://www.legis.iowa.gov/docs/iac/rule/567.101.708.pdf" Type="http://schemas.openxmlformats.org/officeDocument/2006/relationships/hyperlink" Id="rId42"/>
    <Relationship TargetMode="External" Target="https://www.legis.iowa.gov/docs/iac/rule/567.101.707.pdf" Type="http://schemas.openxmlformats.org/officeDocument/2006/relationships/hyperlink" Id="rId43"/>
    <Relationship TargetMode="External" Target="https://www.legis.iowa.gov/docs/iac/rule/567.101.707.pdf" Type="http://schemas.openxmlformats.org/officeDocument/2006/relationships/hyperlink" Id="rId44"/>
    <Relationship TargetMode="External" Target="https://www.legis.iowa.gov/docs/iac/rule/567.101.707.pdf" Type="http://schemas.openxmlformats.org/officeDocument/2006/relationships/hyperlink" Id="rId45"/>
    <Relationship TargetMode="External" Target="https://www.legis.iowa.gov/docs/iac/rule/567.101.707.pdf" Type="http://schemas.openxmlformats.org/officeDocument/2006/relationships/hyperlink" Id="rId46"/>
    <Relationship TargetMode="External" Target="https://www.legis.iowa.gov/docs/iac/rule/567.101.707.pdf" Type="http://schemas.openxmlformats.org/officeDocument/2006/relationships/hyperlink" Id="rId47"/>
    <Relationship TargetMode="External" Target="https://www.legis.iowa.gov/docs/iac/rule/567.101.707.pdf" Type="http://schemas.openxmlformats.org/officeDocument/2006/relationships/hyperlink" Id="rId48"/>
    <Relationship TargetMode="External" Target="https://www.legis.iowa.gov/docs/iac/rule/567.102.11.pdf" Type="http://schemas.openxmlformats.org/officeDocument/2006/relationships/hyperlink" Id="rId49"/>
    <Relationship TargetMode="External" Target="https://www.legis.iowa.gov/docs/ico/chapter/455D.9.pdf" Type="http://schemas.openxmlformats.org/officeDocument/2006/relationships/hyperlink" Id="rId50"/>
    <Relationship TargetMode="External" Target="https://www.legis.iowa.gov/docs/iac/chapter/567.60.pdf" Type="http://schemas.openxmlformats.org/officeDocument/2006/relationships/hyperlink" Id="rId51"/>
    <Relationship TargetMode="External" Target="https://www.legis.iowa.gov/docs/iac/chapter/567.63.pdf" Type="http://schemas.openxmlformats.org/officeDocument/2006/relationships/hyperlink" Id="rId52"/>
    <Relationship TargetMode="External" Target="https://www.legis.iowa.gov/docs/ico/chapter/455B.301.pdf" Type="http://schemas.openxmlformats.org/officeDocument/2006/relationships/hyperlink" Id="rId53"/>
    <Relationship TargetMode="External" Target="https://www.legis.iowa.gov/docs/iac/chapter/567.100.pdf" Type="http://schemas.openxmlformats.org/officeDocument/2006/relationships/hyperlink" Id="rId54"/>
    <Relationship TargetMode="External" Target="https://www.legis.iowa.gov/docs/iac/chapter/567.67.pdf" Type="http://schemas.openxmlformats.org/officeDocument/2006/relationships/hyperlink" Id="rId55"/>
    <Relationship Target="media/document_image_rId56.png" Type="http://schemas.openxmlformats.org/officeDocument/2006/relationships/image" Id="rId56"/>
    <Relationship TargetMode="External" Target="https://www.legis.iowa.gov/docs/iac/rule/567.40.2.pdf" Type="http://schemas.openxmlformats.org/officeDocument/2006/relationships/hyperlink" Id="rId57"/>
    <Relationship TargetMode="External" Target="https://www.legis.iowa.gov/docs/iac/rule/567.40.2.pdf" Type="http://schemas.openxmlformats.org/officeDocument/2006/relationships/hyperlink" Id="rId58"/>
    <Relationship TargetMode="External" Target="https://www.legis.iowa.gov/docs/iac/rule/567.102.104.pdf" Type="http://schemas.openxmlformats.org/officeDocument/2006/relationships/hyperlink" Id="rId59"/>
    <Relationship TargetMode="External" Target="https://www.legis.iowa.gov/docs/iac/rule/567.102.103.pdf" Type="http://schemas.openxmlformats.org/officeDocument/2006/relationships/hyperlink" Id="rId60"/>
    <Relationship TargetMode="External" Target="https://www.legis.iowa.gov/docs/iac/rule/567.102.103.pdf" Type="http://schemas.openxmlformats.org/officeDocument/2006/relationships/hyperlink" Id="rId61"/>
    <Relationship TargetMode="External" Target="https://www.legis.iowa.gov/docs/iac/rule/567.102.104.pdf" Type="http://schemas.openxmlformats.org/officeDocument/2006/relationships/hyperlink" Id="rId62"/>
    <Relationship TargetMode="External" Target="https://www.legis.iowa.gov/docs/iac/rule/567.102.105.pdf" Type="http://schemas.openxmlformats.org/officeDocument/2006/relationships/hyperlink" Id="rId63"/>
    <Relationship TargetMode="External" Target="https://www.legis.iowa.gov/docs/iac/rule/567.102.103.pdf" Type="http://schemas.openxmlformats.org/officeDocument/2006/relationships/hyperlink" Id="rId64"/>
    <Relationship TargetMode="External" Target="https://www.legis.iowa.gov/docs/iac/chapter/567.83.pdf" Type="http://schemas.openxmlformats.org/officeDocument/2006/relationships/hyperlink" Id="rId65"/>
    <Relationship TargetMode="External" Target="https://www.legis.iowa.gov/docs/iac/rule/567.102.102.pdf" Type="http://schemas.openxmlformats.org/officeDocument/2006/relationships/hyperlink" Id="rId66"/>
    <Relationship TargetMode="External" Target="https://www.legis.iowa.gov/docs/iac/rule/567.102.106.pdf" Type="http://schemas.openxmlformats.org/officeDocument/2006/relationships/hyperlink" Id="rId67"/>
    <Relationship TargetMode="External" Target="https://www.legis.iowa.gov/docs/iac/rule/567.100.4.pdf" Type="http://schemas.openxmlformats.org/officeDocument/2006/relationships/hyperlink" Id="rId68"/>
    <Relationship TargetMode="External" Target="https://www.legis.iowa.gov/docs/iac/rule/567.100.5.pdf" Type="http://schemas.openxmlformats.org/officeDocument/2006/relationships/hyperlink" Id="rId69"/>
    <Relationship TargetMode="External" Target="https://www.legis.iowa.gov/docs/iac/rule/567.102.103.pdf" Type="http://schemas.openxmlformats.org/officeDocument/2006/relationships/hyperlink" Id="rId70"/>
    <Relationship TargetMode="External" Target="https://www.legis.iowa.gov/docs/iac/chapter/567.83.pdf" Type="http://schemas.openxmlformats.org/officeDocument/2006/relationships/hyperlink" Id="rId71"/>
    <Relationship TargetMode="External" Target="https://www.legis.iowa.gov/docs/iac/rule/567.102.105.pdf" Type="http://schemas.openxmlformats.org/officeDocument/2006/relationships/hyperlink" Id="rId72"/>
    <Relationship TargetMode="External" Target="https://www.legis.iowa.gov/docs/iac/rule/567.102.105.pdf" Type="http://schemas.openxmlformats.org/officeDocument/2006/relationships/hyperlink" Id="rId73"/>
    <Relationship TargetMode="External" Target="https://www.legis.iowa.gov/docs/iac/rule/567.40.2.pdf" Type="http://schemas.openxmlformats.org/officeDocument/2006/relationships/hyperlink" Id="rId74"/>
    <Relationship TargetMode="External" Target="https://www.legis.iowa.gov/docs/iac/rule/567.102.104.pdf" Type="http://schemas.openxmlformats.org/officeDocument/2006/relationships/hyperlink" Id="rId75"/>
    <Relationship TargetMode="External" Target="https://www.legis.iowa.gov/docs/iac/rule/567.102.108.pdf" Type="http://schemas.openxmlformats.org/officeDocument/2006/relationships/hyperlink" Id="rId76"/>
    <Relationship TargetMode="External" Target="https://www.legis.iowa.gov/docs/iac/rule/567.40.2.pdf" Type="http://schemas.openxmlformats.org/officeDocument/2006/relationships/hyperlink" Id="rId77"/>
    <Relationship TargetMode="External" Target="https://www.legis.iowa.gov/docs/iac/rule/567.102.108.pdf" Type="http://schemas.openxmlformats.org/officeDocument/2006/relationships/hyperlink" Id="rId78"/>
    <Relationship TargetMode="External" Target="https://www.legis.iowa.gov/docs/iac/rule/567.102.10.pdf" Type="http://schemas.openxmlformats.org/officeDocument/2006/relationships/hyperlink" Id="rId79"/>
    <Relationship TargetMode="External" Target="https://www.legis.iowa.gov/docs/iac/rule/567.101.708.pdf" Type="http://schemas.openxmlformats.org/officeDocument/2006/relationships/hyperlink" Id="rId80"/>
    <Relationship TargetMode="External" Target="https://www.legis.iowa.gov/docs/iac/rule/567.101.707.pdf" Type="http://schemas.openxmlformats.org/officeDocument/2006/relationships/hyperlink" Id="rId81"/>
    <Relationship TargetMode="External" Target="https://www.legis.iowa.gov/docs/iac/rule/567.101.707.pdf" Type="http://schemas.openxmlformats.org/officeDocument/2006/relationships/hyperlink" Id="rId82"/>
    <Relationship TargetMode="External" Target="https://www.legis.iowa.gov/docs/iac/rule/567.101.707.pdf" Type="http://schemas.openxmlformats.org/officeDocument/2006/relationships/hyperlink" Id="rId83"/>
    <Relationship TargetMode="External" Target="https://www.legis.iowa.gov/docs/iac/rule/567.101.707.pdf" Type="http://schemas.openxmlformats.org/officeDocument/2006/relationships/hyperlink" Id="rId84"/>
    <Relationship TargetMode="External" Target="https://www.legis.iowa.gov/docs/ico/chapter/455B.173.pdf" Type="http://schemas.openxmlformats.org/officeDocument/2006/relationships/hyperlink" Id="rId85"/>
    <Relationship TargetMode="External" Target="https://www.legis.iowa.gov/docs/ico/chapter/455B.304.pdf" Type="http://schemas.openxmlformats.org/officeDocument/2006/relationships/hyperlink" Id="rId86"/>
    <Relationship TargetMode="External" Target="https://www.legis.iowa.gov/docs/ico/chapter/455B.301.pdf" Type="http://schemas.openxmlformats.org/officeDocument/2006/relationships/hyperlink" Id="rId87"/>
    <Relationship TargetMode="External" Target="https://www.legis.iowa.gov/docs/iac/chapter/567.100.pdf" Type="http://schemas.openxmlformats.org/officeDocument/2006/relationships/hyperlink" Id="rId88"/>
    <Relationship TargetMode="External" Target="https://www.legis.iowa.gov/docs/iac/rule/567.100.4.pdf" Type="http://schemas.openxmlformats.org/officeDocument/2006/relationships/hyperlink" Id="rId89"/>
    <Relationship TargetMode="External" Target="https://www.legis.iowa.gov/docs/iac/rule/567.102.211.pdf" Type="http://schemas.openxmlformats.org/officeDocument/2006/relationships/hyperlink" Id="rId90"/>
    <Relationship TargetMode="External" Target="https://www.legis.iowa.gov/docs/iac/rule/567.100.5.pdf" Type="http://schemas.openxmlformats.org/officeDocument/2006/relationships/hyperlink" Id="rId91"/>
    <Relationship TargetMode="External" Target="https://www.legis.iowa.gov/docs/iac/rule/567.102.208.pdf" Type="http://schemas.openxmlformats.org/officeDocument/2006/relationships/hyperlink" Id="rId92"/>
    <Relationship TargetMode="External" Target="https://www.legis.iowa.gov/docs/iac/rule/567.102.210.pdf" Type="http://schemas.openxmlformats.org/officeDocument/2006/relationships/hyperlink" Id="rId93"/>
    <Relationship TargetMode="External" Target="https://www.legis.iowa.gov/docs/iac/rule/567.102.209.pdf" Type="http://schemas.openxmlformats.org/officeDocument/2006/relationships/hyperlink" Id="rId94"/>
    <Relationship TargetMode="External" Target="https://www.legis.iowa.gov/docs/iac/rule/567.102.208.pdf" Type="http://schemas.openxmlformats.org/officeDocument/2006/relationships/hyperlink" Id="rId95"/>
    <Relationship TargetMode="External" Target="https://www.legis.iowa.gov/docs/iac/rule/567.102.210.pdf" Type="http://schemas.openxmlformats.org/officeDocument/2006/relationships/hyperlink" Id="rId96"/>
    <Relationship TargetMode="External" Target="https://www.legis.iowa.gov/docs/iac/rule/567.102.205.pdf" Type="http://schemas.openxmlformats.org/officeDocument/2006/relationships/hyperlink" Id="rId97"/>
    <Relationship TargetMode="External" Target="https://www.legis.iowa.gov/docs/iac/chapter/567.135.pdf" Type="http://schemas.openxmlformats.org/officeDocument/2006/relationships/hyperlink" Id="rId98"/>
    <Relationship TargetMode="External" Target="https://www.legis.iowa.gov/docs/iac/rule/567.102.211.pdf" Type="http://schemas.openxmlformats.org/officeDocument/2006/relationships/hyperlink" Id="rId99"/>
    <Relationship TargetMode="External" Target="https://www.legis.iowa.gov/docs/iac/rule/567.100.5.pdf" Type="http://schemas.openxmlformats.org/officeDocument/2006/relationships/hyperlink" Id="rId100"/>
    <Relationship TargetMode="External" Target="https://www.legis.iowa.gov/docs/iac/rule/567.102.208.pdf" Type="http://schemas.openxmlformats.org/officeDocument/2006/relationships/hyperlink" Id="rId101"/>
    <Relationship TargetMode="External" Target="https://www.legis.iowa.gov/docs/iac/rule/567.102.205.pdf" Type="http://schemas.openxmlformats.org/officeDocument/2006/relationships/hyperlink" Id="rId102"/>
    <Relationship TargetMode="External" Target="https://www.legis.iowa.gov/docs/iac/rule/567.102.205.pdf" Type="http://schemas.openxmlformats.org/officeDocument/2006/relationships/hyperlink" Id="rId103"/>
    <Relationship TargetMode="External" Target="https://www.legis.iowa.gov/docs/iac/rule/567.102.211.pdf" Type="http://schemas.openxmlformats.org/officeDocument/2006/relationships/hyperlink" Id="rId104"/>
    <Relationship TargetMode="External" Target="https://www.legis.iowa.gov/docs/iac/rule/567.102.205.pdf" Type="http://schemas.openxmlformats.org/officeDocument/2006/relationships/hyperlink" Id="rId105"/>
    <Relationship TargetMode="External" Target="https://www.legis.iowa.gov/docs/iac/rule/567.102.205.pdf" Type="http://schemas.openxmlformats.org/officeDocument/2006/relationships/hyperlink" Id="rId106"/>
    <Relationship TargetMode="External" Target="https://www.legis.iowa.gov/docs/iac/chapter/567.105.pdf" Type="http://schemas.openxmlformats.org/officeDocument/2006/relationships/hyperlink" Id="rId107"/>
    <Relationship TargetMode="External" Target="https://www.legis.iowa.gov/docs/iac/rule/567.102.211.pdf" Type="http://schemas.openxmlformats.org/officeDocument/2006/relationships/hyperlink" Id="rId108"/>
    <Relationship TargetMode="External" Target="https://www.legis.iowa.gov/docs/iac/rule/567.102.208.pdf" Type="http://schemas.openxmlformats.org/officeDocument/2006/relationships/hyperlink" Id="rId109"/>
    <Relationship TargetMode="External" Target="https://www.legis.iowa.gov/docs/iac/rule/567.102.208.pdf" Type="http://schemas.openxmlformats.org/officeDocument/2006/relationships/hyperlink" Id="rId110"/>
    <Relationship TargetMode="External" Target="https://www.legis.iowa.gov/docs/iac/rule/567.102.211.pdf" Type="http://schemas.openxmlformats.org/officeDocument/2006/relationships/hyperlink" Id="rId111"/>
    <Relationship TargetMode="External" Target="https://www.legis.iowa.gov/docs/iac/rule/567.102.205.pdf" Type="http://schemas.openxmlformats.org/officeDocument/2006/relationships/hyperlink" Id="rId112"/>
    <Relationship TargetMode="External" Target="https://www.legis.iowa.gov/docs/iac/rule/567.102.211.pdf" Type="http://schemas.openxmlformats.org/officeDocument/2006/relationships/hyperlink" Id="rId113"/>
    <Relationship TargetMode="External" Target="https://www.legis.iowa.gov/docs/iac/chapter/567.135.pdf" Type="http://schemas.openxmlformats.org/officeDocument/2006/relationships/hyperlink" Id="rId114"/>
    <Relationship TargetMode="External" Target="https://www.legis.iowa.gov/docs/iac/rule/567.100.14.pdf" Type="http://schemas.openxmlformats.org/officeDocument/2006/relationships/hyperlink" Id="rId115"/>
    <Relationship TargetMode="External" Target="https://www.legis.iowa.gov/docs/iac/rule/567.102.205.pdf" Type="http://schemas.openxmlformats.org/officeDocument/2006/relationships/hyperlink" Id="rId116"/>
    <Relationship TargetMode="External" Target="https://www.legis.iowa.gov/docs/iac/rule/567.102.205.pdf" Type="http://schemas.openxmlformats.org/officeDocument/2006/relationships/hyperlink" Id="rId117"/>
    <Relationship TargetMode="External" Target="https://www.legis.iowa.gov/docs/iac/rule/567.102.208.pdf" Type="http://schemas.openxmlformats.org/officeDocument/2006/relationships/hyperlink" Id="rId118"/>
    <Relationship TargetMode="External" Target="https://www.legis.iowa.gov/docs/iac/rule/567.102.205.pdf" Type="http://schemas.openxmlformats.org/officeDocument/2006/relationships/hyperlink" Id="rId119"/>
    <Relationship TargetMode="External" Target="https://www.legis.iowa.gov/docs/iac/rule/567.102.205.pdf" Type="http://schemas.openxmlformats.org/officeDocument/2006/relationships/hyperlink" Id="rId120"/>
    <Relationship TargetMode="External" Target="https://www.legis.iowa.gov/docs/iac/rule/567.102.211.pdf" Type="http://schemas.openxmlformats.org/officeDocument/2006/relationships/hyperlink" Id="rId121"/>
    <Relationship TargetMode="External" Target="https://www.legis.iowa.gov/docs/iac/rule/567.102.204.pdf" Type="http://schemas.openxmlformats.org/officeDocument/2006/relationships/hyperlink" Id="rId122"/>
    <Relationship TargetMode="External" Target="https://www.legis.iowa.gov/docs/iac/rule/567.102.205.pdf" Type="http://schemas.openxmlformats.org/officeDocument/2006/relationships/hyperlink" Id="rId123"/>
    <Relationship TargetMode="External" Target="https://www.legis.iowa.gov/docs/iac/rule/567.102.206.pdf" Type="http://schemas.openxmlformats.org/officeDocument/2006/relationships/hyperlink" Id="rId124"/>
    <Relationship TargetMode="External" Target="https://www.legis.iowa.gov/docs/iac/rule/567.102.207.pdf" Type="http://schemas.openxmlformats.org/officeDocument/2006/relationships/hyperlink" Id="rId125"/>
    <Relationship TargetMode="External" Target="https://www.legis.iowa.gov/docs/iac/rule/567.102.208.pdf" Type="http://schemas.openxmlformats.org/officeDocument/2006/relationships/hyperlink" Id="rId126"/>
    <Relationship TargetMode="External" Target="https://www.legis.iowa.gov/docs/iac/rule/567.102.208.pdf" Type="http://schemas.openxmlformats.org/officeDocument/2006/relationships/hyperlink" Id="rId127"/>
    <Relationship TargetMode="External" Target="https://www.legis.iowa.gov/docs/iac/rule/567.102.209.pdf" Type="http://schemas.openxmlformats.org/officeDocument/2006/relationships/hyperlink" Id="rId128"/>
    <Relationship TargetMode="External" Target="https://www.legis.iowa.gov/docs/iac/rule/567.102.210.pdf" Type="http://schemas.openxmlformats.org/officeDocument/2006/relationships/hyperlink" Id="rId129"/>
    <Relationship TargetMode="External" Target="https://www.legis.iowa.gov/docs/iac/rule/567.102.211.pdf" Type="http://schemas.openxmlformats.org/officeDocument/2006/relationships/hyperlink" Id="rId130"/>
    <Relationship TargetMode="External" Target="https://www.legis.iowa.gov/docs/iac/rule/567.102.205.pdf" Type="http://schemas.openxmlformats.org/officeDocument/2006/relationships/hyperlink" Id="rId131"/>
    <Relationship TargetMode="External" Target="https://www.legis.iowa.gov/docs/iac/rule/567.102.211.pdf" Type="http://schemas.openxmlformats.org/officeDocument/2006/relationships/hyperlink" Id="rId132"/>
    <Relationship TargetMode="External" Target="https://www.legis.iowa.gov/docs/iac/rule/567.102.211.pdf" Type="http://schemas.openxmlformats.org/officeDocument/2006/relationships/hyperlink" Id="rId133"/>
    <Relationship TargetMode="External" Target="https://www.legis.iowa.gov/docs/iac/rule/567.102.211.pdf" Type="http://schemas.openxmlformats.org/officeDocument/2006/relationships/hyperlink" Id="rId134"/>
    <Relationship TargetMode="External" Target="https://www.legis.iowa.gov/docs/iac/rule/567.102.212.pdf" Type="http://schemas.openxmlformats.org/officeDocument/2006/relationships/hyperlink" Id="rId135"/>
    <Relationship TargetMode="External" Target="https://www.legis.iowa.gov/docs/iac/rule/567.101.707.pdf" Type="http://schemas.openxmlformats.org/officeDocument/2006/relationships/hyperlink" Id="rId136"/>
    <Relationship TargetMode="External" Target="https://www.legis.iowa.gov/docs/iac/rule/567.101.707.pdf" Type="http://schemas.openxmlformats.org/officeDocument/2006/relationships/hyperlink" Id="rId137"/>
    <Relationship TargetMode="External" Target="https://www.legis.iowa.gov/docs/iac/rule/567.101.707.pdf" Type="http://schemas.openxmlformats.org/officeDocument/2006/relationships/hyperlink" Id="rId138"/>
    <Relationship TargetMode="External" Target="https://www.legis.iowa.gov/docs/iac/rule/567.101.707.pdf" Type="http://schemas.openxmlformats.org/officeDocument/2006/relationships/hyperlink" Id="rId139"/>
    <Relationship TargetMode="External" Target="https://www.legis.iowa.gov/docs/iac/rule/567.101.707.pdf" Type="http://schemas.openxmlformats.org/officeDocument/2006/relationships/hyperlink" Id="rId140"/>
    <Relationship TargetMode="External" Target="https://www.legis.iowa.gov/docs/iac/rule/567.101.707.pdf" Type="http://schemas.openxmlformats.org/officeDocument/2006/relationships/hyperlink" Id="rId141"/>
    <Relationship TargetMode="External" Target="https://www.legis.iowa.gov/docs/ico/chapter/455B.301A.pdf" Type="http://schemas.openxmlformats.org/officeDocument/2006/relationships/hyperlink" Id="rId142"/>
    <Relationship TargetMode="External" Target="https://www.legis.iowa.gov/docs/ico/chapter/455B.304.pdf" Type="http://schemas.openxmlformats.org/officeDocument/2006/relationships/hyperlink" Id="rId143"/>
    <Relationship TargetMode="External" Target="https://www.legis.iowa.gov/docs/ico/chapter/455B.383.pdf" Type="http://schemas.openxmlformats.org/officeDocument/2006/relationships/hyperlink" Id="rId144"/>
    <Relationship TargetMode="External" Target="https://www.legis.iowa.gov/docs/iac/chapter/567.101.pdf" Type="http://schemas.openxmlformats.org/officeDocument/2006/relationships/hyperlink" Id="rId145"/>
    <Relationship TargetMode="External" Target="https://www.legis.iowa.gov/docs/iac/rule/567.102.307.pdf" Type="http://schemas.openxmlformats.org/officeDocument/2006/relationships/hyperlink" Id="rId146"/>
    <Relationship TargetMode="External" Target="https://www.legis.iowa.gov/docs/iac/rule/567.102.308.pdf" Type="http://schemas.openxmlformats.org/officeDocument/2006/relationships/hyperlink" Id="rId147"/>
    <Relationship TargetMode="External" Target="https://www.legis.iowa.gov/docs/iac/chapter/567.100.pdf" Type="http://schemas.openxmlformats.org/officeDocument/2006/relationships/hyperlink" Id="rId148"/>
    <Relationship TargetMode="External" Target="https://www.legis.iowa.gov/docs/ico/chapter/455B.301.pdf" Type="http://schemas.openxmlformats.org/officeDocument/2006/relationships/hyperlink" Id="rId149"/>
    <Relationship TargetMode="External" Target="https://www.legis.iowa.gov/docs/iac/rule/567.102.305.pdf" Type="http://schemas.openxmlformats.org/officeDocument/2006/relationships/hyperlink" Id="rId150"/>
    <Relationship TargetMode="External" Target="https://www.legis.iowa.gov/docs/iac/rule/567.102.306.pdf" Type="http://schemas.openxmlformats.org/officeDocument/2006/relationships/hyperlink" Id="rId151"/>
    <Relationship TargetMode="External" Target="https://www.legis.iowa.gov/docs/iac/rule/567.102.307.pdf" Type="http://schemas.openxmlformats.org/officeDocument/2006/relationships/hyperlink" Id="rId152"/>
    <Relationship TargetMode="External" Target="https://www.legis.iowa.gov/docs/iac/chapter/21.44.pdf" Type="http://schemas.openxmlformats.org/officeDocument/2006/relationships/hyperlink" Id="rId153"/>
    <Relationship TargetMode="External" Target="https://www.legis.iowa.gov/docs/iac/chapter/21.44.pdf" Type="http://schemas.openxmlformats.org/officeDocument/2006/relationships/hyperlink" Id="rId154"/>
    <Relationship TargetMode="External" Target="https://www.legis.iowa.gov/docs/iac/chapter/21.43.pdf" Type="http://schemas.openxmlformats.org/officeDocument/2006/relationships/hyperlink" Id="rId155"/>
    <Relationship TargetMode="External" Target="https://www.legis.iowa.gov/docs/iac/chapter/21.44.pdf" Type="http://schemas.openxmlformats.org/officeDocument/2006/relationships/hyperlink" Id="rId156"/>
    <Relationship TargetMode="External" Target="https://www.legis.iowa.gov/docs/iac/chapter/21.44.pdf" Type="http://schemas.openxmlformats.org/officeDocument/2006/relationships/hyperlink" Id="rId157"/>
    <Relationship TargetMode="External" Target="https://www.legis.iowa.gov/docs/iac/chapter/21.43.pdf" Type="http://schemas.openxmlformats.org/officeDocument/2006/relationships/hyperlink" Id="rId158"/>
    <Relationship TargetMode="External" Target="https://www.legis.iowa.gov/docs/iac/chapter/21.44.pdf" Type="http://schemas.openxmlformats.org/officeDocument/2006/relationships/hyperlink" Id="rId159"/>
    <Relationship TargetMode="External" Target="https://www.legis.iowa.gov/docs/iac/chapter/21.43.pdf" Type="http://schemas.openxmlformats.org/officeDocument/2006/relationships/hyperlink" Id="rId160"/>
    <Relationship TargetMode="External" Target="https://www.legis.iowa.gov/docs/iac/rule/567.102.303.pdf" Type="http://schemas.openxmlformats.org/officeDocument/2006/relationships/hyperlink" Id="rId161"/>
    <Relationship TargetMode="External" Target="https://www.legis.iowa.gov/docs/iac/rule/567.102.305.pdf" Type="http://schemas.openxmlformats.org/officeDocument/2006/relationships/hyperlink" Id="rId162"/>
    <Relationship TargetMode="External" Target="https://www.legis.iowa.gov/docs/iac/rule/567.102.303.pdf" Type="http://schemas.openxmlformats.org/officeDocument/2006/relationships/hyperlink" Id="rId163"/>
    <Relationship TargetMode="External" Target="https://www.legis.iowa.gov/docs/iac/chapter/567.105.pdf" Type="http://schemas.openxmlformats.org/officeDocument/2006/relationships/hyperlink" Id="rId164"/>
    <Relationship TargetMode="External" Target="https://www.legis.iowa.gov/docs/iac/chapter/567.71.pdf" Type="http://schemas.openxmlformats.org/officeDocument/2006/relationships/hyperlink" Id="rId165"/>
    <Relationship TargetMode="External" Target="https://www.legis.iowa.gov/docs/iac/rule/567.102.304.pdf" Type="http://schemas.openxmlformats.org/officeDocument/2006/relationships/hyperlink" Id="rId166"/>
    <Relationship TargetMode="External" Target="https://www.legis.iowa.gov/docs/iac/rule/567.102.305.pdf" Type="http://schemas.openxmlformats.org/officeDocument/2006/relationships/hyperlink" Id="rId167"/>
    <Relationship TargetMode="External" Target="https://www.legis.iowa.gov/docs/iac/chapter/567.83.pdf" Type="http://schemas.openxmlformats.org/officeDocument/2006/relationships/hyperlink" Id="rId168"/>
    <Relationship TargetMode="External" Target="https://www.legis.iowa.gov/docs/iac/rule/567.102.304.pdf" Type="http://schemas.openxmlformats.org/officeDocument/2006/relationships/hyperlink" Id="rId169"/>
    <Relationship TargetMode="External" Target="https://www.legis.iowa.gov/docs/iac/rule/567.102.305.pdf" Type="http://schemas.openxmlformats.org/officeDocument/2006/relationships/hyperlink" Id="rId170"/>
    <Relationship TargetMode="External" Target="https://www.legis.iowa.gov/docs/iac/rule/567.102.305.pdf" Type="http://schemas.openxmlformats.org/officeDocument/2006/relationships/hyperlink" Id="rId171"/>
    <Relationship TargetMode="External" Target="https://www.legis.iowa.gov/docs/ico/chapter/455B.307.pdf" Type="http://schemas.openxmlformats.org/officeDocument/2006/relationships/hyperlink" Id="rId172"/>
    <Relationship TargetMode="External" Target="https://www.legis.iowa.gov/docs/iac/chapter/7.2506.pdf" Type="http://schemas.openxmlformats.org/officeDocument/2006/relationships/hyperlink" Id="rId173"/>
    <Relationship TargetMode="External" Target="https://www.legis.iowa.gov/docs/iac/chapter/561.2506.pdf" Type="http://schemas.openxmlformats.org/officeDocument/2006/relationships/hyperlink" Id="rId174"/>
    <Relationship TargetMode="External" Target="https://www.legis.iowa.gov/docs/ico/chapter/455B.304.pdf" Type="http://schemas.openxmlformats.org/officeDocument/2006/relationships/hyperlink" Id="rId175"/>
    <Relationship TargetMode="External" Target="https://www.legis.iowa.gov/docs/iac/chapter/567.100.pdf" Type="http://schemas.openxmlformats.org/officeDocument/2006/relationships/hyperlink" Id="rId176"/>
    <Relationship TargetMode="External" Target="https://www.legis.iowa.gov/docs/ico/chapter/455D.11.pdf" Type="http://schemas.openxmlformats.org/officeDocument/2006/relationships/hyperlink" Id="rId177"/>
    <Relationship TargetMode="External" Target="https://www.legis.iowa.gov/docs/ico/chapter/455D.11I.pdf" Type="http://schemas.openxmlformats.org/officeDocument/2006/relationships/hyperlink" Id="rId178"/>
    <Relationship TargetMode="External" Target="https://www.legis.iowa.gov/docs/iac/rule/567.102.402.pdf" Type="http://schemas.openxmlformats.org/officeDocument/2006/relationships/hyperlink" Id="rId179"/>
    <Relationship TargetMode="External" Target="https://www.legis.iowa.gov/docs/ico/chapter/455D.11I.pdf" Type="http://schemas.openxmlformats.org/officeDocument/2006/relationships/hyperlink" Id="rId180"/>
    <Relationship TargetMode="External" Target="https://www.legis.iowa.gov/docs/ico/chapter/455D.11.pdf" Type="http://schemas.openxmlformats.org/officeDocument/2006/relationships/hyperlink" Id="rId181"/>
    <Relationship TargetMode="External" Target="https://www.legis.iowa.gov/docs/iac/rule/567.102.407.pdf" Type="http://schemas.openxmlformats.org/officeDocument/2006/relationships/hyperlink" Id="rId182"/>
    <Relationship TargetMode="External" Target="https://www.legis.iowa.gov/docs/iac/rule/567.102.409.pdf" Type="http://schemas.openxmlformats.org/officeDocument/2006/relationships/hyperlink" Id="rId183"/>
    <Relationship TargetMode="External" Target="https://www.legis.iowa.gov/docs/iac/rule/567.102.407.pdf" Type="http://schemas.openxmlformats.org/officeDocument/2006/relationships/hyperlink" Id="rId184"/>
    <Relationship TargetMode="External" Target="https://www.legis.iowa.gov/docs/iac/rule/567.102.411.pdf" Type="http://schemas.openxmlformats.org/officeDocument/2006/relationships/hyperlink" Id="rId185"/>
    <Relationship TargetMode="External" Target="https://www.legis.iowa.gov/docs/iac/rule/567.100.13.pdf" Type="http://schemas.openxmlformats.org/officeDocument/2006/relationships/hyperlink" Id="rId186"/>
    <Relationship TargetMode="External" Target="https://www.legis.iowa.gov/docs/iac/rule/567.100.14.pdf" Type="http://schemas.openxmlformats.org/officeDocument/2006/relationships/hyperlink" Id="rId187"/>
    <Relationship TargetMode="External" Target="https://www.legis.iowa.gov/docs/iac/rule/567.102.410.pdf" Type="http://schemas.openxmlformats.org/officeDocument/2006/relationships/hyperlink" Id="rId188"/>
    <Relationship TargetMode="External" Target="https://www.legis.iowa.gov/docs/iac/rule/567.102.407.pdf" Type="http://schemas.openxmlformats.org/officeDocument/2006/relationships/hyperlink" Id="rId189"/>
    <Relationship TargetMode="External" Target="https://www.legis.iowa.gov/docs/iac/rule/567.100.13.pdf" Type="http://schemas.openxmlformats.org/officeDocument/2006/relationships/hyperlink" Id="rId190"/>
    <Relationship TargetMode="External" Target="https://www.legis.iowa.gov/docs/iac/rule/567.100.14.pdf" Type="http://schemas.openxmlformats.org/officeDocument/2006/relationships/hyperlink" Id="rId191"/>
    <Relationship TargetMode="External" Target="https://www.legis.iowa.gov/docs/iac/rule/567.102.410.pdf" Type="http://schemas.openxmlformats.org/officeDocument/2006/relationships/hyperlink" Id="rId192"/>
    <Relationship TargetMode="External" Target="https://www.legis.iowa.gov/docs/iac/rule/567.102.409.pdf" Type="http://schemas.openxmlformats.org/officeDocument/2006/relationships/hyperlink" Id="rId193"/>
    <Relationship TargetMode="External" Target="https://www.legis.iowa.gov/docs/iac/rule/567.102.409.pdf" Type="http://schemas.openxmlformats.org/officeDocument/2006/relationships/hyperlink" Id="rId194"/>
    <Relationship TargetMode="External" Target="https://www.legis.iowa.gov/docs/iac/rule/567.102.409.pdf" Type="http://schemas.openxmlformats.org/officeDocument/2006/relationships/hyperlink" Id="rId195"/>
    <Relationship TargetMode="External" Target="https://www.legis.iowa.gov/docs/iac/rule/567.102.409.pdf" Type="http://schemas.openxmlformats.org/officeDocument/2006/relationships/hyperlink" Id="rId196"/>
    <Relationship TargetMode="External" Target="https://www.legis.iowa.gov/docs/iac/rule/567.102.410.pdf" Type="http://schemas.openxmlformats.org/officeDocument/2006/relationships/hyperlink" Id="rId197"/>
    <Relationship TargetMode="External" Target="https://www.legis.iowa.gov/docs/iac/rule/567.102.407.pdf" Type="http://schemas.openxmlformats.org/officeDocument/2006/relationships/hyperlink" Id="rId198"/>
    <Relationship TargetMode="External" Target="https://www.legis.iowa.gov/docs/iac/rule/567.102.407.pdf" Type="http://schemas.openxmlformats.org/officeDocument/2006/relationships/hyperlink" Id="rId199"/>
    <Relationship TargetMode="External" Target="https://www.legis.iowa.gov/docs/iac/rule/567.102.409.pdf" Type="http://schemas.openxmlformats.org/officeDocument/2006/relationships/hyperlink" Id="rId200"/>
    <Relationship TargetMode="External" Target="https://www.legis.iowa.gov/docs/ico/chapter/455D.11A.pdf" Type="http://schemas.openxmlformats.org/officeDocument/2006/relationships/hyperlink" Id="rId201"/>
    <Relationship TargetMode="External" Target="https://www.legis.iowa.gov/docs/iac/rule/567.102.409.pdf" Type="http://schemas.openxmlformats.org/officeDocument/2006/relationships/hyperlink" Id="rId202"/>
    <Relationship TargetMode="External" Target="https://www.legis.iowa.gov/docs/iac/rule/567.102.410.pdf" Type="http://schemas.openxmlformats.org/officeDocument/2006/relationships/hyperlink" Id="rId203"/>
    <Relationship TargetMode="External" Target="https://www.legis.iowa.gov/docs/ico/chapter/455D.11A.pdf" Type="http://schemas.openxmlformats.org/officeDocument/2006/relationships/hyperlink" Id="rId204"/>
    <Relationship TargetMode="External" Target="https://www.legis.iowa.gov/docs/iac/rule/567.102.410.pdf" Type="http://schemas.openxmlformats.org/officeDocument/2006/relationships/hyperlink" Id="rId205"/>
    <Relationship TargetMode="External" Target="https://www.legis.iowa.gov/docs/iac/rule/567.102.410.pdf" Type="http://schemas.openxmlformats.org/officeDocument/2006/relationships/hyperlink" Id="rId206"/>
    <Relationship TargetMode="External" Target="https://www.legis.iowa.gov/docs/iac/rule/567.102.410.pdf" Type="http://schemas.openxmlformats.org/officeDocument/2006/relationships/hyperlink" Id="rId207"/>
    <Relationship TargetMode="External" Target="https://www.legis.iowa.gov/docs/iac/rule/567.102.410.pdf" Type="http://schemas.openxmlformats.org/officeDocument/2006/relationships/hyperlink" Id="rId208"/>
    <Relationship TargetMode="External" Target="https://www.legis.iowa.gov/docs/iac/rule/567.102.410.pdf" Type="http://schemas.openxmlformats.org/officeDocument/2006/relationships/hyperlink" Id="rId209"/>
    <Relationship TargetMode="External" Target="https://www.legis.iowa.gov/docs/iac/rule/567.102.410.pdf" Type="http://schemas.openxmlformats.org/officeDocument/2006/relationships/hyperlink" Id="rId210"/>
    <Relationship TargetMode="External" Target="https://www.legis.iowa.gov/docs/iac/rule/567.102.410.pdf" Type="http://schemas.openxmlformats.org/officeDocument/2006/relationships/hyperlink" Id="rId211"/>
    <Relationship TargetMode="External" Target="https://www.legis.iowa.gov/docs/iac/rule/567.102.410.pdf" Type="http://schemas.openxmlformats.org/officeDocument/2006/relationships/hyperlink" Id="rId212"/>
    <Relationship TargetMode="External" Target="https://www.legis.iowa.gov/docs/iac/rule/567.102.410.pdf" Type="http://schemas.openxmlformats.org/officeDocument/2006/relationships/hyperlink" Id="rId213"/>
    <Relationship TargetMode="External" Target="https://www.legis.iowa.gov/docs/iac/rule/567.102.410.pdf" Type="http://schemas.openxmlformats.org/officeDocument/2006/relationships/hyperlink" Id="rId214"/>
    <Relationship TargetMode="External" Target="https://www.legis.iowa.gov/docs/iac/rule/567.102.410.pdf" Type="http://schemas.openxmlformats.org/officeDocument/2006/relationships/hyperlink" Id="rId215"/>
    <Relationship TargetMode="External" Target="https://www.legis.iowa.gov/docs/iac/rule/567.102.410.pdf" Type="http://schemas.openxmlformats.org/officeDocument/2006/relationships/hyperlink" Id="rId216"/>
    <Relationship TargetMode="External" Target="https://www.legis.iowa.gov/docs/iac/rule/567.102.410.pdf" Type="http://schemas.openxmlformats.org/officeDocument/2006/relationships/hyperlink" Id="rId217"/>
    <Relationship TargetMode="External" Target="https://www.legis.iowa.gov/docs/iac/rule/567.102.410.pdf" Type="http://schemas.openxmlformats.org/officeDocument/2006/relationships/hyperlink" Id="rId218"/>
    <Relationship TargetMode="External" Target="https://www.legis.iowa.gov/docs/iac/rule/567.102.410.pdf" Type="http://schemas.openxmlformats.org/officeDocument/2006/relationships/hyperlink" Id="rId219"/>
    <Relationship TargetMode="External" Target="https://www.legis.iowa.gov/docs/iac/rule/567.102.411.pdf" Type="http://schemas.openxmlformats.org/officeDocument/2006/relationships/hyperlink" Id="rId220"/>
    <Relationship TargetMode="External" Target="https://www.legis.iowa.gov/docs/iac/rule/567.102.411.pdf" Type="http://schemas.openxmlformats.org/officeDocument/2006/relationships/hyperlink" Id="rId221"/>
    <Relationship TargetMode="External" Target="https://www.legis.iowa.gov/docs/iac/chapter/567.69.pdf" Type="http://schemas.openxmlformats.org/officeDocument/2006/relationships/hyperlink" Id="rId222"/>
    <Relationship TargetMode="External" Target="https://www.legis.iowa.gov/docs/iac/chapter/567.101.pdf" Type="http://schemas.openxmlformats.org/officeDocument/2006/relationships/hyperlink" Id="rId223"/>
    <Relationship TargetMode="External" Target="https://www.legis.iowa.gov/docs/iac/rule/567.102.411.pdf" Type="http://schemas.openxmlformats.org/officeDocument/2006/relationships/hyperlink" Id="rId224"/>
    <Relationship TargetMode="External" Target="https://www.legis.iowa.gov/docs/iac/rule/567.102.409.pdf" Type="http://schemas.openxmlformats.org/officeDocument/2006/relationships/hyperlink" Id="rId225"/>
    <Relationship TargetMode="External" Target="https://www.legis.iowa.gov/docs/iac/rule/567.102.409.pdf" Type="http://schemas.openxmlformats.org/officeDocument/2006/relationships/hyperlink" Id="rId226"/>
    <Relationship TargetMode="External" Target="https://www.legis.iowa.gov/docs/iac/rule/567.102.407.pdf" Type="http://schemas.openxmlformats.org/officeDocument/2006/relationships/hyperlink" Id="rId227"/>
    <Relationship TargetMode="External" Target="https://www.legis.iowa.gov/docs/ico/chapter/455D.11.pdf" Type="http://schemas.openxmlformats.org/officeDocument/2006/relationships/hyperlink" Id="rId228"/>
    <Relationship TargetMode="External" Target="https://www.legis.iowa.gov/docs/ico/chapter/455D.11A.pdf" Type="http://schemas.openxmlformats.org/officeDocument/2006/relationships/hyperlink" Id="rId229"/>
    <Relationship TargetMode="External" Target="https://www.legis.iowa.gov/docs/ico/chapter/455D.11B.pdf" Type="http://schemas.openxmlformats.org/officeDocument/2006/relationships/hyperlink" Id="rId230"/>
    <Relationship TargetMode="External" Target="https://www.legis.iowa.gov/docs/ico/chapter/455D.11I.pdf" Type="http://schemas.openxmlformats.org/officeDocument/2006/relationships/hyperlink" Id="rId231"/>
    <Relationship TargetMode="External" Target="https://www.legis.iowa.gov/docs/ico/chapter/455B.304.pdf" Type="http://schemas.openxmlformats.org/officeDocument/2006/relationships/hyperlink" Id="rId232"/>
    <Relationship TargetMode="External" Target="https://www.legis.iowa.gov/docs/iac/rule/567.102.508.pdf" Type="http://schemas.openxmlformats.org/officeDocument/2006/relationships/hyperlink" Id="rId233"/>
    <Relationship TargetMode="External" Target="https://www.legis.iowa.gov/docs/ico/chapter/455B.301.pdf" Type="http://schemas.openxmlformats.org/officeDocument/2006/relationships/hyperlink" Id="rId234"/>
    <Relationship TargetMode="External" Target="https://www.legis.iowa.gov/docs/iac/chapter/567.100.pdf" Type="http://schemas.openxmlformats.org/officeDocument/2006/relationships/hyperlink" Id="rId235"/>
    <Relationship TargetMode="External" Target="https://www.legis.iowa.gov/docs/iac/chapter/567.67.pdf" Type="http://schemas.openxmlformats.org/officeDocument/2006/relationships/hyperlink" Id="rId236"/>
    <Relationship TargetMode="External" Target="https://www.legis.iowa.gov/docs/iac/chapter/567.67.pdf" Type="http://schemas.openxmlformats.org/officeDocument/2006/relationships/hyperlink" Id="rId237"/>
    <Relationship TargetMode="External" Target="https://www.legis.iowa.gov/docs/ico/chapter/455B.304.pdf" Type="http://schemas.openxmlformats.org/officeDocument/2006/relationships/hyperlink" Id="rId238"/>
    <Relationship TargetMode="External" Target="https://www.legis.iowa.gov/docs/ico/chapter/455B.301.pdf" Type="http://schemas.openxmlformats.org/officeDocument/2006/relationships/hyperlink" Id="rId239"/>
    <Relationship TargetMode="External" Target="https://www.legis.iowa.gov/docs/iac/chapter/567.100.pdf" Type="http://schemas.openxmlformats.org/officeDocument/2006/relationships/hyperlink" Id="rId240"/>
    <Relationship TargetMode="External" Target="https://www.legis.iowa.gov/docs/iac/rule/567.100.4.pdf" Type="http://schemas.openxmlformats.org/officeDocument/2006/relationships/hyperlink" Id="rId241"/>
    <Relationship TargetMode="External" Target="https://www.legis.iowa.gov/docs/ico/chapter/455B.301.pdf" Type="http://schemas.openxmlformats.org/officeDocument/2006/relationships/hyperlink" Id="rId242"/>
    <Relationship TargetMode="External" Target="https://www.legis.iowa.gov/docs/ico/chapter/455D.pdf" Type="http://schemas.openxmlformats.org/officeDocument/2006/relationships/hyperlink" Id="rId243"/>
    <Relationship TargetMode="External" Target="https://www.legis.iowa.gov/docs/iac/rule/567.100.5.pdf" Type="http://schemas.openxmlformats.org/officeDocument/2006/relationships/hyperlink" Id="rId244"/>
    <Relationship TargetMode="External" Target="https://www.legis.iowa.gov/docs/iac/rule/567.102.606.pdf" Type="http://schemas.openxmlformats.org/officeDocument/2006/relationships/hyperlink" Id="rId245"/>
    <Relationship TargetMode="External" Target="https://www.legis.iowa.gov/docs/iac/rule/567.102.609.pdf" Type="http://schemas.openxmlformats.org/officeDocument/2006/relationships/hyperlink" Id="rId246"/>
    <Relationship TargetMode="External" Target="https://www.legis.iowa.gov/docs/iac/rule/567.102.609.pdf" Type="http://schemas.openxmlformats.org/officeDocument/2006/relationships/hyperlink" Id="rId247"/>
    <Relationship TargetMode="External" Target="https://www.legis.iowa.gov/docs/iac/chapter/567.103.pdf" Type="http://schemas.openxmlformats.org/officeDocument/2006/relationships/hyperlink" Id="rId248"/>
    <Relationship TargetMode="External" Target="https://www.legis.iowa.gov/docs/iac/chapter/567.105.pdf" Type="http://schemas.openxmlformats.org/officeDocument/2006/relationships/hyperlink" Id="rId249"/>
    <Relationship TargetMode="External" Target="https://www.legis.iowa.gov/docs/iac/rule/567.102.611.pdf" Type="http://schemas.openxmlformats.org/officeDocument/2006/relationships/hyperlink" Id="rId250"/>
    <Relationship TargetMode="External" Target="https://www.legis.iowa.gov/docs/iac/rule/567.102.607.pdf" Type="http://schemas.openxmlformats.org/officeDocument/2006/relationships/hyperlink" Id="rId251"/>
    <Relationship TargetMode="External" Target="https://www.legis.iowa.gov/docs/iac/rule/567.102.609.pdf" Type="http://schemas.openxmlformats.org/officeDocument/2006/relationships/hyperlink" Id="rId252"/>
    <Relationship TargetMode="External" Target="https://www.legis.iowa.gov/docs/iac/rule/567.100.10.pdf" Type="http://schemas.openxmlformats.org/officeDocument/2006/relationships/hyperlink" Id="rId253"/>
    <Relationship TargetMode="External" Target="https://www.legis.iowa.gov/docs/ico/chapter/455D.6.pdf" Type="http://schemas.openxmlformats.org/officeDocument/2006/relationships/hyperlink" Id="rId254"/>
    <Relationship TargetMode="External" Target="https://www.legis.iowa.gov/docs/iac/chapter/567.100.pdf" Type="http://schemas.openxmlformats.org/officeDocument/2006/relationships/hyperlink" Id="rId255"/>
    <Relationship TargetMode="External" Target="https://www.legis.iowa.gov/docs/ico/chapter/455B.301.pdf" Type="http://schemas.openxmlformats.org/officeDocument/2006/relationships/hyperlink" Id="rId256"/>
    <Relationship TargetMode="External" Target="https://www.legis.iowa.gov/docs/ico/chapter/455D.pdf" Type="http://schemas.openxmlformats.org/officeDocument/2006/relationships/hyperlink" Id="rId257"/>
    <Relationship TargetMode="External" Target="https://www.legis.iowa.gov/docs/iac/rule/567.102.710.pdf" Type="http://schemas.openxmlformats.org/officeDocument/2006/relationships/hyperlink" Id="rId258"/>
    <Relationship TargetMode="External" Target="https://www.legis.iowa.gov/docs/iac/rule/567.102.710.pdf" Type="http://schemas.openxmlformats.org/officeDocument/2006/relationships/hyperlink" Id="rId259"/>
    <Relationship TargetMode="External" Target="https://www.legis.iowa.gov/docs/iac/rule/567.100.4.pdf" Type="http://schemas.openxmlformats.org/officeDocument/2006/relationships/hyperlink" Id="rId260"/>
    <Relationship TargetMode="External" Target="https://www.legis.iowa.gov/docs/iac/rule/567.102.710.pdf" Type="http://schemas.openxmlformats.org/officeDocument/2006/relationships/hyperlink" Id="rId261"/>
    <Relationship TargetMode="External" Target="https://www.legis.iowa.gov/docs/iac/rule/567.100.4.pdf" Type="http://schemas.openxmlformats.org/officeDocument/2006/relationships/hyperlink" Id="rId262"/>
    <Relationship TargetMode="External" Target="https://www.legis.iowa.gov/docs/iac/rule/567.100.5.pdf" Type="http://schemas.openxmlformats.org/officeDocument/2006/relationships/hyperlink" Id="rId263"/>
    <Relationship TargetMode="External" Target="https://www.legis.iowa.gov/docs/iac/rule/567.102.707.pdf" Type="http://schemas.openxmlformats.org/officeDocument/2006/relationships/hyperlink" Id="rId264"/>
    <Relationship TargetMode="External" Target="https://www.legis.iowa.gov/docs/iac/rule/567.102.710.pdf" Type="http://schemas.openxmlformats.org/officeDocument/2006/relationships/hyperlink" Id="rId265"/>
    <Relationship TargetMode="External" Target="https://www.legis.iowa.gov/docs/ico/chapter/455D.6.pdf" Type="http://schemas.openxmlformats.org/officeDocument/2006/relationships/hyperlink" Id="rId266"/>
    <Relationship Target="footer.xml" Type="http://schemas.openxmlformats.org/officeDocument/2006/relationships/footer" Id="rId2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