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 xml:space="preserve">COMPLAINTS, AUDITS, ENFORCEMENT OPTIONS </w:t>
      </w:r>
      <w:r>
        <w:br/>
      </w:r>
      <w:r>
        <w:rPr>
          <w:rFonts w:ascii="Times New Roman" w:hAnsi="Times New Roman"/>
          <w:b w:val="false"/>
          <w:i w:val="false"/>
          <w:color w:val="000000"/>
          <w:sz w:val="21"/>
        </w:rPr>
        <w:t>AND ADMINISTRATIVE PENALTIES</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pBdr>
          <w:top w:space="10"/>
        </w:pBdr>
        <w:spacing w:before="0" w:after="0"/>
        <w:ind w:left="120"/>
        <w:jc w:val="center"/>
      </w:pPr>
      <w:r>
        <w:rPr>
          <w:rFonts w:ascii="Times New Roman" w:hAnsi="Times New Roman"/>
          <w:b w:val="false"/>
          <w:i w:val="false"/>
          <w:color w:val="000000"/>
          <w:sz w:val="16"/>
        </w:rPr>
        <w:t xml:space="preserve">DIVISION I </w:t>
      </w:r>
    </w:p>
    <w:p>
      <w:pPr>
        <w:pBdr>
          <w:bottom w:space="10"/>
        </w:pBdr>
        <w:spacing w:before="0" w:after="0"/>
        <w:ind w:left="120"/>
        <w:jc w:val="center"/>
      </w:pPr>
      <w:r>
        <w:rPr>
          <w:rFonts w:ascii="Times New Roman" w:hAnsi="Times New Roman"/>
          <w:b w:val="false"/>
          <w:i w:val="false"/>
          <w:color w:val="000000"/>
          <w:sz w:val="16"/>
        </w:rPr>
        <w:t>COMPLAINTS AND INVESTIGATIONS</w:t>
      </w:r>
    </w:p>
    <w:p>
      <w:pPr>
        <w:spacing w:before="0" w:after="0"/>
        <w:ind w:left="120"/>
        <w:jc w:val="both"/>
      </w:pPr>
      <w:r>
        <w:rPr>
          <w:rFonts w:ascii="Times New Roman" w:hAnsi="Times New Roman"/>
          <w:b/>
          <w:i w:val="false"/>
          <w:color w:val="000000"/>
          <w:sz w:val="22"/>
        </w:rPr>
        <w:t>567—10.1</w:t>
      </w:r>
      <w:r>
        <w:rPr>
          <w:rFonts w:ascii="Times New Roman" w:hAnsi="Times New Roman"/>
          <w:b/>
          <w:i w:val="false"/>
          <w:color w:val="000000"/>
          <w:sz w:val="22"/>
        </w:rPr>
        <w:t xml:space="preserve">(455B) </w:t>
      </w:r>
      <w:r>
        <w:rPr>
          <w:rFonts w:ascii="Times New Roman" w:hAnsi="Times New Roman"/>
          <w:b/>
          <w:i w:val="false"/>
          <w:color w:val="000000"/>
          <w:sz w:val="22"/>
        </w:rPr>
        <w:t xml:space="preserve">Complaints and investigations. </w:t>
      </w:r>
      <w:r>
        <w:rPr>
          <w:rFonts w:ascii="Times New Roman" w:hAnsi="Times New Roman"/>
          <w:b w:val="false"/>
          <w:i w:val="false"/>
          <w:color w:val="000000"/>
          <w:sz w:val="22"/>
        </w:rPr>
        <w:t>The process to submit a complaint and to investigate a complaint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color w:val="000000"/>
          <w:sz w:val="22"/>
        </w:rPr>
        <w:t xml:space="preserve">Submission requirements and investigations. </w:t>
      </w:r>
      <w:r>
        <w:rPr>
          <w:rFonts w:ascii="Times New Roman" w:hAnsi="Times New Roman"/>
          <w:b w:val="false"/>
          <w:i w:val="false"/>
          <w:color w:val="000000"/>
          <w:sz w:val="22"/>
        </w:rPr>
        <w:t>Complaints concerning alleged violations of departmental statutes or rules should be submitted to the appropriate department office, and the nature of the complaint must be summarized in a concise manner. Complaints will be investigated by the department if it appears that an investigation is needed to ensure compliance with applicable departmental statutes or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color w:val="000000"/>
          <w:sz w:val="22"/>
        </w:rPr>
        <w:t xml:space="preserve">Known source of complaints. </w:t>
      </w:r>
      <w:r>
        <w:rPr>
          <w:rFonts w:ascii="Times New Roman" w:hAnsi="Times New Roman"/>
          <w:b w:val="false"/>
          <w:i w:val="false"/>
          <w:color w:val="000000"/>
          <w:sz w:val="22"/>
        </w:rPr>
        <w:t>In the case of a known complainant, the appropriate department office shall notify the complainant of the investigation results or of its decision not to investigate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w:t>
      </w:r>
      <w:r>
        <w:rPr>
          <w:rFonts w:ascii="Times New Roman" w:hAnsi="Times New Roman"/>
          <w:b w:val="false"/>
          <w:i w:val="false"/>
          <w:color w:val="000000"/>
          <w:sz w:val="22"/>
        </w:rPr>
        <w:t> </w:t>
      </w:r>
      <w:r>
        <w:rPr>
          <w:rFonts w:ascii="Times New Roman" w:hAnsi="Times New Roman"/>
          <w:b w:val="false"/>
          <w:i/>
          <w:color w:val="000000"/>
          <w:sz w:val="22"/>
        </w:rPr>
        <w:t xml:space="preserve">Anonymous complaints. </w:t>
      </w:r>
      <w:r>
        <w:rPr>
          <w:rFonts w:ascii="Times New Roman" w:hAnsi="Times New Roman"/>
          <w:b w:val="false"/>
          <w:i w:val="false"/>
          <w:color w:val="000000"/>
          <w:sz w:val="22"/>
        </w:rPr>
        <w:t>Complaints may be submitted by anonymous sources and will be handled as discretionary investigations. In these cases, the department will not be able to notify the complainants of the results of the investigations.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455B.105(3)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17A.3(1)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567—10.2</w:t>
      </w:r>
      <w:r>
        <w:rPr>
          <w:rFonts w:ascii="Times New Roman" w:hAnsi="Times New Roman"/>
          <w:b w:val="false"/>
          <w:i w:val="false"/>
          <w:color w:val="000000"/>
          <w:sz w:val="22"/>
        </w:rPr>
        <w:t xml:space="preserve"> to </w:t>
      </w:r>
      <w:r>
        <w:rPr>
          <w:rFonts w:ascii="Times New Roman" w:hAnsi="Times New Roman"/>
          <w:b/>
          <w:i w:val="false"/>
          <w:color w:val="000000"/>
          <w:sz w:val="22"/>
        </w:rPr>
        <w:t>10.9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ENVIRONMENTAL AUDITS</w:t>
      </w:r>
    </w:p>
    <w:p>
      <w:pPr>
        <w:spacing w:before="0" w:after="0"/>
        <w:ind w:left="120"/>
        <w:jc w:val="both"/>
      </w:pPr>
      <w:r>
        <w:rPr>
          <w:rFonts w:ascii="Times New Roman" w:hAnsi="Times New Roman"/>
          <w:b/>
          <w:i w:val="false"/>
          <w:color w:val="000000"/>
          <w:sz w:val="22"/>
        </w:rPr>
        <w:t>567—10.10</w:t>
      </w:r>
      <w:r>
        <w:rPr>
          <w:rFonts w:ascii="Times New Roman" w:hAnsi="Times New Roman"/>
          <w:b/>
          <w:i w:val="false"/>
          <w:color w:val="000000"/>
          <w:sz w:val="22"/>
        </w:rPr>
        <w:t xml:space="preserve">(455K) </w:t>
      </w:r>
      <w:r>
        <w:rPr>
          <w:rFonts w:ascii="Times New Roman" w:hAnsi="Times New Roman"/>
          <w:b/>
          <w:i w:val="false"/>
          <w:color w:val="000000"/>
          <w:sz w:val="22"/>
        </w:rPr>
        <w:t xml:space="preserve">Environmental audits. </w:t>
      </w:r>
      <w:r>
        <w:rPr>
          <w:rFonts w:ascii="Times New Roman" w:hAnsi="Times New Roman"/>
          <w:b w:val="false"/>
          <w:i w:val="false"/>
          <w:color w:val="000000"/>
          <w:sz w:val="22"/>
        </w:rPr>
        <w:t xml:space="preserve">This part sets forth rules governing voluntary disclosure of environmental noncompliance discovered as a result of an environmental self-audit conducted by or on behalf of a facility owner or operator under the provisions of Iowa Code chapter </w:t>
      </w:r>
      <w:hyperlink r:id="rId7">
        <w:r>
          <w:rPr>
            <w:rStyle w:val="Hyperlink"/>
            <w:rFonts w:ascii="Times New Roman" w:hAnsi="Times New Roman"/>
            <w:b w:val="false"/>
            <w:i w:val="false"/>
            <w:color w:val="000000"/>
            <w:sz w:val="22"/>
          </w:rPr>
          <w:t>455K</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567—10.11</w:t>
      </w:r>
      <w:r>
        <w:rPr>
          <w:rFonts w:ascii="Times New Roman" w:hAnsi="Times New Roman"/>
          <w:b/>
          <w:i w:val="false"/>
          <w:color w:val="000000"/>
          <w:sz w:val="22"/>
        </w:rPr>
        <w:t xml:space="preserve">(455K) </w:t>
      </w:r>
      <w:r>
        <w:rPr>
          <w:rFonts w:ascii="Times New Roman" w:hAnsi="Times New Roman"/>
          <w:b/>
          <w:i w:val="false"/>
          <w:color w:val="000000"/>
          <w:sz w:val="22"/>
        </w:rPr>
        <w:t xml:space="preserve">Notice of audit.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w:t>
      </w:r>
      <w:r>
        <w:rPr>
          <w:rFonts w:ascii="Times New Roman" w:hAnsi="Times New Roman"/>
          <w:b w:val="false"/>
          <w:i w:val="false"/>
          <w:color w:val="000000"/>
          <w:sz w:val="22"/>
        </w:rPr>
        <w:t> </w:t>
      </w:r>
      <w:r>
        <w:rPr>
          <w:rFonts w:ascii="Times New Roman" w:hAnsi="Times New Roman"/>
          <w:b w:val="false"/>
          <w:i w:val="false"/>
          <w:color w:val="000000"/>
          <w:sz w:val="22"/>
        </w:rPr>
        <w:t>If a notice of audit is provided to the department, it must be submitted in writing and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location (address and city) of the facility to be audited;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description of the facility or portion of the facility, activity, operation or management system to be audited, including applicable department permits or registration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anticipated audit initiation date (day, month, and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general scope of audit, with sufficient detail to determine if discovered violations would be included. If the scope of the audit changes before it is completed, an amended notice shall be submitted promptly;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of the persons conducting the audit;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anticipated audit completion date, not to exceed six calendar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written acknowledgment of receipt for notices of audit, which will include an assigned identification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567—10.12</w:t>
      </w:r>
      <w:r>
        <w:rPr>
          <w:rFonts w:ascii="Times New Roman" w:hAnsi="Times New Roman"/>
          <w:b/>
          <w:i w:val="false"/>
          <w:color w:val="000000"/>
          <w:sz w:val="22"/>
        </w:rPr>
        <w:t xml:space="preserve">(455K) </w:t>
      </w:r>
      <w:r>
        <w:rPr>
          <w:rFonts w:ascii="Times New Roman" w:hAnsi="Times New Roman"/>
          <w:b/>
          <w:i w:val="false"/>
          <w:color w:val="000000"/>
          <w:sz w:val="22"/>
        </w:rPr>
        <w:t xml:space="preserve">Request for extension. </w:t>
      </w:r>
      <w:r>
        <w:rPr>
          <w:rFonts w:ascii="Times New Roman" w:hAnsi="Times New Roman"/>
          <w:b w:val="false"/>
          <w:i w:val="false"/>
          <w:color w:val="000000"/>
          <w:sz w:val="22"/>
        </w:rPr>
        <w:t>If notice of audit is given to the department, the audit must be completed within a reasonable time, not to exceed six calendar months from the date the notice of audit is received by the department unless a written request for extension has been filed with and granted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w:t>
      </w:r>
      <w:r>
        <w:rPr>
          <w:rFonts w:ascii="Times New Roman" w:hAnsi="Times New Roman"/>
          <w:b w:val="false"/>
          <w:i w:val="false"/>
          <w:color w:val="000000"/>
          <w:sz w:val="22"/>
        </w:rPr>
        <w:t> </w:t>
      </w:r>
      <w:r>
        <w:rPr>
          <w:rFonts w:ascii="Times New Roman" w:hAnsi="Times New Roman"/>
          <w:b w:val="false"/>
          <w:i w:val="false"/>
          <w:color w:val="000000"/>
          <w:sz w:val="22"/>
        </w:rPr>
        <w:t>A request for extension must be filed in writing with the department at least 30 calendar days prior to expiration of the initial six-month period and provide sufficient information for the department to determine whether reasonable grounds exist to grant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10.12(2)</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written determination either granting or denying a request for extension within 15 calendar days of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567—10.13</w:t>
      </w:r>
      <w:r>
        <w:rPr>
          <w:rFonts w:ascii="Times New Roman" w:hAnsi="Times New Roman"/>
          <w:b/>
          <w:i w:val="false"/>
          <w:color w:val="000000"/>
          <w:sz w:val="22"/>
        </w:rPr>
        <w:t xml:space="preserve">(455K) </w:t>
      </w:r>
      <w:r>
        <w:rPr>
          <w:rFonts w:ascii="Times New Roman" w:hAnsi="Times New Roman"/>
          <w:b/>
          <w:i w:val="false"/>
          <w:color w:val="000000"/>
          <w:sz w:val="22"/>
        </w:rPr>
        <w:t xml:space="preserve">Disclosure of violation. </w:t>
      </w:r>
      <w:r>
        <w:rPr>
          <w:rFonts w:ascii="Times New Roman" w:hAnsi="Times New Roman"/>
          <w:b w:val="false"/>
          <w:i w:val="false"/>
          <w:color w:val="000000"/>
          <w:sz w:val="22"/>
        </w:rPr>
        <w:t xml:space="preserve">An owner or operator wishing to take advantage of the immunity provisions of Iowa Code chapter </w:t>
      </w:r>
      <w:hyperlink r:id="rId8">
        <w:r>
          <w:rPr>
            <w:rStyle w:val="Hyperlink"/>
            <w:rFonts w:ascii="Times New Roman" w:hAnsi="Times New Roman"/>
            <w:b w:val="false"/>
            <w:i w:val="false"/>
            <w:color w:val="000000"/>
            <w:sz w:val="22"/>
          </w:rPr>
          <w:t>455K</w:t>
        </w:r>
      </w:hyperlink>
      <w:r>
        <w:rPr>
          <w:rFonts w:ascii="Times New Roman" w:hAnsi="Times New Roman"/>
          <w:b w:val="false"/>
          <w:i w:val="false"/>
          <w:color w:val="000000"/>
          <w:sz w:val="22"/>
        </w:rPr>
        <w:t xml:space="preserve"> must make a prompt voluntary disclosure to the department regarding an environmental violation which is discovered through an environmental audit.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10.13(1)</w:t>
      </w:r>
      <w:r>
        <w:rPr>
          <w:rFonts w:ascii="Times New Roman" w:hAnsi="Times New Roman"/>
          <w:b w:val="false"/>
          <w:i w:val="false"/>
          <w:color w:val="000000"/>
          <w:sz w:val="22"/>
        </w:rPr>
        <w:t> </w:t>
      </w:r>
      <w:r>
        <w:rPr>
          <w:rFonts w:ascii="Times New Roman" w:hAnsi="Times New Roman"/>
          <w:b w:val="false"/>
          <w:i w:val="false"/>
          <w:color w:val="000000"/>
          <w:sz w:val="22"/>
        </w:rPr>
        <w:t>A disclosure of violation must be sent to the department in writing and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Reference to the date of the relevant notice of audit and assigned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 of initiation and completion of the audit,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names of the person or persons conducting the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Affirmative assertion that a violation has been discovered;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Description of the violation and reason for believing a violation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Date of discovery of the violation and interim measures, if applicable, to abate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Duration of the violation if it can be determined;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status and schedule of proposed final corrective measures,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written acknowledgement of receipt of a disclosure of violation, which will include either concurrence or rejection of the proposed final corrective measures and schedule.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567—10.14</w:t>
      </w:r>
      <w:r>
        <w:rPr>
          <w:rFonts w:ascii="Times New Roman" w:hAnsi="Times New Roman"/>
          <w:b/>
          <w:i w:val="false"/>
          <w:color w:val="000000"/>
          <w:sz w:val="22"/>
        </w:rPr>
        <w:t xml:space="preserve">(455K) </w:t>
      </w:r>
      <w:r>
        <w:rPr>
          <w:rFonts w:ascii="Times New Roman" w:hAnsi="Times New Roman"/>
          <w:b/>
          <w:i w:val="false"/>
          <w:color w:val="000000"/>
          <w:sz w:val="22"/>
        </w:rPr>
        <w:t xml:space="preserve">Public information. </w:t>
      </w:r>
      <w:r>
        <w:rPr>
          <w:rFonts w:ascii="Times New Roman" w:hAnsi="Times New Roman"/>
          <w:b w:val="false"/>
          <w:i w:val="false"/>
          <w:color w:val="000000"/>
          <w:sz w:val="22"/>
        </w:rPr>
        <w:t>A notice of audit, request for extension, and disclosure of violation documents are considered public information. Copies of the environmental audit report should not be submitted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455K</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567—10.15</w:t>
      </w:r>
      <w:r>
        <w:rPr>
          <w:rFonts w:ascii="Times New Roman" w:hAnsi="Times New Roman"/>
          <w:b w:val="false"/>
          <w:i w:val="false"/>
          <w:color w:val="000000"/>
          <w:sz w:val="22"/>
        </w:rPr>
        <w:t xml:space="preserve"> to </w:t>
      </w:r>
      <w:r>
        <w:rPr>
          <w:rFonts w:ascii="Times New Roman" w:hAnsi="Times New Roman"/>
          <w:b/>
          <w:i w:val="false"/>
          <w:color w:val="000000"/>
          <w:sz w:val="22"/>
        </w:rPr>
        <w:t>10.19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 xml:space="preserve">DIVISION III </w:t>
      </w:r>
    </w:p>
    <w:p>
      <w:pPr>
        <w:pBdr>
          <w:bottom w:space="10"/>
        </w:pBdr>
        <w:spacing w:before="0" w:after="0"/>
        <w:ind w:left="120"/>
        <w:jc w:val="center"/>
      </w:pPr>
      <w:r>
        <w:rPr>
          <w:rFonts w:ascii="Times New Roman" w:hAnsi="Times New Roman"/>
          <w:b w:val="false"/>
          <w:i w:val="false"/>
          <w:color w:val="000000"/>
          <w:sz w:val="16"/>
        </w:rPr>
        <w:t>ENFORCEMENT OPTIONS</w:t>
      </w:r>
    </w:p>
    <w:p>
      <w:pPr>
        <w:spacing w:before="0" w:after="0"/>
        <w:ind w:left="120"/>
        <w:jc w:val="both"/>
      </w:pPr>
      <w:r>
        <w:rPr>
          <w:rFonts w:ascii="Times New Roman" w:hAnsi="Times New Roman"/>
          <w:b/>
          <w:i w:val="false"/>
          <w:color w:val="000000"/>
          <w:sz w:val="22"/>
        </w:rPr>
        <w:t>567—10.20</w:t>
      </w:r>
      <w:r>
        <w:rPr>
          <w:rFonts w:ascii="Times New Roman" w:hAnsi="Times New Roman"/>
          <w:b/>
          <w:i w:val="false"/>
          <w:color w:val="000000"/>
          <w:sz w:val="22"/>
        </w:rPr>
        <w:t xml:space="preserve">(455B) </w:t>
      </w:r>
      <w:r>
        <w:rPr>
          <w:rFonts w:ascii="Times New Roman" w:hAnsi="Times New Roman"/>
          <w:b/>
          <w:i w:val="false"/>
          <w:color w:val="000000"/>
          <w:sz w:val="22"/>
        </w:rPr>
        <w:t xml:space="preserve">Enforcement options. </w:t>
      </w:r>
      <w:r>
        <w:rPr>
          <w:rFonts w:ascii="Times New Roman" w:hAnsi="Times New Roman"/>
          <w:b w:val="false"/>
          <w:i w:val="false"/>
          <w:color w:val="000000"/>
          <w:sz w:val="22"/>
        </w:rPr>
        <w:t>In addition to administrative and civil actions for monetary penalty, the following enforcement options are available to the department to obtain information and seek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10.20(1)</w:t>
      </w:r>
      <w:r>
        <w:rPr>
          <w:rFonts w:ascii="Times New Roman" w:hAnsi="Times New Roman"/>
          <w:b w:val="false"/>
          <w:i w:val="false"/>
          <w:color w:val="000000"/>
          <w:sz w:val="22"/>
        </w:rPr>
        <w:t> </w:t>
      </w:r>
      <w:r>
        <w:rPr>
          <w:rFonts w:ascii="Times New Roman" w:hAnsi="Times New Roman"/>
          <w:b w:val="false"/>
          <w:i/>
          <w:color w:val="000000"/>
          <w:sz w:val="22"/>
        </w:rPr>
        <w:t xml:space="preserve">Informal meeting. </w:t>
      </w:r>
      <w:r>
        <w:rPr>
          <w:rFonts w:ascii="Times New Roman" w:hAnsi="Times New Roman"/>
          <w:b w:val="false"/>
          <w:i w:val="false"/>
          <w:color w:val="000000"/>
          <w:sz w:val="22"/>
        </w:rPr>
        <w:t>Department staff may attempt to resolve a potential violation or obtain additional information with an informal meeting. The discussion will usually focus on corrective actions to be taken, and in most instances, only department staff and the facility representative will be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10.20(2)</w:t>
      </w:r>
      <w:r>
        <w:rPr>
          <w:rFonts w:ascii="Times New Roman" w:hAnsi="Times New Roman"/>
          <w:b w:val="false"/>
          <w:i w:val="false"/>
          <w:color w:val="000000"/>
          <w:sz w:val="22"/>
        </w:rPr>
        <w:t> </w:t>
      </w:r>
      <w:r>
        <w:rPr>
          <w:rFonts w:ascii="Times New Roman" w:hAnsi="Times New Roman"/>
          <w:b w:val="false"/>
          <w:i/>
          <w:color w:val="000000"/>
          <w:sz w:val="22"/>
        </w:rPr>
        <w:t xml:space="preserve">Letter of inquiry (LOI). </w:t>
      </w:r>
      <w:r>
        <w:rPr>
          <w:rFonts w:ascii="Times New Roman" w:hAnsi="Times New Roman"/>
          <w:b w:val="false"/>
          <w:i w:val="false"/>
          <w:color w:val="000000"/>
          <w:sz w:val="22"/>
        </w:rPr>
        <w:t>The purpose of an LOI is to allow the regulated entity the opportunity to provide information that would be helpful for a determination of whether a violation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10.20(3)</w:t>
      </w:r>
      <w:r>
        <w:rPr>
          <w:rFonts w:ascii="Times New Roman" w:hAnsi="Times New Roman"/>
          <w:b w:val="false"/>
          <w:i w:val="false"/>
          <w:color w:val="000000"/>
          <w:sz w:val="22"/>
        </w:rPr>
        <w:t> </w:t>
      </w:r>
      <w:r>
        <w:rPr>
          <w:rFonts w:ascii="Times New Roman" w:hAnsi="Times New Roman"/>
          <w:b w:val="false"/>
          <w:i/>
          <w:color w:val="000000"/>
          <w:sz w:val="22"/>
        </w:rPr>
        <w:t xml:space="preserve">Letter of noncompliance (LNC). </w:t>
      </w:r>
      <w:r>
        <w:rPr>
          <w:rFonts w:ascii="Times New Roman" w:hAnsi="Times New Roman"/>
          <w:b w:val="false"/>
          <w:i w:val="false"/>
          <w:color w:val="000000"/>
          <w:sz w:val="22"/>
        </w:rPr>
        <w:t>An LNC may be used when no environmental harm or threat to human health or safety has occurred or is imminent, the regulated entity is not a repeat offender, the corrective action is not deemed an emergency, or the violation is considered insignificant. The letter is intended to provide the regulated entity with an opportunity to correct the identified deficiencies prior to further enforcement activity. In an LNC, the department may suggest remedial measures, set a date for returning to compliance, or request a response from the regulated entity within a specific time period as to how the identified problems will be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10.20(4)</w:t>
      </w:r>
      <w:r>
        <w:rPr>
          <w:rFonts w:ascii="Times New Roman" w:hAnsi="Times New Roman"/>
          <w:b w:val="false"/>
          <w:i w:val="false"/>
          <w:color w:val="000000"/>
          <w:sz w:val="22"/>
        </w:rPr>
        <w:t> </w:t>
      </w:r>
      <w:r>
        <w:rPr>
          <w:rFonts w:ascii="Times New Roman" w:hAnsi="Times New Roman"/>
          <w:b w:val="false"/>
          <w:i/>
          <w:color w:val="000000"/>
          <w:sz w:val="22"/>
        </w:rPr>
        <w:t xml:space="preserve">Notice of violation (NOV). </w:t>
      </w:r>
      <w:r>
        <w:rPr>
          <w:rFonts w:ascii="Times New Roman" w:hAnsi="Times New Roman"/>
          <w:b w:val="false"/>
          <w:i w:val="false"/>
          <w:color w:val="000000"/>
          <w:sz w:val="22"/>
        </w:rPr>
        <w:t>When the other compliance and enforcement activities described in this division are not appropriate for a violation, or when the regulated entity has not returned to compliance, the department may issue an NOV. An NOV may be used when environmental harm or a threat to human health or safety has occurred or is imminent, a regulated entity is a repeat offender, a corrective action is deemed an emergency, or a violation is considered significant. An NOV identifies the nature of the violation and any required corrective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567—10.21</w:t>
      </w:r>
      <w:r>
        <w:rPr>
          <w:rFonts w:ascii="Times New Roman" w:hAnsi="Times New Roman"/>
          <w:b/>
          <w:i w:val="false"/>
          <w:color w:val="000000"/>
          <w:sz w:val="22"/>
        </w:rPr>
        <w:t xml:space="preserve">(455B) </w:t>
      </w:r>
      <w:r>
        <w:rPr>
          <w:rFonts w:ascii="Times New Roman" w:hAnsi="Times New Roman"/>
          <w:b/>
          <w:i w:val="false"/>
          <w:color w:val="000000"/>
          <w:sz w:val="22"/>
        </w:rPr>
        <w:t xml:space="preserve">Options to respond. </w:t>
      </w:r>
      <w:r>
        <w:rPr>
          <w:rFonts w:ascii="Times New Roman" w:hAnsi="Times New Roman"/>
          <w:b w:val="false"/>
          <w:i w:val="false"/>
          <w:color w:val="000000"/>
          <w:sz w:val="22"/>
        </w:rPr>
        <w:t xml:space="preserve">Upon receiving an LOI, LNC, or NOV, a regulated entity has the option to respond to the department, even if a response is not specifically requested. In responding to an LNC or NOV, the regulated entity should clearly outline any disagreements with the LNC or NOV, provide any pertinent additional information, describe any current or planned corrective action, and provide a schedule for returning to compliance. The department will review written information submitted in response to the compliance and enforcement procedures described in this part and will include this information in the file of record. Nothing in this chapter adds to or takes away from the appeal rights provided in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567—10.22</w:t>
      </w:r>
      <w:r>
        <w:rPr>
          <w:rFonts w:ascii="Times New Roman" w:hAnsi="Times New Roman"/>
          <w:b/>
          <w:i w:val="false"/>
          <w:color w:val="000000"/>
          <w:sz w:val="22"/>
        </w:rPr>
        <w:t xml:space="preserve">(455B) </w:t>
      </w:r>
      <w:r>
        <w:rPr>
          <w:rFonts w:ascii="Times New Roman" w:hAnsi="Times New Roman"/>
          <w:b/>
          <w:i w:val="false"/>
          <w:color w:val="000000"/>
          <w:sz w:val="22"/>
        </w:rPr>
        <w:t xml:space="preserve">Department discretion. </w:t>
      </w:r>
      <w:r>
        <w:rPr>
          <w:rFonts w:ascii="Times New Roman" w:hAnsi="Times New Roman"/>
          <w:b w:val="false"/>
          <w:i w:val="false"/>
          <w:color w:val="000000"/>
          <w:sz w:val="22"/>
        </w:rPr>
        <w:t>At the department’s sole discretion, the department may follow the compliance and enforcement procedures described in this part, commence with an LNC or NOV, or forego these options and commence with an administrative action, or the department may request referral to the attorney general.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455B.105(3)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17A.3(1)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567—10.23</w:t>
      </w:r>
      <w:r>
        <w:rPr>
          <w:rFonts w:ascii="Times New Roman" w:hAnsi="Times New Roman"/>
          <w:b w:val="false"/>
          <w:i w:val="false"/>
          <w:color w:val="000000"/>
          <w:sz w:val="22"/>
        </w:rPr>
        <w:t xml:space="preserve"> to </w:t>
      </w:r>
      <w:r>
        <w:rPr>
          <w:rFonts w:ascii="Times New Roman" w:hAnsi="Times New Roman"/>
          <w:b/>
          <w:i w:val="false"/>
          <w:color w:val="000000"/>
          <w:sz w:val="22"/>
        </w:rPr>
        <w:t>10.29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ADMINISTRATIVE PENALTIES</w:t>
      </w:r>
    </w:p>
    <w:p>
      <w:pPr>
        <w:spacing w:before="0" w:after="0"/>
        <w:ind w:left="120"/>
        <w:jc w:val="both"/>
      </w:pPr>
      <w:r>
        <w:rPr>
          <w:rFonts w:ascii="Times New Roman" w:hAnsi="Times New Roman"/>
          <w:b/>
          <w:i w:val="false"/>
          <w:color w:val="000000"/>
          <w:sz w:val="22"/>
        </w:rPr>
        <w:t>567—10.30</w:t>
      </w:r>
      <w:r>
        <w:rPr>
          <w:rFonts w:ascii="Times New Roman" w:hAnsi="Times New Roman"/>
          <w:b/>
          <w:i w:val="false"/>
          <w:color w:val="000000"/>
          <w:sz w:val="22"/>
        </w:rPr>
        <w:t xml:space="preserve">(455B) </w:t>
      </w:r>
      <w:r>
        <w:rPr>
          <w:rFonts w:ascii="Times New Roman" w:hAnsi="Times New Roman"/>
          <w:b/>
          <w:i w:val="false"/>
          <w:color w:val="000000"/>
          <w:sz w:val="22"/>
        </w:rPr>
        <w:t xml:space="preserve">Criteria for screening and assessing administrative penalties. </w:t>
      </w:r>
      <w:r>
        <w:rPr>
          <w:rFonts w:ascii="Times New Roman" w:hAnsi="Times New Roman"/>
          <w:b w:val="false"/>
          <w:i w:val="false"/>
          <w:color w:val="000000"/>
          <w:sz w:val="22"/>
        </w:rPr>
        <w:t>All formal enforcement actions are processed through the environmental protection division administrator of the department. The administrator shall screen each case to determine the most equitable and efficient means of redressing and abating a violation. In screening a violation to determine which cases may be appropriate for administrative assessment of penalties or for purposes of assessing administrative penalties, the department will consider among other relevant factors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10.30(1)</w:t>
      </w:r>
      <w:r>
        <w:rPr>
          <w:rFonts w:ascii="Times New Roman" w:hAnsi="Times New Roman"/>
          <w:b w:val="false"/>
          <w:i w:val="false"/>
          <w:color w:val="000000"/>
          <w:sz w:val="22"/>
        </w:rPr>
        <w:t> </w:t>
      </w:r>
      <w:r>
        <w:rPr>
          <w:rFonts w:ascii="Times New Roman" w:hAnsi="Times New Roman"/>
          <w:b w:val="false"/>
          <w:i/>
          <w:color w:val="000000"/>
          <w:sz w:val="22"/>
        </w:rPr>
        <w:t xml:space="preserve">Economic benefit. </w:t>
      </w:r>
      <w:r>
        <w:rPr>
          <w:rFonts w:ascii="Times New Roman" w:hAnsi="Times New Roman"/>
          <w:b w:val="false"/>
          <w:i w:val="false"/>
          <w:color w:val="000000"/>
          <w:sz w:val="22"/>
        </w:rPr>
        <w:t>Costs saved or likely to be saved by a violator’s noncompliance. Where a violator realizes an economic benefit through the violation or by not taking timely compliance or corrective measures, the department shall take enforcement action which includes penalties to offset the economic benefit. Reasonable estimates of economic benefit should be made where clear data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10.30(2)</w:t>
      </w:r>
      <w:r>
        <w:rPr>
          <w:rFonts w:ascii="Times New Roman" w:hAnsi="Times New Roman"/>
          <w:b w:val="false"/>
          <w:i w:val="false"/>
          <w:color w:val="000000"/>
          <w:sz w:val="22"/>
        </w:rPr>
        <w:t> </w:t>
      </w:r>
      <w:r>
        <w:rPr>
          <w:rFonts w:ascii="Times New Roman" w:hAnsi="Times New Roman"/>
          <w:b w:val="false"/>
          <w:i/>
          <w:color w:val="000000"/>
          <w:sz w:val="22"/>
        </w:rPr>
        <w:t xml:space="preserve">Gravity of the violation. </w:t>
      </w:r>
      <w:r>
        <w:rPr>
          <w:rFonts w:ascii="Times New Roman" w:hAnsi="Times New Roman"/>
          <w:b w:val="false"/>
          <w:i w:val="false"/>
          <w:color w:val="000000"/>
          <w:sz w:val="22"/>
        </w:rPr>
        <w:t>Factors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actual or threatened harm to the environment or public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Involvement of toxic or hazardous substances or potential long-term effects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degree to which ambient or source-specific standards are exceeded, where pertinent.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Federal program priorities, size of facility, or other pertinent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repeated or whether it violates an administrative or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type of violation threatens the integrity of a regulatory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Expenses or efforts by the government in detecting, documenting, or responding to a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10.30(3)</w:t>
      </w:r>
      <w:r>
        <w:rPr>
          <w:rFonts w:ascii="Times New Roman" w:hAnsi="Times New Roman"/>
          <w:b w:val="false"/>
          <w:i w:val="false"/>
          <w:color w:val="000000"/>
          <w:sz w:val="22"/>
        </w:rPr>
        <w:t> </w:t>
      </w:r>
      <w:r>
        <w:rPr>
          <w:rFonts w:ascii="Times New Roman" w:hAnsi="Times New Roman"/>
          <w:b w:val="false"/>
          <w:i/>
          <w:color w:val="000000"/>
          <w:sz w:val="22"/>
        </w:rPr>
        <w:t xml:space="preserve">Culpability. </w:t>
      </w:r>
      <w:r>
        <w:rPr>
          <w:rFonts w:ascii="Times New Roman" w:hAnsi="Times New Roman"/>
          <w:b w:val="false"/>
          <w:i w:val="false"/>
          <w:color w:val="000000"/>
          <w:sz w:val="22"/>
        </w:rPr>
        <w:t>Factors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degree of intent or negligence. The standard of care required by the laws of the state of Iowa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case involves false reporting of required information, or tampering with monitoring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violator has taken remedial measures or mitigated the harm caused by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10.30(4)</w:t>
      </w:r>
      <w:r>
        <w:rPr>
          <w:rFonts w:ascii="Times New Roman" w:hAnsi="Times New Roman"/>
          <w:b w:val="false"/>
          <w:i w:val="false"/>
          <w:color w:val="000000"/>
          <w:sz w:val="22"/>
        </w:rPr>
        <w:t> </w:t>
      </w:r>
      <w:r>
        <w:rPr>
          <w:rFonts w:ascii="Times New Roman" w:hAnsi="Times New Roman"/>
          <w:b w:val="false"/>
          <w:i/>
          <w:color w:val="000000"/>
          <w:sz w:val="22"/>
        </w:rPr>
        <w:t xml:space="preserve">Deterrent. </w:t>
      </w:r>
      <w:r>
        <w:rPr>
          <w:rFonts w:ascii="Times New Roman" w:hAnsi="Times New Roman"/>
          <w:b w:val="false"/>
          <w:i w:val="false"/>
          <w:color w:val="000000"/>
          <w:sz w:val="22"/>
        </w:rPr>
        <w:t>Whether the assessment of administrative penalties appears to be the only or most appropriate way to deter future violations, either by the person involved or by others similarly situated.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10.30(5)</w:t>
      </w:r>
      <w:r>
        <w:rPr>
          <w:rFonts w:ascii="Times New Roman" w:hAnsi="Times New Roman"/>
          <w:b w:val="false"/>
          <w:i w:val="false"/>
          <w:color w:val="000000"/>
          <w:sz w:val="22"/>
        </w:rPr>
        <w:t> </w:t>
      </w:r>
      <w:r>
        <w:rPr>
          <w:rFonts w:ascii="Times New Roman" w:hAnsi="Times New Roman"/>
          <w:b w:val="false"/>
          <w:i/>
          <w:color w:val="000000"/>
          <w:sz w:val="22"/>
        </w:rPr>
        <w:t xml:space="preserve">Other relevant factors. </w:t>
      </w:r>
      <w:r>
        <w:rPr>
          <w:rFonts w:ascii="Times New Roman" w:hAnsi="Times New Roman"/>
          <w:b w:val="false"/>
          <w:i w:val="false"/>
          <w:color w:val="000000"/>
          <w:sz w:val="22"/>
        </w:rPr>
        <w:t>The department will consider other relevant factors which arise from the circumstances of each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10.30(6)</w:t>
      </w:r>
      <w:r>
        <w:rPr>
          <w:rFonts w:ascii="Times New Roman" w:hAnsi="Times New Roman"/>
          <w:b w:val="false"/>
          <w:i w:val="false"/>
          <w:color w:val="000000"/>
          <w:sz w:val="22"/>
        </w:rPr>
        <w:t> </w:t>
      </w:r>
      <w:r>
        <w:rPr>
          <w:rFonts w:ascii="Times New Roman" w:hAnsi="Times New Roman"/>
          <w:b w:val="false"/>
          <w:i/>
          <w:color w:val="000000"/>
          <w:sz w:val="22"/>
        </w:rPr>
        <w:t xml:space="preserve">Department discretion. </w:t>
      </w:r>
      <w:r>
        <w:rPr>
          <w:rFonts w:ascii="Times New Roman" w:hAnsi="Times New Roman"/>
          <w:b w:val="false"/>
          <w:i w:val="false"/>
          <w:color w:val="000000"/>
          <w:sz w:val="22"/>
        </w:rPr>
        <w:t>This screening procedure shall not limit the discretion of the department to refer any case to the attorney general for legal action, nor does this procedure require the commission or the director to pursue an administrative remedy before seeking a remedy in the courts of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567—10.31</w:t>
      </w:r>
      <w:r>
        <w:rPr>
          <w:rFonts w:ascii="Times New Roman" w:hAnsi="Times New Roman"/>
          <w:b/>
          <w:i w:val="false"/>
          <w:color w:val="000000"/>
          <w:sz w:val="22"/>
        </w:rPr>
        <w:t xml:space="preserve">(455B) </w:t>
      </w:r>
      <w:r>
        <w:rPr>
          <w:rFonts w:ascii="Times New Roman" w:hAnsi="Times New Roman"/>
          <w:b/>
          <w:i w:val="false"/>
          <w:color w:val="000000"/>
          <w:sz w:val="22"/>
        </w:rPr>
        <w:t xml:space="preserve">Assessment of administrative penalties. </w:t>
      </w:r>
      <w:r>
        <w:rPr>
          <w:rFonts w:ascii="Times New Roman" w:hAnsi="Times New Roman"/>
          <w:b w:val="false"/>
          <w:i w:val="false"/>
          <w:color w:val="000000"/>
          <w:sz w:val="22"/>
        </w:rPr>
        <w:t>Except for operator discipline, administrative penalties shall be assessed through issuance of an administrative order or an administrative consent order of the director which recites the facts and the legal requirements which have been violated, and a general rationale for the prescribed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10.31(1)</w:t>
      </w:r>
      <w:r>
        <w:rPr>
          <w:rFonts w:ascii="Times New Roman" w:hAnsi="Times New Roman"/>
          <w:b w:val="false"/>
          <w:i w:val="false"/>
          <w:color w:val="000000"/>
          <w:sz w:val="22"/>
        </w:rPr>
        <w:t> </w:t>
      </w:r>
      <w:r>
        <w:rPr>
          <w:rFonts w:ascii="Times New Roman" w:hAnsi="Times New Roman"/>
          <w:b w:val="false"/>
          <w:i/>
          <w:color w:val="000000"/>
          <w:sz w:val="22"/>
        </w:rPr>
        <w:t xml:space="preserve">Administrative order or administrative consent order. </w:t>
      </w:r>
      <w:r>
        <w:rPr>
          <w:rFonts w:ascii="Times New Roman" w:hAnsi="Times New Roman"/>
          <w:b w:val="false"/>
          <w:i w:val="false"/>
          <w:color w:val="000000"/>
          <w:sz w:val="22"/>
        </w:rPr>
        <w:t xml:space="preserve">An administrative order or administrative consent order may include cumulative penalties up to $10,000 for multiple violations and may be combined with any other order authorized by statute for mandatory or prohibitory injunctive conditions. The administrative order is subject to contested case and appellate review. Operator discipline is governed by </w:t>
      </w:r>
      <w:hyperlink r:id="rId13">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amount. </w:t>
      </w:r>
      <w:r>
        <w:rPr>
          <w:rFonts w:ascii="Times New Roman" w:hAnsi="Times New Roman"/>
          <w:b w:val="false"/>
          <w:i w:val="false"/>
          <w:color w:val="000000"/>
          <w:sz w:val="22"/>
        </w:rPr>
        <w:t xml:space="preserve">The amount of penalty for each day of violation shall be determined from evaluation of the factors outlined in rule </w:t>
      </w:r>
      <w:hyperlink r:id="rId14">
        <w:r>
          <w:rPr>
            <w:rStyle w:val="Hyperlink"/>
            <w:rFonts w:ascii="Times New Roman" w:hAnsi="Times New Roman"/>
            <w:b w:val="false"/>
            <w:i w:val="false"/>
            <w:color w:val="000000"/>
            <w:sz w:val="22"/>
          </w:rPr>
          <w:t>567—10.30</w:t>
        </w:r>
      </w:hyperlink>
      <w:r>
        <w:rPr>
          <w:rFonts w:ascii="Times New Roman" w:hAnsi="Times New Roman"/>
          <w:b w:val="false"/>
          <w:i w:val="false"/>
          <w:color w:val="000000"/>
          <w:sz w:val="22"/>
        </w:rPr>
        <w:t>(455B). The actual or reasonably estimated economic benefit shall always be assessed.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455B.109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7/12/85, Notice 5/8/85—published 7/31/85, effective 9/4/85]</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8/28/92, Notice 7/8/92—published 9/16/92, effective 10/21/92]</w:t>
      </w:r>
    </w:p>
    <w:p>
      <w:pPr>
        <w:spacing w:before="0" w:after="0"/>
        <w:ind w:left="120"/>
        <w:jc w:val="center"/>
      </w:pPr>
      <w:r>
        <w:rPr>
          <w:rFonts w:ascii="Times New Roman" w:hAnsi="Times New Roman"/>
          <w:b w:val="false"/>
          <w:i w:val="false"/>
          <w:color w:val="000000"/>
          <w:sz w:val="21"/>
        </w:rPr>
        <w:t>[Filed ARC 7943C</w:t>
      </w:r>
      <w:r>
        <w:rPr>
          <w:rFonts w:ascii="Times New Roman" w:hAnsi="Times New Roman"/>
          <w:b w:val="false"/>
          <w:i w:val="false"/>
          <w:color w:val="000000"/>
          <w:sz w:val="21"/>
        </w:rPr>
        <w:t xml:space="preserve"> (Notice ARC 7206C, IAB 12/27/23)</w:t>
      </w:r>
      <w:r>
        <w:rPr>
          <w:rFonts w:ascii="Times New Roman" w:hAnsi="Times New Roman"/>
          <w:b w:val="false"/>
          <w:i w:val="false"/>
          <w:color w:val="000000"/>
          <w:sz w:val="21"/>
        </w:rPr>
        <w:t>, IAB 5/15/24, effective 6/19/24]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105.pdf" Type="http://schemas.openxmlformats.org/officeDocument/2006/relationships/hyperlink" Id="rId5"/>
    <Relationship TargetMode="External" Target="https://www.legis.iowa.gov/docs/ico/chapter/17A.3.pdf" Type="http://schemas.openxmlformats.org/officeDocument/2006/relationships/hyperlink" Id="rId6"/>
    <Relationship TargetMode="External" Target="https://www.legis.iowa.gov/docs/ico/chapter/455K.pdf" Type="http://schemas.openxmlformats.org/officeDocument/2006/relationships/hyperlink" Id="rId7"/>
    <Relationship TargetMode="External" Target="https://www.legis.iowa.gov/docs/ico/chapter/455K.pdf" Type="http://schemas.openxmlformats.org/officeDocument/2006/relationships/hyperlink" Id="rId8"/>
    <Relationship TargetMode="External" Target="https://www.legis.iowa.gov/docs/ico/chapter/455K.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455B.105.pdf" Type="http://schemas.openxmlformats.org/officeDocument/2006/relationships/hyperlink" Id="rId11"/>
    <Relationship TargetMode="External" Target="https://www.legis.iowa.gov/docs/ico/chapter/17A.3.pdf" Type="http://schemas.openxmlformats.org/officeDocument/2006/relationships/hyperlink" Id="rId12"/>
    <Relationship TargetMode="External" Target="https://www.legis.iowa.gov/docs/iac/chapter/567.81.pdf" Type="http://schemas.openxmlformats.org/officeDocument/2006/relationships/hyperlink" Id="rId13"/>
    <Relationship TargetMode="External" Target="https://www.legis.iowa.gov/docs/iac/rule/567.10.30.pdf" Type="http://schemas.openxmlformats.org/officeDocument/2006/relationships/hyperlink" Id="rId14"/>
    <Relationship TargetMode="External" Target="https://www.legis.iowa.gov/docs/ico/chapter/455B.109.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