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GROUNDWATER HAZARD DOCUMENTATION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561—9.1</w:t>
      </w:r>
      <w:r>
        <w:rPr>
          <w:rFonts w:ascii="Times New Roman" w:hAnsi="Times New Roman"/>
          <w:b/>
          <w:i w:val="false"/>
          <w:color w:val="000000"/>
          <w:sz w:val="22"/>
        </w:rPr>
        <w:t xml:space="preserve">(558) </w:t>
      </w:r>
      <w:r>
        <w:rPr>
          <w:rFonts w:ascii="Times New Roman" w:hAnsi="Times New Roman"/>
          <w:b/>
          <w:i w:val="false"/>
          <w:color w:val="000000"/>
          <w:sz w:val="22"/>
        </w:rPr>
        <w:t xml:space="preserve">Authority, purpose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 xml:space="preserve"> directs the department to adopt rules regarding a statement to be submitted to county recorders when they record instruments transferring real property. The statement must disclose the existence and location of wells, disposal sites, underground storage tanks, and hazardous wastes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These rules provide the necessary forms, instructions, and explanation of this requirement. The statute’s purpose is to give real property transferees notice of the condition of any wells, disposal sites, underground storage tanks, hazardous waste disposal, and private burial sites existing on the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apply to all persons, corporations, and other legal entities who are transferors or transferees of real property within the state of Iowa and all county recorders who are called upon to record instruments transferring real property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When groundwater hazard statement is required. </w:t>
      </w:r>
      <w:r>
        <w:rPr>
          <w:rFonts w:ascii="Times New Roman" w:hAnsi="Times New Roman"/>
          <w:b w:val="false"/>
          <w:i w:val="false"/>
          <w:color w:val="000000"/>
          <w:sz w:val="22"/>
        </w:rPr>
        <w:t xml:space="preserve">A groundwater hazard statement shall be presented to the county recorder along with the real estate transaction documents only when required by Iowa Code section </w:t>
      </w:r>
      <w:hyperlink r:id="rId6">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 xml:space="preserve"> or when otherwise required by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9435C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561—9.2</w:t>
      </w:r>
      <w:r>
        <w:rPr>
          <w:rFonts w:ascii="Times New Roman" w:hAnsi="Times New Roman"/>
          <w:b/>
          <w:i w:val="false"/>
          <w:color w:val="000000"/>
          <w:sz w:val="22"/>
        </w:rPr>
        <w:t xml:space="preserve">(558) </w:t>
      </w:r>
      <w:r>
        <w:rPr>
          <w:rFonts w:ascii="Times New Roman" w:hAnsi="Times New Roman"/>
          <w:b/>
          <w:i w:val="false"/>
          <w:color w:val="000000"/>
          <w:sz w:val="22"/>
        </w:rPr>
        <w:t xml:space="preserve">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The department adopts by reference Form 542-0960, “Groundwater Hazard Statement” (February 1, 2023), which may be obtained from the department or local county recorders.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groundwater hazard statement is required pursuant to </w:t>
      </w:r>
      <w:hyperlink r:id="rId7">
        <w:r>
          <w:rPr>
            <w:rStyle w:val="Hyperlink"/>
            <w:rFonts w:ascii="Times New Roman" w:hAnsi="Times New Roman"/>
            <w:b w:val="false"/>
            <w:i w:val="false"/>
            <w:color w:val="000000"/>
            <w:sz w:val="22"/>
          </w:rPr>
          <w:t>9.1(4)</w:t>
        </w:r>
      </w:hyperlink>
      <w:r>
        <w:rPr>
          <w:rFonts w:ascii="Times New Roman" w:hAnsi="Times New Roman"/>
          <w:b w:val="false"/>
          <w:i w:val="false"/>
          <w:color w:val="000000"/>
          <w:sz w:val="22"/>
        </w:rPr>
        <w:t>, the transferor or the transferor’s agent or attorney shall complete and present Form 542-0960. The transferor’s agent or attorney may sign the form on behalf of the transferor, but in doing so the agent or attorney represents that the transferor made a good-faith effort to accurately provide the information requested by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real estate transactions where a groundwater hazard statement is required  pursuant to </w:t>
      </w:r>
      <w:hyperlink r:id="rId8">
        <w:r>
          <w:rPr>
            <w:rStyle w:val="Hyperlink"/>
            <w:rFonts w:ascii="Times New Roman" w:hAnsi="Times New Roman"/>
            <w:b w:val="false"/>
            <w:i w:val="false"/>
            <w:color w:val="000000"/>
            <w:sz w:val="22"/>
          </w:rPr>
          <w:t>9.1(4)</w:t>
        </w:r>
      </w:hyperlink>
      <w:r>
        <w:rPr>
          <w:rFonts w:ascii="Times New Roman" w:hAnsi="Times New Roman"/>
          <w:b w:val="false"/>
          <w:i w:val="false"/>
          <w:color w:val="000000"/>
          <w:sz w:val="22"/>
        </w:rPr>
        <w:t xml:space="preserve"> and where the real estate transaction is dated after February 1, 2023, county recorders shall only accept the currently adopted form. Any person may reproduce Form 542-0960 through photocopying or electronic means so long as the general format and wording are not altered.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shall be submitted to the county recorder, in the manner prescribed by the recorder, at the time required by </w:t>
      </w:r>
      <w:hyperlink r:id="rId9">
        <w:r>
          <w:rPr>
            <w:rStyle w:val="Hyperlink"/>
            <w:rFonts w:ascii="Times New Roman" w:hAnsi="Times New Roman"/>
            <w:b w:val="false"/>
            <w:i w:val="false"/>
            <w:color w:val="000000"/>
            <w:sz w:val="22"/>
          </w:rPr>
          <w:t>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County recorders shall return or present the statement with the recorded instrument when the instrument is returned or presented to the transferee or the transferee’s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val="false"/>
          <w:color w:val="000000"/>
          <w:sz w:val="22"/>
        </w:rPr>
        <w:t>When a county recorder accepts a groundwater hazard statement for recording, the county recorder shall transmit the groundwater hazard statement to the department through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Pursuant to a written agreement between the department and the custodian of the county land record information system, recorded groundwater hazard statement forms shall be presented to the department via a browser interface provided through the county land record information system for the duration of such an agreement. Any agreement shall include but not be limited to terms requiring each form to be posted on the system within 15 days of recording, and that each form remain on the system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such an agreement, or if the county land record information system is inoperable, a county recorder shall submit a digital copy of each recorded groundwater hazard statement to the department via email within 15 days of its recording. All emails shall be directed to the department’s records division. The department shall retain custody of such forms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be construed as requiring any party to submit to the department the first page of any document that transfers a property on which no conditions are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9435C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7/1/87—published 7/29/87, effective 7/1/87]</w:t>
      </w:r>
    </w:p>
    <w:p>
      <w:pPr>
        <w:spacing w:before="0" w:after="0"/>
        <w:ind w:left="120"/>
        <w:jc w:val="center"/>
      </w:pPr>
      <w:r>
        <w:rPr>
          <w:rFonts w:ascii="Times New Roman" w:hAnsi="Times New Roman"/>
          <w:b w:val="false"/>
          <w:i w:val="false"/>
          <w:color w:val="000000"/>
          <w:sz w:val="21"/>
        </w:rPr>
        <w:t>[Filed emergency 7/31/87—published 8/26/87, effective 7/31/87]</w:t>
      </w:r>
    </w:p>
    <w:p>
      <w:pPr>
        <w:spacing w:before="0" w:after="0"/>
        <w:ind w:left="120"/>
        <w:jc w:val="center"/>
      </w:pPr>
      <w:r>
        <w:rPr>
          <w:rFonts w:ascii="Times New Roman" w:hAnsi="Times New Roman"/>
          <w:b w:val="false"/>
          <w:i w:val="false"/>
          <w:color w:val="000000"/>
          <w:sz w:val="21"/>
        </w:rPr>
        <w:t>[Filed 12/23/87, Notice 9/9/87—published 1/13/88, effective 2/17/88]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3/14/01, Notice 1/10/01—published 4/4/01, effective 5/9/01]</w:t>
      </w:r>
    </w:p>
    <w:p>
      <w:pPr>
        <w:spacing w:before="0" w:after="0"/>
        <w:ind w:left="120"/>
        <w:jc w:val="center"/>
      </w:pPr>
      <w:r>
        <w:rPr>
          <w:rFonts w:ascii="Times New Roman" w:hAnsi="Times New Roman"/>
          <w:b w:val="false"/>
          <w:i w:val="false"/>
          <w:color w:val="000000"/>
          <w:sz w:val="21"/>
        </w:rPr>
        <w:t>[Filed 1/28/05, Notice 12/8/04—published 2/16/05, effective 3/23/05]</w:t>
      </w:r>
    </w:p>
    <w:p>
      <w:pPr>
        <w:spacing w:before="0" w:after="0"/>
        <w:ind w:left="120"/>
        <w:jc w:val="center"/>
      </w:pPr>
      <w:r>
        <w:rPr>
          <w:rFonts w:ascii="Times New Roman" w:hAnsi="Times New Roman"/>
          <w:b w:val="false"/>
          <w:i w:val="false"/>
          <w:color w:val="000000"/>
          <w:sz w:val="21"/>
        </w:rPr>
        <w:t>[Filed ARC 7588B</w:t>
      </w:r>
      <w:r>
        <w:rPr>
          <w:rFonts w:ascii="Times New Roman" w:hAnsi="Times New Roman"/>
          <w:b w:val="false"/>
          <w:i w:val="false"/>
          <w:color w:val="000000"/>
          <w:sz w:val="21"/>
        </w:rPr>
        <w:t xml:space="preserve"> (Notice ARC 7454B, IAB 12/31/08)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Emergency ARC 7973B, IAB 7/29/09, effective 6/29/09]</w:t>
      </w:r>
    </w:p>
    <w:p>
      <w:pPr>
        <w:spacing w:before="0" w:after="0"/>
        <w:ind w:left="120"/>
        <w:jc w:val="center"/>
      </w:pPr>
      <w:r>
        <w:rPr>
          <w:rFonts w:ascii="Times New Roman" w:hAnsi="Times New Roman"/>
          <w:b w:val="false"/>
          <w:i w:val="false"/>
          <w:color w:val="000000"/>
          <w:sz w:val="21"/>
        </w:rPr>
        <w:t>[Filed ARC 8950B</w:t>
      </w:r>
      <w:r>
        <w:rPr>
          <w:rFonts w:ascii="Times New Roman" w:hAnsi="Times New Roman"/>
          <w:b w:val="false"/>
          <w:i w:val="false"/>
          <w:color w:val="000000"/>
          <w:sz w:val="21"/>
        </w:rPr>
        <w:t xml:space="preserve"> (Notice ARC 8776B, IAB 6/2/10)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0167C</w:t>
      </w:r>
      <w:r>
        <w:rPr>
          <w:rFonts w:ascii="Times New Roman" w:hAnsi="Times New Roman"/>
          <w:b w:val="false"/>
          <w:i w:val="false"/>
          <w:color w:val="000000"/>
          <w:sz w:val="21"/>
        </w:rPr>
        <w:t xml:space="preserve"> (Notice ARC 0045C, IAB 3/21/12)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6790C</w:t>
      </w:r>
      <w:r>
        <w:rPr>
          <w:rFonts w:ascii="Times New Roman" w:hAnsi="Times New Roman"/>
          <w:b w:val="false"/>
          <w:i w:val="false"/>
          <w:color w:val="000000"/>
          <w:sz w:val="21"/>
        </w:rPr>
        <w:t xml:space="preserve"> (Notice ARC 6629C,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9435C</w:t>
      </w:r>
      <w:r>
        <w:rPr>
          <w:rFonts w:ascii="Times New Roman" w:hAnsi="Times New Roman"/>
          <w:b w:val="false"/>
          <w:i w:val="false"/>
          <w:color w:val="000000"/>
          <w:sz w:val="21"/>
        </w:rPr>
        <w:t xml:space="preserve"> (Notice ARC 8648C,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8.69.pdf" Type="http://schemas.openxmlformats.org/officeDocument/2006/relationships/hyperlink" Id="rId5"/>
    <Relationship TargetMode="External" Target="https://www.legis.iowa.gov/docs/ico/chapter/558.69.pdf" Type="http://schemas.openxmlformats.org/officeDocument/2006/relationships/hyperlink" Id="rId6"/>
    <Relationship TargetMode="External" Target="https://www.legis.iowa.gov/docs/iac/rule/561.9.1.pdf" Type="http://schemas.openxmlformats.org/officeDocument/2006/relationships/hyperlink" Id="rId7"/>
    <Relationship TargetMode="External" Target="https://www.legis.iowa.gov/docs/iac/rule/561.9.1.pdf" Type="http://schemas.openxmlformats.org/officeDocument/2006/relationships/hyperlink" Id="rId8"/>
    <Relationship TargetMode="External" Target="https://www.legis.iowa.gov/docs/iac/rule/561.9.1.pdf" Type="http://schemas.openxmlformats.org/officeDocument/2006/relationships/hyperlink" Id="rId9"/>
    <Relationship TargetMode="External" Target="https://www.legis.iowa.gov/docs/ico/chapter/558.6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