
<file path=[Content_Types].xml><?xml version="1.0" encoding="utf-8"?>
<Types xmlns="http://schemas.openxmlformats.org/package/2006/content-types">
  <Default Extension="rels" ContentType="application/vnd.openxmlformats-package.relationships+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footer+xml" PartName="/word/footer.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Types>
</file>

<file path=_rels/.rels><?xml version="1.0" encoding="UTF-8" standalone="yes"?>
<Relationships xmlns="http://schemas.openxmlformats.org/package/2006/relationships">
    <Relationship Target="word/document.xml" Type="http://schemas.openxmlformats.org/officeDocument/2006/relationships/officeDocument" Id="rId1"/>
    <Relationship Target="docProps/core.xml" Type="http://schemas.openxmlformats.org/package/2006/relationships/metadata/core-properties" Id="rId2"/>
    <Relationship Target="docProps/app.xml" Type="http://schemas.openxmlformats.org/officeDocument/2006/relationships/extended-properties" Id="rId3"/>
</Relationships>

</file>

<file path=word/document.xml><?xml version="1.0" encoding="utf-8"?>
<w:document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body>
    <!-- Created by docx4j 11.5.9 (Apache licensed) using REFERENCE JAXB in Eclipse Adoptium Java 21.0.9 on Windows Server 2022 -->
    <w:p>
      <w:pPr>
        <w:spacing w:before="0" w:after="0"/>
        <w:ind w:left="120"/>
        <w:jc w:val="both"/>
      </w:pPr>
    </w:p>
    <w:p>
      <w:pPr>
        <w:spacing w:before="0" w:after="0"/>
        <w:ind w:left="120"/>
        <w:jc w:val="center"/>
      </w:pPr>
      <w:r>
        <w:rPr>
          <w:rFonts w:ascii="Times New Roman" w:hAnsi="Times New Roman"/>
          <w:b w:val="false"/>
          <w:i w:val="false"/>
          <w:color w:val="000000"/>
          <w:sz w:val="21"/>
        </w:rPr>
        <w:t xml:space="preserve">CHAPTER </w:t>
      </w:r>
      <w:r>
        <w:rPr>
          <w:rFonts w:ascii="Times New Roman" w:hAnsi="Times New Roman"/>
          <w:b w:val="false"/>
          <w:i w:val="false"/>
          <w:color w:val="000000"/>
          <w:sz w:val="21"/>
        </w:rPr>
        <w:t>2505</w:t>
      </w:r>
    </w:p>
    <w:p>
      <w:pPr>
        <w:spacing w:before="0" w:after="0"/>
        <w:ind w:left="120"/>
        <w:jc w:val="center"/>
      </w:pPr>
      <w:r>
        <w:rPr>
          <w:rFonts w:ascii="Times New Roman" w:hAnsi="Times New Roman"/>
          <w:b w:val="false"/>
          <w:i w:val="false"/>
          <w:color w:val="000000"/>
          <w:sz w:val="21"/>
        </w:rPr>
        <w:t>FAIR INFORMATION PRACTICES</w:t>
      </w:r>
    </w:p>
    <w:p>
      <w:pPr>
        <w:pBdr>
          <w:top w:space="10"/>
          <w:bottom w:space="10"/>
        </w:pBdr>
        <w:spacing w:before="0" w:after="0"/>
        <w:ind w:left="120"/>
        <w:jc w:val="center"/>
      </w:pPr>
      <w:r>
        <w:rPr>
          <w:rFonts w:ascii="Times New Roman" w:hAnsi="Times New Roman"/>
          <w:b w:val="false"/>
          <w:i w:val="false"/>
          <w:color w:val="000000"/>
          <w:sz w:val="22"/>
        </w:rPr>
        <w:t xml:space="preserve">Chapter rescission date pursuant to Iowa Code section </w:t>
      </w:r>
      <w:hyperlink r:id="rId4">
        <w:r>
          <w:rPr>
            <w:rStyle w:val="Hyperlink"/>
            <w:rFonts w:ascii="Times New Roman" w:hAnsi="Times New Roman"/>
            <w:b w:val="false"/>
            <w:i w:val="false"/>
            <w:color w:val="000000"/>
            <w:sz w:val="22"/>
          </w:rPr>
          <w:t>17A.7</w:t>
        </w:r>
      </w:hyperlink>
      <w:r>
        <w:rPr>
          <w:rFonts w:ascii="Times New Roman" w:hAnsi="Times New Roman"/>
          <w:b w:val="false"/>
          <w:i w:val="false"/>
          <w:color w:val="000000"/>
          <w:sz w:val="22"/>
        </w:rPr>
        <w:t xml:space="preserve">: </w:t>
      </w:r>
      <w:r>
        <w:rPr>
          <w:rFonts w:ascii="Times New Roman" w:hAnsi="Times New Roman"/>
          <w:b w:val="false"/>
          <w:i w:val="false"/>
          <w:color w:val="000000"/>
          <w:sz w:val="22"/>
        </w:rPr>
        <w:t>6/18/31</w:t>
      </w:r>
    </w:p>
    <w:p>
      <w:pPr>
        <w:spacing w:before="0" w:after="0"/>
        <w:ind w:left="120"/>
        <w:jc w:val="both"/>
      </w:pPr>
      <w:r>
        <w:rPr>
          <w:rFonts w:ascii="Times New Roman" w:hAnsi="Times New Roman"/>
          <w:b w:val="false"/>
          <w:i w:val="false"/>
          <w:color w:val="000000"/>
          <w:sz w:val="22"/>
        </w:rPr>
        <w:t xml:space="preserve">The Uniform Rules on Agency Procedure, 7—Chapters </w:t>
      </w:r>
      <w:hyperlink r:id="rId5">
        <w:r>
          <w:rPr>
            <w:rStyle w:val="Hyperlink"/>
            <w:rFonts w:ascii="Times New Roman" w:hAnsi="Times New Roman"/>
            <w:b w:val="false"/>
            <w:i w:val="false"/>
            <w:color w:val="000000"/>
            <w:sz w:val="22"/>
          </w:rPr>
          <w:t>2500</w:t>
        </w:r>
      </w:hyperlink>
      <w:r>
        <w:rPr>
          <w:rFonts w:ascii="Times New Roman" w:hAnsi="Times New Roman"/>
          <w:b w:val="false"/>
          <w:i w:val="false"/>
          <w:color w:val="000000"/>
          <w:sz w:val="22"/>
        </w:rPr>
        <w:t xml:space="preserve"> through </w:t>
      </w:r>
      <w:hyperlink r:id="rId6">
        <w:r>
          <w:rPr>
            <w:rStyle w:val="Hyperlink"/>
            <w:rFonts w:ascii="Times New Roman" w:hAnsi="Times New Roman"/>
            <w:b w:val="false"/>
            <w:i w:val="false"/>
            <w:color w:val="000000"/>
            <w:sz w:val="22"/>
          </w:rPr>
          <w:t>2506</w:t>
        </w:r>
      </w:hyperlink>
      <w:r>
        <w:rPr>
          <w:rFonts w:ascii="Times New Roman" w:hAnsi="Times New Roman"/>
          <w:b w:val="false"/>
          <w:i w:val="false"/>
          <w:color w:val="000000"/>
          <w:sz w:val="22"/>
        </w:rPr>
        <w:t xml:space="preserve">, are rules generally applicable to agencies pursuant to Iowa Code section </w:t>
      </w:r>
      <w:hyperlink r:id="rId7">
        <w:r>
          <w:rPr>
            <w:rStyle w:val="Hyperlink"/>
            <w:rFonts w:ascii="Times New Roman" w:hAnsi="Times New Roman"/>
            <w:b w:val="false"/>
            <w:i w:val="false"/>
            <w:color w:val="000000"/>
            <w:sz w:val="22"/>
          </w:rPr>
          <w:t>17A.24</w:t>
        </w:r>
      </w:hyperlink>
      <w:r>
        <w:rPr>
          <w:rFonts w:ascii="Times New Roman" w:hAnsi="Times New Roman"/>
          <w:b w:val="false"/>
          <w:i w:val="false"/>
          <w:color w:val="000000"/>
          <w:sz w:val="22"/>
        </w:rPr>
        <w:t>. Additions, exceptions, or amendments to the corresponding chapter are below.</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0433D</w:t>
      </w:r>
      <w:r>
        <w:rPr>
          <w:rFonts w:ascii="Times New Roman" w:hAnsi="Times New Roman"/>
          <w:b w:val="false"/>
          <w:i w:val="false"/>
          <w:color w:val="000000"/>
          <w:sz w:val="16"/>
        </w:rPr>
        <w:t>, IAB 7/8/26, effective 6/18/26</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561—2505.5</w:t>
      </w:r>
      <w:r>
        <w:rPr>
          <w:rFonts w:ascii="Times New Roman" w:hAnsi="Times New Roman"/>
          <w:b/>
          <w:i w:val="false"/>
          <w:color w:val="000000"/>
          <w:sz w:val="22"/>
        </w:rPr>
        <w:t xml:space="preserve">(17A,22) </w:t>
      </w:r>
      <w:r>
        <w:rPr>
          <w:rFonts w:ascii="Times New Roman" w:hAnsi="Times New Roman"/>
          <w:b/>
          <w:i w:val="false"/>
          <w:color w:val="000000"/>
          <w:sz w:val="22"/>
        </w:rPr>
        <w:t xml:space="preserve">Confidential records. </w:t>
      </w:r>
      <w:r>
        <w:rPr>
          <w:rFonts w:ascii="Times New Roman" w:hAnsi="Times New Roman"/>
          <w:b w:val="false"/>
          <w:i w:val="false"/>
          <w:color w:val="000000"/>
          <w:sz w:val="22"/>
        </w:rPr>
        <w:t xml:space="preserve">The custodian may treat a record as a confidential record and withhold it from examination only to the extent that the custodian is authorized by Iowa Code section </w:t>
      </w:r>
      <w:hyperlink r:id="rId8">
        <w:r>
          <w:rPr>
            <w:rStyle w:val="Hyperlink"/>
            <w:rFonts w:ascii="Times New Roman" w:hAnsi="Times New Roman"/>
            <w:b w:val="false"/>
            <w:i w:val="false"/>
            <w:color w:val="000000"/>
            <w:sz w:val="22"/>
          </w:rPr>
          <w:t>22.7</w:t>
        </w:r>
      </w:hyperlink>
      <w:r>
        <w:rPr>
          <w:rFonts w:ascii="Times New Roman" w:hAnsi="Times New Roman"/>
          <w:b w:val="false"/>
          <w:i w:val="false"/>
          <w:color w:val="000000"/>
          <w:sz w:val="22"/>
        </w:rPr>
        <w:t xml:space="preserve">, another applicable provision of law, or a court order. Unless deemed as a confidential record or considered as a confidential record by Iowa Code section </w:t>
      </w:r>
      <w:hyperlink r:id="rId9">
        <w:r>
          <w:rPr>
            <w:rStyle w:val="Hyperlink"/>
            <w:rFonts w:ascii="Times New Roman" w:hAnsi="Times New Roman"/>
            <w:b w:val="false"/>
            <w:i w:val="false"/>
            <w:color w:val="000000"/>
            <w:sz w:val="22"/>
          </w:rPr>
          <w:t>22.7</w:t>
        </w:r>
      </w:hyperlink>
      <w:r>
        <w:rPr>
          <w:rFonts w:ascii="Times New Roman" w:hAnsi="Times New Roman"/>
          <w:b w:val="false"/>
          <w:i w:val="false"/>
          <w:color w:val="000000"/>
          <w:sz w:val="22"/>
        </w:rPr>
        <w:t>, all records are considered public and routinely disclosed without the consent of the subject.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2505.5(1)</w:t>
      </w:r>
      <w:r>
        <w:rPr>
          <w:rFonts w:ascii="Times New Roman" w:hAnsi="Times New Roman"/>
          <w:b w:val="false"/>
          <w:i w:val="false"/>
          <w:color w:val="000000"/>
          <w:sz w:val="22"/>
        </w:rPr>
        <w:t> </w:t>
      </w:r>
      <w:r>
        <w:rPr>
          <w:rFonts w:ascii="Times New Roman" w:hAnsi="Times New Roman"/>
          <w:b w:val="false"/>
          <w:i/>
          <w:color w:val="000000"/>
          <w:sz w:val="22"/>
        </w:rPr>
        <w:t xml:space="preserve">Persons who may request. </w:t>
      </w:r>
      <w:r>
        <w:rPr>
          <w:rFonts w:ascii="Times New Roman" w:hAnsi="Times New Roman"/>
          <w:b w:val="false"/>
          <w:i w:val="false"/>
          <w:color w:val="000000"/>
          <w:sz w:val="22"/>
        </w:rPr>
        <w:t xml:space="preserve">Any person who would be aggrieved or adversely affected by disclosure of a record and who asserts that Iowa Code section </w:t>
      </w:r>
      <w:hyperlink r:id="rId10">
        <w:r>
          <w:rPr>
            <w:rStyle w:val="Hyperlink"/>
            <w:rFonts w:ascii="Times New Roman" w:hAnsi="Times New Roman"/>
            <w:b w:val="false"/>
            <w:i w:val="false"/>
            <w:color w:val="000000"/>
            <w:sz w:val="22"/>
          </w:rPr>
          <w:t>22.7</w:t>
        </w:r>
      </w:hyperlink>
      <w:r>
        <w:rPr>
          <w:rFonts w:ascii="Times New Roman" w:hAnsi="Times New Roman"/>
          <w:b w:val="false"/>
          <w:i w:val="false"/>
          <w:color w:val="000000"/>
          <w:sz w:val="22"/>
        </w:rPr>
        <w:t>, another applicable provision of law, or a court order authorizes the custodian to treat the record as a confidential record may request the custodian to treat that record as a confidential record and to withhold it from public inspection.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2505.5(2)</w:t>
      </w:r>
      <w:r>
        <w:rPr>
          <w:rFonts w:ascii="Times New Roman" w:hAnsi="Times New Roman"/>
          <w:b w:val="false"/>
          <w:i w:val="false"/>
          <w:color w:val="000000"/>
          <w:sz w:val="22"/>
        </w:rPr>
        <w:t> </w:t>
      </w:r>
      <w:r>
        <w:rPr>
          <w:rFonts w:ascii="Times New Roman" w:hAnsi="Times New Roman"/>
          <w:b w:val="false"/>
          <w:i/>
          <w:color w:val="000000"/>
          <w:sz w:val="22"/>
        </w:rPr>
        <w:t xml:space="preserve">Request. </w:t>
      </w:r>
      <w:r>
        <w:rPr>
          <w:rFonts w:ascii="Times New Roman" w:hAnsi="Times New Roman"/>
          <w:b w:val="false"/>
          <w:i w:val="false"/>
          <w:color w:val="000000"/>
          <w:sz w:val="22"/>
        </w:rPr>
        <w:t>A written request that a record be treated as a confidential record and be withheld from public inspection should be filed with the custodian. The request must set forth the legal and factual basis justifying such confidential record treatment for that record. The request should include two copies of the record in question: one copy of the record with all information provided and a second copy of the record with the information being requested confidential deleted from the record.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2505.5(3)</w:t>
      </w:r>
      <w:r>
        <w:rPr>
          <w:rFonts w:ascii="Times New Roman" w:hAnsi="Times New Roman"/>
          <w:b w:val="false"/>
          <w:i w:val="false"/>
          <w:color w:val="000000"/>
          <w:sz w:val="22"/>
        </w:rPr>
        <w:t> </w:t>
      </w:r>
      <w:r>
        <w:rPr>
          <w:rFonts w:ascii="Times New Roman" w:hAnsi="Times New Roman"/>
          <w:b w:val="false"/>
          <w:i/>
          <w:color w:val="000000"/>
          <w:sz w:val="22"/>
        </w:rPr>
        <w:t xml:space="preserve">Timing of decision. </w:t>
      </w:r>
      <w:r>
        <w:rPr>
          <w:rFonts w:ascii="Times New Roman" w:hAnsi="Times New Roman"/>
          <w:b w:val="false"/>
          <w:i w:val="false"/>
          <w:color w:val="000000"/>
          <w:sz w:val="22"/>
        </w:rPr>
        <w:t>A decision by the custodian with respect to the disclosure of a record to members of the public may be made when a request for its treatment as a confidential record that is not available for public inspection is filed or when the custodian receives a request for access to the record by a member of the public.</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2505.5(4)</w:t>
      </w:r>
      <w:r>
        <w:rPr>
          <w:rFonts w:ascii="Times New Roman" w:hAnsi="Times New Roman"/>
          <w:b w:val="false"/>
          <w:i w:val="false"/>
          <w:color w:val="000000"/>
          <w:sz w:val="22"/>
        </w:rPr>
        <w:t> </w:t>
      </w:r>
      <w:r>
        <w:rPr>
          <w:rFonts w:ascii="Times New Roman" w:hAnsi="Times New Roman"/>
          <w:b w:val="false"/>
          <w:i/>
          <w:color w:val="000000"/>
          <w:sz w:val="22"/>
        </w:rPr>
        <w:t xml:space="preserve">Request granted or deferred. </w:t>
      </w:r>
      <w:r>
        <w:rPr>
          <w:rFonts w:ascii="Times New Roman" w:hAnsi="Times New Roman"/>
          <w:b w:val="false"/>
          <w:i w:val="false"/>
          <w:color w:val="000000"/>
          <w:sz w:val="22"/>
        </w:rPr>
        <w:t>If a request for such confidential record treatment is granted, or if action on such a request is deferred, a copy of the record from which the matter in question has been deleted and a copy of the decision to grant the request or to defer action upon the request will be made available for public inspection in lieu of the original record. If the custodian subsequently receives a request for access to the original record, the custodian will make reasonable and timely efforts to notify any person who has filed a request for its treatment as a confidential record that is not available for public inspection of the pendency of that subsequent request.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2505.5(5)</w:t>
      </w:r>
      <w:r>
        <w:rPr>
          <w:rFonts w:ascii="Times New Roman" w:hAnsi="Times New Roman"/>
          <w:b w:val="false"/>
          <w:i w:val="false"/>
          <w:color w:val="000000"/>
          <w:sz w:val="22"/>
        </w:rPr>
        <w:t> </w:t>
      </w:r>
      <w:r>
        <w:rPr>
          <w:rFonts w:ascii="Times New Roman" w:hAnsi="Times New Roman"/>
          <w:b w:val="false"/>
          <w:i/>
          <w:color w:val="000000"/>
          <w:sz w:val="22"/>
        </w:rPr>
        <w:t xml:space="preserve">Request denied and opportunity to seek injunction. </w:t>
      </w:r>
      <w:r>
        <w:rPr>
          <w:rFonts w:ascii="Times New Roman" w:hAnsi="Times New Roman"/>
          <w:b w:val="false"/>
          <w:i w:val="false"/>
          <w:color w:val="000000"/>
          <w:sz w:val="22"/>
        </w:rPr>
        <w:t xml:space="preserve">If a request that a record be treated as a confidential record and be withheld from public inspection is denied, the custodian will notify the requester in writing of that determination and the reasons therefor. On application by the requester, the custodian may engage in a good faith, reasonable delay in allowing examination of the record so that the requester may seek injunctive relief under the provisions of Iowa Code section </w:t>
      </w:r>
      <w:hyperlink r:id="rId11">
        <w:r>
          <w:rPr>
            <w:rStyle w:val="Hyperlink"/>
            <w:rFonts w:ascii="Times New Roman" w:hAnsi="Times New Roman"/>
            <w:b w:val="false"/>
            <w:i w:val="false"/>
            <w:color w:val="000000"/>
            <w:sz w:val="22"/>
          </w:rPr>
          <w:t>22.8</w:t>
        </w:r>
      </w:hyperlink>
      <w:r>
        <w:rPr>
          <w:rFonts w:ascii="Times New Roman" w:hAnsi="Times New Roman"/>
          <w:b w:val="false"/>
          <w:i w:val="false"/>
          <w:color w:val="000000"/>
          <w:sz w:val="22"/>
        </w:rPr>
        <w:t xml:space="preserve"> or other applicable provision of law. However, such a record need not be withheld from public inspection for any period of time if the custodian determines that the requester had no reasonable grounds to justify the treatment of that record as a confidential record. The custodian will notify the requester in writing of the time period allowed to seek injunctive relief or the reason for the determination that no reasonable grounds exist to justify the treatment of that record as a confidential record. The custodian may extend the period of good faith, reasonable delay in allowing examination of the record so that the requester may seek injunctive relief only if no request for examination of that record has been received; if a court directs the custodian to treat it as a confidential record, to the extent permitted by another applicable provision of law; or with the consent of the person requesting access.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2505.5(6)</w:t>
      </w:r>
      <w:r>
        <w:rPr>
          <w:rFonts w:ascii="Times New Roman" w:hAnsi="Times New Roman"/>
          <w:b w:val="false"/>
          <w:i w:val="false"/>
          <w:color w:val="000000"/>
          <w:sz w:val="22"/>
        </w:rPr>
        <w:t> </w:t>
      </w:r>
      <w:r>
        <w:rPr>
          <w:rFonts w:ascii="Times New Roman" w:hAnsi="Times New Roman"/>
          <w:b w:val="false"/>
          <w:i/>
          <w:color w:val="000000"/>
          <w:sz w:val="22"/>
        </w:rPr>
        <w:t xml:space="preserve">Processing of confidentiality claims. </w:t>
      </w:r>
      <w:r>
        <w:rPr>
          <w:rFonts w:ascii="Times New Roman" w:hAnsi="Times New Roman"/>
          <w:b w:val="false"/>
          <w:i w:val="false"/>
          <w:color w:val="000000"/>
          <w:sz w:val="22"/>
        </w:rPr>
        <w:t>In order to request a record be held confidential with the department, the party will comply with the following provisions: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Applicability/availability. Businesses that provide information to the department in applications, reports or otherwise in recorded form, or from or about which information is obtained and recorded by the department, may request that information not be disclosed to others for reasons of business confidentiality. Until such time as a request for confidentiality is received by the department, all information will be available to the public. If a claim is received after the information itself is received, the department will make such efforts as are administratively practicable to associate the claim with all copies of the previously received information. However, the department cannot ensure that such efforts will be effective in light of the possibility of prior disclosure or dissemination of the information beyond the department’s reasonable control.</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Confidentiality request process. An entity that submits information to the department may assert a confidentiality claim in accordance with the following process: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 xml:space="preserve">Attach a cover sheet indicating the entity is seeking the information to be held confidential. The submission will include a letter of substantiation with the information required by paragraph </w:t>
      </w:r>
      <w:hyperlink r:id="rId12">
        <w:r>
          <w:rPr>
            <w:rStyle w:val="Hyperlink"/>
            <w:rFonts w:ascii="Times New Roman" w:hAnsi="Times New Roman"/>
            <w:b w:val="false"/>
            <w:i w:val="false"/>
            <w:color w:val="000000"/>
            <w:sz w:val="22"/>
          </w:rPr>
          <w:t>2505.5(6)</w:t>
        </w:r>
      </w:hyperlink>
      <w:r>
        <w:rPr>
          <w:rFonts w:ascii="Times New Roman" w:hAnsi="Times New Roman"/>
          <w:b w:val="false"/>
          <w:i/>
          <w:color w:val="000000"/>
          <w:sz w:val="22"/>
        </w:rPr>
        <w:t>“c.”</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File two copies of the information: one copy with all information present and a second copy with the information for which the party wishes to claim confidential treatment deleted from the document.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Contents of claim. All claims for confidentiality must be substantiated with the following information in a letter attached to the proposed confidential document: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A statement of all measures the business has taken to protect the confidentiality of the information and a statement of intent to continue to take such measures;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Practices and policies of other businesses, if known, regarding confidentiality of similar information;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A statement that the information is not, and has not been, reasonably attainable without the consent of the business by other persons other than government bodies by use of legitimate means;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A statement demonstrating that disclosure of the information is likely to cause substantial harm to the business’s competitive position;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(5)</w:t>
      </w:r>
      <w:r>
        <w:rPr>
          <w:rFonts w:ascii="Times New Roman" w:hAnsi="Times New Roman"/>
          <w:b w:val="false"/>
          <w:i w:val="false"/>
          <w:color w:val="000000"/>
          <w:sz w:val="22"/>
        </w:rPr>
        <w:t>  </w:t>
      </w:r>
      <w:r>
        <w:rPr>
          <w:rFonts w:ascii="Times New Roman" w:hAnsi="Times New Roman"/>
          <w:b w:val="false"/>
          <w:i w:val="false"/>
          <w:color w:val="000000"/>
          <w:sz w:val="22"/>
        </w:rPr>
        <w:t>A reference to any other determinations of confidential status of the information or similar information.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 xml:space="preserve">Initial action by department. All claims will be reviewed for completeness and applicability of subrule </w:t>
      </w:r>
      <w:hyperlink r:id="rId13">
        <w:r>
          <w:rPr>
            <w:rStyle w:val="Hyperlink"/>
            <w:rFonts w:ascii="Times New Roman" w:hAnsi="Times New Roman"/>
            <w:b w:val="false"/>
            <w:i w:val="false"/>
            <w:color w:val="000000"/>
            <w:sz w:val="22"/>
          </w:rPr>
          <w:t>2505.5(8)</w:t>
        </w:r>
      </w:hyperlink>
      <w:r>
        <w:rPr>
          <w:rFonts w:ascii="Times New Roman" w:hAnsi="Times New Roman"/>
          <w:b w:val="false"/>
          <w:i w:val="false"/>
          <w:color w:val="000000"/>
          <w:sz w:val="22"/>
        </w:rPr>
        <w:t xml:space="preserve">. If the claim does not include the substantiation required by paragraph </w:t>
      </w:r>
      <w:hyperlink r:id="rId14">
        <w:r>
          <w:rPr>
            <w:rStyle w:val="Hyperlink"/>
            <w:rFonts w:ascii="Times New Roman" w:hAnsi="Times New Roman"/>
            <w:b w:val="false"/>
            <w:i w:val="false"/>
            <w:color w:val="000000"/>
            <w:sz w:val="22"/>
          </w:rPr>
          <w:t>2505.5(6)</w:t>
        </w:r>
      </w:hyperlink>
      <w:r>
        <w:rPr>
          <w:rFonts w:ascii="Times New Roman" w:hAnsi="Times New Roman"/>
          <w:b w:val="false"/>
          <w:i/>
          <w:color w:val="000000"/>
          <w:sz w:val="22"/>
        </w:rPr>
        <w:t>“c,”</w:t>
      </w:r>
      <w:r>
        <w:rPr>
          <w:rFonts w:ascii="Times New Roman" w:hAnsi="Times New Roman"/>
          <w:b w:val="false"/>
          <w:i w:val="false"/>
          <w:color w:val="000000"/>
          <w:sz w:val="22"/>
        </w:rPr>
        <w:t xml:space="preserve"> or if the claim relates to information within subrule </w:t>
      </w:r>
      <w:hyperlink r:id="rId15">
        <w:r>
          <w:rPr>
            <w:rStyle w:val="Hyperlink"/>
            <w:rFonts w:ascii="Times New Roman" w:hAnsi="Times New Roman"/>
            <w:b w:val="false"/>
            <w:i w:val="false"/>
            <w:color w:val="000000"/>
            <w:sz w:val="22"/>
          </w:rPr>
          <w:t>2505.5(8)</w:t>
        </w:r>
      </w:hyperlink>
      <w:r>
        <w:rPr>
          <w:rFonts w:ascii="Times New Roman" w:hAnsi="Times New Roman"/>
          <w:b w:val="false"/>
          <w:i w:val="false"/>
          <w:color w:val="000000"/>
          <w:sz w:val="22"/>
        </w:rPr>
        <w:t xml:space="preserve">, the business making the claim will be notified by certified mail. If the substantiation or comment regarding the inapplicability of subrule </w:t>
      </w:r>
      <w:hyperlink r:id="rId16">
        <w:r>
          <w:rPr>
            <w:rStyle w:val="Hyperlink"/>
            <w:rFonts w:ascii="Times New Roman" w:hAnsi="Times New Roman"/>
            <w:b w:val="false"/>
            <w:i w:val="false"/>
            <w:color w:val="000000"/>
            <w:sz w:val="22"/>
          </w:rPr>
          <w:t>2505.5(8)</w:t>
        </w:r>
      </w:hyperlink>
      <w:r>
        <w:rPr>
          <w:rFonts w:ascii="Times New Roman" w:hAnsi="Times New Roman"/>
          <w:b w:val="false"/>
          <w:i w:val="false"/>
          <w:color w:val="000000"/>
          <w:sz w:val="22"/>
        </w:rPr>
        <w:t xml:space="preserve"> is not received by the department within ten days of the date on the return receipt, the department will place the information in the public file. Otherwise, all information claimed to be confidential will be treated as such by the department until further notice.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Substantive criteria for use in confidentiality determinations. Prior determinations by the courts, the department, or other agencies on the information or similar information will be given due consideration and effect. Determinations will hold that business information is entitled to confidential treatment for the benefit of a particular person if:</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The business has taken and intends to continue to take reasonable measures to protect the confidentiality of the information;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The information is not readily obtainable by others by legitimate means;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The claim is not unreasonable in view of the nature of the information, the interests and normal practices of the business, and the practices of other businesses;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No statute or rule specifically requires disclosure of the information;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(5)</w:t>
      </w:r>
      <w:r>
        <w:rPr>
          <w:rFonts w:ascii="Times New Roman" w:hAnsi="Times New Roman"/>
          <w:b w:val="false"/>
          <w:i w:val="false"/>
          <w:color w:val="000000"/>
          <w:sz w:val="22"/>
        </w:rPr>
        <w:t>  </w:t>
      </w:r>
      <w:r>
        <w:rPr>
          <w:rFonts w:ascii="Times New Roman" w:hAnsi="Times New Roman"/>
          <w:b w:val="false"/>
          <w:i w:val="false"/>
          <w:color w:val="000000"/>
          <w:sz w:val="22"/>
        </w:rPr>
        <w:t>There is a substantial likelihood that disclosure of the information would cause substantial harm to the competitive position of the business.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val="false"/>
          <w:color w:val="000000"/>
          <w:sz w:val="22"/>
        </w:rPr>
        <w:t>Determination. The department will transmit its determination regarding a claim for business confidentiality to the claimant by certified mail, notifying the claimant of the opportunity to provide comments within ten days subject to reasonable extension upon written request, and that failure to comment will be construed to indicate agreement with the preliminary determination. If the determination is in response to a request for disclosure, the person requesting the disclosure will be sent a similar notice in the same manner within ten days of the request. If any substantial comments are received, the final decision will be made by the director or designee. If no substantial comments are received, the preliminary determination becomes the final decision.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g.</w:t>
      </w:r>
      <w:r>
        <w:rPr>
          <w:rFonts w:ascii="Times New Roman" w:hAnsi="Times New Roman"/>
          <w:b w:val="false"/>
          <w:i w:val="false"/>
          <w:color w:val="000000"/>
          <w:sz w:val="22"/>
        </w:rPr>
        <w:t>  </w:t>
      </w:r>
      <w:r>
        <w:rPr>
          <w:rFonts w:ascii="Times New Roman" w:hAnsi="Times New Roman"/>
          <w:b w:val="false"/>
          <w:i w:val="false"/>
          <w:color w:val="000000"/>
          <w:sz w:val="22"/>
        </w:rPr>
        <w:t xml:space="preserve">All procedures within this rule will not be considered contested case proceedings as provided in Iowa Code chapter </w:t>
      </w:r>
      <w:hyperlink r:id="rId17">
        <w:r>
          <w:rPr>
            <w:rStyle w:val="Hyperlink"/>
            <w:rFonts w:ascii="Times New Roman" w:hAnsi="Times New Roman"/>
            <w:b w:val="false"/>
            <w:i w:val="false"/>
            <w:color w:val="000000"/>
            <w:sz w:val="22"/>
          </w:rPr>
          <w:t>17A</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2505.5(7)</w:t>
      </w:r>
      <w:r>
        <w:rPr>
          <w:rFonts w:ascii="Times New Roman" w:hAnsi="Times New Roman"/>
          <w:b w:val="false"/>
          <w:i w:val="false"/>
          <w:color w:val="000000"/>
          <w:sz w:val="22"/>
        </w:rPr>
        <w:t> </w:t>
      </w:r>
      <w:r>
        <w:rPr>
          <w:rFonts w:ascii="Times New Roman" w:hAnsi="Times New Roman"/>
          <w:b w:val="false"/>
          <w:i/>
          <w:color w:val="000000"/>
          <w:sz w:val="22"/>
        </w:rPr>
        <w:t xml:space="preserve">Confidential records. </w:t>
      </w:r>
      <w:r>
        <w:rPr>
          <w:rFonts w:ascii="Times New Roman" w:hAnsi="Times New Roman"/>
          <w:b w:val="false"/>
          <w:i w:val="false"/>
          <w:color w:val="000000"/>
          <w:sz w:val="22"/>
        </w:rPr>
        <w:t>The following records may be withheld from public inspection. Records are listed by category, according to the legal basis for withholding them from public inspection.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Sealed bids received prior to the time set for public opening of bids;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Tax records made available to the department;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 xml:space="preserve">Records that are exempt from disclosure under Iowa Code section </w:t>
      </w:r>
      <w:hyperlink r:id="rId18">
        <w:r>
          <w:rPr>
            <w:rStyle w:val="Hyperlink"/>
            <w:rFonts w:ascii="Times New Roman" w:hAnsi="Times New Roman"/>
            <w:b w:val="false"/>
            <w:i w:val="false"/>
            <w:color w:val="000000"/>
            <w:sz w:val="22"/>
          </w:rPr>
          <w:t>22.7</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Minutes of closed meetings of a government body;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Identifying details in final orders, decisions, and opinions to the extent required to prevent a clearly unwarranted invasion of personal privacy or trade secrets;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val="false"/>
          <w:color w:val="000000"/>
          <w:sz w:val="22"/>
        </w:rPr>
        <w:t>Those portions of the department’s staff manuals, instructions, or other statements issued that set forth criteria or guidelines to be used by staff in auditing; in making inspections; in settling commercial disputes or negotiating commercial arrangements; or in the selection or handling of cases, such as operational tactics or allowable tolerances or criteria for the defense, prosecution, or settlement of cases when disclosure of these statements would: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Enable law violators to avoid detection;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Facilitate disregard of requirements imposed by law; or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Give a clearly improper advantage to persons who are in an adverse position to the department;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g.</w:t>
      </w:r>
      <w:r>
        <w:rPr>
          <w:rFonts w:ascii="Times New Roman" w:hAnsi="Times New Roman"/>
          <w:b w:val="false"/>
          <w:i w:val="false"/>
          <w:color w:val="000000"/>
          <w:sz w:val="22"/>
        </w:rPr>
        <w:t>  </w:t>
      </w:r>
      <w:r>
        <w:rPr>
          <w:rFonts w:ascii="Times New Roman" w:hAnsi="Times New Roman"/>
          <w:b w:val="false"/>
          <w:i w:val="false"/>
          <w:color w:val="000000"/>
          <w:sz w:val="22"/>
        </w:rPr>
        <w:t xml:space="preserve">Records that constitute attorney work product, constitute attorney-client communications, or are otherwise privileged. Attorney work product is confidential under Iowa Code sections </w:t>
      </w:r>
      <w:hyperlink r:id="rId19">
        <w:r>
          <w:rPr>
            <w:rStyle w:val="Hyperlink"/>
            <w:rFonts w:ascii="Times New Roman" w:hAnsi="Times New Roman"/>
            <w:b w:val="false"/>
            <w:i w:val="false"/>
            <w:color w:val="000000"/>
            <w:sz w:val="22"/>
          </w:rPr>
          <w:t>22.7(4)</w:t>
        </w:r>
      </w:hyperlink>
      <w:r>
        <w:rPr>
          <w:rFonts w:ascii="Times New Roman" w:hAnsi="Times New Roman"/>
          <w:b w:val="false"/>
          <w:i w:val="false"/>
          <w:color w:val="000000"/>
          <w:sz w:val="22"/>
        </w:rPr>
        <w:t xml:space="preserve">, </w:t>
      </w:r>
      <w:hyperlink r:id="rId20">
        <w:r>
          <w:rPr>
            <w:rStyle w:val="Hyperlink"/>
            <w:rFonts w:ascii="Times New Roman" w:hAnsi="Times New Roman"/>
            <w:b w:val="false"/>
            <w:i w:val="false"/>
            <w:color w:val="000000"/>
            <w:sz w:val="22"/>
          </w:rPr>
          <w:t>622.10</w:t>
        </w:r>
      </w:hyperlink>
      <w:r>
        <w:rPr>
          <w:rFonts w:ascii="Times New Roman" w:hAnsi="Times New Roman"/>
          <w:b w:val="false"/>
          <w:i w:val="false"/>
          <w:color w:val="000000"/>
          <w:sz w:val="22"/>
        </w:rPr>
        <w:t xml:space="preserve"> and </w:t>
      </w:r>
      <w:hyperlink r:id="rId21">
        <w:r>
          <w:rPr>
            <w:rStyle w:val="Hyperlink"/>
            <w:rFonts w:ascii="Times New Roman" w:hAnsi="Times New Roman"/>
            <w:b w:val="false"/>
            <w:i w:val="false"/>
            <w:color w:val="000000"/>
            <w:sz w:val="22"/>
          </w:rPr>
          <w:t>622.11</w:t>
        </w:r>
      </w:hyperlink>
      <w:r>
        <w:rPr>
          <w:rFonts w:ascii="Times New Roman" w:hAnsi="Times New Roman"/>
          <w:b w:val="false"/>
          <w:i w:val="false"/>
          <w:color w:val="000000"/>
          <w:sz w:val="22"/>
        </w:rPr>
        <w:t xml:space="preserve">; Iowa R.C.P. 1.503(3); Fed. R. Civ. P. 26(b)(3); and case law. Attorney-client communications are confidential under Iowa Code sections </w:t>
      </w:r>
      <w:hyperlink r:id="rId22">
        <w:r>
          <w:rPr>
            <w:rStyle w:val="Hyperlink"/>
            <w:rFonts w:ascii="Times New Roman" w:hAnsi="Times New Roman"/>
            <w:b w:val="false"/>
            <w:i w:val="false"/>
            <w:color w:val="000000"/>
            <w:sz w:val="22"/>
          </w:rPr>
          <w:t>622.10</w:t>
        </w:r>
      </w:hyperlink>
      <w:r>
        <w:rPr>
          <w:rFonts w:ascii="Times New Roman" w:hAnsi="Times New Roman"/>
          <w:b w:val="false"/>
          <w:i w:val="false"/>
          <w:color w:val="000000"/>
          <w:sz w:val="22"/>
        </w:rPr>
        <w:t xml:space="preserve"> and </w:t>
      </w:r>
      <w:hyperlink r:id="rId23">
        <w:r>
          <w:rPr>
            <w:rStyle w:val="Hyperlink"/>
            <w:rFonts w:ascii="Times New Roman" w:hAnsi="Times New Roman"/>
            <w:b w:val="false"/>
            <w:i w:val="false"/>
            <w:color w:val="000000"/>
            <w:sz w:val="22"/>
          </w:rPr>
          <w:t>622.11</w:t>
        </w:r>
      </w:hyperlink>
      <w:r>
        <w:rPr>
          <w:rFonts w:ascii="Times New Roman" w:hAnsi="Times New Roman"/>
          <w:b w:val="false"/>
          <w:i w:val="false"/>
          <w:color w:val="000000"/>
          <w:sz w:val="22"/>
        </w:rPr>
        <w:t>, the rules of evidence, the Code of Professional Responsibility, and case law.</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h.</w:t>
      </w:r>
      <w:r>
        <w:rPr>
          <w:rFonts w:ascii="Times New Roman" w:hAnsi="Times New Roman"/>
          <w:b w:val="false"/>
          <w:i w:val="false"/>
          <w:color w:val="000000"/>
          <w:sz w:val="22"/>
        </w:rPr>
        <w:t>  </w:t>
      </w:r>
      <w:r>
        <w:rPr>
          <w:rFonts w:ascii="Times New Roman" w:hAnsi="Times New Roman"/>
          <w:b w:val="false"/>
          <w:i w:val="false"/>
          <w:color w:val="000000"/>
          <w:sz w:val="22"/>
        </w:rPr>
        <w:t>Any other records made confidential by law.</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2505.5(8)</w:t>
      </w:r>
      <w:r>
        <w:rPr>
          <w:rFonts w:ascii="Times New Roman" w:hAnsi="Times New Roman"/>
          <w:b w:val="false"/>
          <w:i w:val="false"/>
          <w:color w:val="000000"/>
          <w:sz w:val="22"/>
        </w:rPr>
        <w:t> </w:t>
      </w:r>
      <w:r>
        <w:rPr>
          <w:rFonts w:ascii="Times New Roman" w:hAnsi="Times New Roman"/>
          <w:b w:val="false"/>
          <w:i/>
          <w:color w:val="000000"/>
          <w:sz w:val="22"/>
        </w:rPr>
        <w:t xml:space="preserve">Not confidential. </w:t>
      </w:r>
      <w:r>
        <w:rPr>
          <w:rFonts w:ascii="Times New Roman" w:hAnsi="Times New Roman"/>
          <w:b w:val="false"/>
          <w:i w:val="false"/>
          <w:color w:val="000000"/>
          <w:sz w:val="22"/>
        </w:rPr>
        <w:t>Notwithstanding any other provision, the following information will not be considered confidential by the department: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Emission data. For purposes of this subrule, “emission data” means the following, with reference to any source of emission of any substance into the air: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Information necessary to determine the identity, amount, frequency, concentration, or other characteristics (to the extent related to air quality) of any emission that has been emitted by the source (or of any pollutant resulting from any emission by the source) or any combination of the foregoing;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Information necessary to determine the identity, amount, frequency, concentration, or other characteristics (to the extent related to air quality) of the emissions that, under an applicable standard or limitation, the source was authorized to emit (including, to the extent necessary for such purposes, a description of the manner or rate of operation of the source);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A general description of the location and nature of the source to the extent necessary to identify the source and to distinguish it from other sources (including, to the extent necessary for such purposes, a description of the device, installation, or operation constituting the source).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Analytical results of monitoring or public water supply systems;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Name and address of any permit applicant;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NPDES permits, applications (including any information required by NPDES application forms), and effluent data. For purposes of this subrule, “effluent data” means the following, with reference to any source of discharge of any pollutant: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Information necessary to determine the identity, amount, frequency, concentration, temperature, or other characteristics (to the extent related to water quality) of any pollutant that has been emitted by the source (or of any pollutant resulting from any discharge from the source) or any combination of the foregoing;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Information necessary to determine the identity, amount, frequency, concentration, temperature, or other characteristics (to the extent related to water quality) of the pollutants that, under an applicable standard or limitation, the source was authorized to discharge (including, to the extent necessary for such purposes, a description of the manner or rate of operation of the source);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A general description of the location and nature of the source to the extent necessary to identify the source and to distinguish it from other sources (including, to the extent necessary for such purposes, a description of the device, installation, or operation constituting the source).</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0433D</w:t>
      </w:r>
      <w:r>
        <w:rPr>
          <w:rFonts w:ascii="Times New Roman" w:hAnsi="Times New Roman"/>
          <w:b w:val="false"/>
          <w:i w:val="false"/>
          <w:color w:val="000000"/>
          <w:sz w:val="16"/>
        </w:rPr>
        <w:t>, IAB 7/8/26, effective 6/18/26</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561—2505.9</w:t>
      </w:r>
      <w:r>
        <w:rPr>
          <w:rFonts w:ascii="Times New Roman" w:hAnsi="Times New Roman"/>
          <w:b/>
          <w:i w:val="false"/>
          <w:color w:val="000000"/>
          <w:sz w:val="22"/>
        </w:rPr>
        <w:t xml:space="preserve">(17A,22) </w:t>
      </w:r>
      <w:r>
        <w:rPr>
          <w:rFonts w:ascii="Times New Roman" w:hAnsi="Times New Roman"/>
          <w:b/>
          <w:i w:val="false"/>
          <w:color w:val="000000"/>
          <w:sz w:val="22"/>
        </w:rPr>
        <w:t xml:space="preserve">Personally identifiable information. </w:t>
      </w:r>
      <w:r>
        <w:rPr>
          <w:rFonts w:ascii="Times New Roman" w:hAnsi="Times New Roman"/>
          <w:b w:val="false"/>
          <w:i w:val="false"/>
          <w:color w:val="000000"/>
          <w:sz w:val="22"/>
        </w:rPr>
        <w:t>This rule describes the nature and extent of personally identifiable information that is collected, maintained, and retrieved by the department of natural resources by personal identifier in record systems. For the purposes of this rule, “record system” means any group of records under the control of the agency from which a record may be retrieved by a personal identifier, such as the name of an individual, number, symbol, or other unique retriever assigned to an individual. Records maintained by the department of natural resources, the environmental protection commission, and the natural resource commission are in accordance with guidelines as set forth by the state records commission’s file system. An updated index is maintained by the department and is available for public inspection. Records are collected pursuant to authorities contained in Iowa Code title XI. Records are stored on paper; microfilm; microfiche; and, in some cases, automated data processing systems, such as electronic management systems and department web applications. Department of natural resources and natural resource commission records may include but are not limited to the following:</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2505.9(1)</w:t>
      </w:r>
      <w:r>
        <w:rPr>
          <w:rFonts w:ascii="Times New Roman" w:hAnsi="Times New Roman"/>
          <w:b w:val="false"/>
          <w:i w:val="false"/>
          <w:color w:val="000000"/>
          <w:sz w:val="22"/>
        </w:rPr>
        <w:t> </w:t>
      </w:r>
      <w:r>
        <w:rPr>
          <w:rFonts w:ascii="Times New Roman" w:hAnsi="Times New Roman"/>
          <w:b w:val="false"/>
          <w:i w:val="false"/>
          <w:color w:val="000000"/>
          <w:sz w:val="22"/>
        </w:rPr>
        <w:t>Department of natural resources.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color w:val="000000"/>
          <w:sz w:val="22"/>
        </w:rPr>
        <w:t xml:space="preserve">Administration, organization, and management.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Organization and management.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Planning and programming.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Administrative reports.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Insurance and bonding.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(5)</w:t>
      </w:r>
      <w:r>
        <w:rPr>
          <w:rFonts w:ascii="Times New Roman" w:hAnsi="Times New Roman"/>
          <w:b w:val="false"/>
          <w:i w:val="false"/>
          <w:color w:val="000000"/>
          <w:sz w:val="22"/>
        </w:rPr>
        <w:t>  </w:t>
      </w:r>
      <w:r>
        <w:rPr>
          <w:rFonts w:ascii="Times New Roman" w:hAnsi="Times New Roman"/>
          <w:b w:val="false"/>
          <w:i w:val="false"/>
          <w:color w:val="000000"/>
          <w:sz w:val="22"/>
        </w:rPr>
        <w:t>Departmental emergency planning.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(6)</w:t>
      </w:r>
      <w:r>
        <w:rPr>
          <w:rFonts w:ascii="Times New Roman" w:hAnsi="Times New Roman"/>
          <w:b w:val="false"/>
          <w:i w:val="false"/>
          <w:color w:val="000000"/>
          <w:sz w:val="22"/>
        </w:rPr>
        <w:t>  </w:t>
      </w:r>
      <w:r>
        <w:rPr>
          <w:rFonts w:ascii="Times New Roman" w:hAnsi="Times New Roman"/>
          <w:b w:val="false"/>
          <w:i w:val="false"/>
          <w:color w:val="000000"/>
          <w:sz w:val="22"/>
        </w:rPr>
        <w:t>Correspondence and reference materials.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(7)</w:t>
      </w:r>
      <w:r>
        <w:rPr>
          <w:rFonts w:ascii="Times New Roman" w:hAnsi="Times New Roman"/>
          <w:b w:val="false"/>
          <w:i w:val="false"/>
          <w:color w:val="000000"/>
          <w:sz w:val="22"/>
        </w:rPr>
        <w:t>  </w:t>
      </w:r>
      <w:r>
        <w:rPr>
          <w:rFonts w:ascii="Times New Roman" w:hAnsi="Times New Roman"/>
          <w:b w:val="false"/>
          <w:i w:val="false"/>
          <w:color w:val="000000"/>
          <w:sz w:val="22"/>
        </w:rPr>
        <w:t>Information and public relations.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color w:val="000000"/>
          <w:sz w:val="22"/>
        </w:rPr>
        <w:t xml:space="preserve">Budgets, accounting and financial analysis.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Budget information.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Accounting.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Cost accounting.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color w:val="000000"/>
          <w:sz w:val="22"/>
        </w:rPr>
        <w:t xml:space="preserve">Office services and facilities management.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Communications.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Printing and reproduction.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Records management.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Motor pool operations.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(5)</w:t>
      </w:r>
      <w:r>
        <w:rPr>
          <w:rFonts w:ascii="Times New Roman" w:hAnsi="Times New Roman"/>
          <w:b w:val="false"/>
          <w:i w:val="false"/>
          <w:color w:val="000000"/>
          <w:sz w:val="22"/>
        </w:rPr>
        <w:t>  </w:t>
      </w:r>
      <w:r>
        <w:rPr>
          <w:rFonts w:ascii="Times New Roman" w:hAnsi="Times New Roman"/>
          <w:b w:val="false"/>
          <w:i w:val="false"/>
          <w:color w:val="000000"/>
          <w:sz w:val="22"/>
        </w:rPr>
        <w:t>Facilities management.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(6)</w:t>
      </w:r>
      <w:r>
        <w:rPr>
          <w:rFonts w:ascii="Times New Roman" w:hAnsi="Times New Roman"/>
          <w:b w:val="false"/>
          <w:i w:val="false"/>
          <w:color w:val="000000"/>
          <w:sz w:val="22"/>
        </w:rPr>
        <w:t>  </w:t>
      </w:r>
      <w:r>
        <w:rPr>
          <w:rFonts w:ascii="Times New Roman" w:hAnsi="Times New Roman"/>
          <w:b w:val="false"/>
          <w:i w:val="false"/>
          <w:color w:val="000000"/>
          <w:sz w:val="22"/>
        </w:rPr>
        <w:t>Engineering and construction.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color w:val="000000"/>
          <w:sz w:val="22"/>
        </w:rPr>
        <w:t xml:space="preserve">Equipment, supplies, and services.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Procurement.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Property accountability.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color w:val="000000"/>
          <w:sz w:val="22"/>
        </w:rPr>
        <w:t xml:space="preserve">Legislative and legal.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Department legislative liaison.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Bills, joint resolutions, amendments, messages, and reports.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Federal government.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Administrative procedures.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(5)</w:t>
      </w:r>
      <w:r>
        <w:rPr>
          <w:rFonts w:ascii="Times New Roman" w:hAnsi="Times New Roman"/>
          <w:b w:val="false"/>
          <w:i w:val="false"/>
          <w:color w:val="000000"/>
          <w:sz w:val="22"/>
        </w:rPr>
        <w:t>  </w:t>
      </w:r>
      <w:r>
        <w:rPr>
          <w:rFonts w:ascii="Times New Roman" w:hAnsi="Times New Roman"/>
          <w:b w:val="false"/>
          <w:i w:val="false"/>
          <w:color w:val="000000"/>
          <w:sz w:val="22"/>
        </w:rPr>
        <w:t>Attorney general opinions and research materials.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(6)</w:t>
      </w:r>
      <w:r>
        <w:rPr>
          <w:rFonts w:ascii="Times New Roman" w:hAnsi="Times New Roman"/>
          <w:b w:val="false"/>
          <w:i w:val="false"/>
          <w:color w:val="000000"/>
          <w:sz w:val="22"/>
        </w:rPr>
        <w:t>  </w:t>
      </w:r>
      <w:r>
        <w:rPr>
          <w:rFonts w:ascii="Times New Roman" w:hAnsi="Times New Roman"/>
          <w:b w:val="false"/>
          <w:i w:val="false"/>
          <w:color w:val="000000"/>
          <w:sz w:val="22"/>
        </w:rPr>
        <w:t>Claims against the state.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(7)</w:t>
      </w:r>
      <w:r>
        <w:rPr>
          <w:rFonts w:ascii="Times New Roman" w:hAnsi="Times New Roman"/>
          <w:b w:val="false"/>
          <w:i w:val="false"/>
          <w:color w:val="000000"/>
          <w:sz w:val="22"/>
        </w:rPr>
        <w:t>  </w:t>
      </w:r>
      <w:r>
        <w:rPr>
          <w:rFonts w:ascii="Times New Roman" w:hAnsi="Times New Roman"/>
          <w:b w:val="false"/>
          <w:i w:val="false"/>
          <w:color w:val="000000"/>
          <w:sz w:val="22"/>
        </w:rPr>
        <w:t>Lawsuits filed by the state.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(8)</w:t>
      </w:r>
      <w:r>
        <w:rPr>
          <w:rFonts w:ascii="Times New Roman" w:hAnsi="Times New Roman"/>
          <w:b w:val="false"/>
          <w:i w:val="false"/>
          <w:color w:val="000000"/>
          <w:sz w:val="22"/>
        </w:rPr>
        <w:t>  </w:t>
      </w:r>
      <w:r>
        <w:rPr>
          <w:rFonts w:ascii="Times New Roman" w:hAnsi="Times New Roman"/>
          <w:b w:val="false"/>
          <w:i w:val="false"/>
          <w:color w:val="000000"/>
          <w:sz w:val="22"/>
        </w:rPr>
        <w:t>28E agreements.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color w:val="000000"/>
          <w:sz w:val="22"/>
        </w:rPr>
        <w:t xml:space="preserve">Personnel and payroll.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Employee personnel/payroll files.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Merit rules.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Payroll administration.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Position classification.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(5)</w:t>
      </w:r>
      <w:r>
        <w:rPr>
          <w:rFonts w:ascii="Times New Roman" w:hAnsi="Times New Roman"/>
          <w:b w:val="false"/>
          <w:i w:val="false"/>
          <w:color w:val="000000"/>
          <w:sz w:val="22"/>
        </w:rPr>
        <w:t>  </w:t>
      </w:r>
      <w:r>
        <w:rPr>
          <w:rFonts w:ascii="Times New Roman" w:hAnsi="Times New Roman"/>
          <w:b w:val="false"/>
          <w:i w:val="false"/>
          <w:color w:val="000000"/>
          <w:sz w:val="22"/>
        </w:rPr>
        <w:t>Preemployment.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(6)</w:t>
      </w:r>
      <w:r>
        <w:rPr>
          <w:rFonts w:ascii="Times New Roman" w:hAnsi="Times New Roman"/>
          <w:b w:val="false"/>
          <w:i w:val="false"/>
          <w:color w:val="000000"/>
          <w:sz w:val="22"/>
        </w:rPr>
        <w:t>  </w:t>
      </w:r>
      <w:r>
        <w:rPr>
          <w:rFonts w:ascii="Times New Roman" w:hAnsi="Times New Roman"/>
          <w:b w:val="false"/>
          <w:i w:val="false"/>
          <w:color w:val="000000"/>
          <w:sz w:val="22"/>
        </w:rPr>
        <w:t>Certification and selection.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(7)</w:t>
      </w:r>
      <w:r>
        <w:rPr>
          <w:rFonts w:ascii="Times New Roman" w:hAnsi="Times New Roman"/>
          <w:b w:val="false"/>
          <w:i w:val="false"/>
          <w:color w:val="000000"/>
          <w:sz w:val="22"/>
        </w:rPr>
        <w:t>  </w:t>
      </w:r>
      <w:r>
        <w:rPr>
          <w:rFonts w:ascii="Times New Roman" w:hAnsi="Times New Roman"/>
          <w:b w:val="false"/>
          <w:i w:val="false"/>
          <w:color w:val="000000"/>
          <w:sz w:val="22"/>
        </w:rPr>
        <w:t>Scheduling, assignments, and working hours.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(8)</w:t>
      </w:r>
      <w:r>
        <w:rPr>
          <w:rFonts w:ascii="Times New Roman" w:hAnsi="Times New Roman"/>
          <w:b w:val="false"/>
          <w:i w:val="false"/>
          <w:color w:val="000000"/>
          <w:sz w:val="22"/>
        </w:rPr>
        <w:t>  </w:t>
      </w:r>
      <w:r>
        <w:rPr>
          <w:rFonts w:ascii="Times New Roman" w:hAnsi="Times New Roman"/>
          <w:b w:val="false"/>
          <w:i w:val="false"/>
          <w:color w:val="000000"/>
          <w:sz w:val="22"/>
        </w:rPr>
        <w:t>Grievances.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(9)</w:t>
      </w:r>
      <w:r>
        <w:rPr>
          <w:rFonts w:ascii="Times New Roman" w:hAnsi="Times New Roman"/>
          <w:b w:val="false"/>
          <w:i w:val="false"/>
          <w:color w:val="000000"/>
          <w:sz w:val="22"/>
        </w:rPr>
        <w:t>  </w:t>
      </w:r>
      <w:r>
        <w:rPr>
          <w:rFonts w:ascii="Times New Roman" w:hAnsi="Times New Roman"/>
          <w:b w:val="false"/>
          <w:i w:val="false"/>
          <w:color w:val="000000"/>
          <w:sz w:val="22"/>
        </w:rPr>
        <w:t>Training and education.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(10)</w:t>
      </w:r>
      <w:r>
        <w:rPr>
          <w:rFonts w:ascii="Times New Roman" w:hAnsi="Times New Roman"/>
          <w:b w:val="false"/>
          <w:i w:val="false"/>
          <w:color w:val="000000"/>
          <w:sz w:val="22"/>
        </w:rPr>
        <w:t>  </w:t>
      </w:r>
      <w:r>
        <w:rPr>
          <w:rFonts w:ascii="Times New Roman" w:hAnsi="Times New Roman"/>
          <w:b w:val="false"/>
          <w:i w:val="false"/>
          <w:color w:val="000000"/>
          <w:sz w:val="22"/>
        </w:rPr>
        <w:t>Employee benefits and welfare.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(11)</w:t>
      </w:r>
      <w:r>
        <w:rPr>
          <w:rFonts w:ascii="Times New Roman" w:hAnsi="Times New Roman"/>
          <w:b w:val="false"/>
          <w:i w:val="false"/>
          <w:color w:val="000000"/>
          <w:sz w:val="22"/>
        </w:rPr>
        <w:t>  </w:t>
      </w:r>
      <w:r>
        <w:rPr>
          <w:rFonts w:ascii="Times New Roman" w:hAnsi="Times New Roman"/>
          <w:b w:val="false"/>
          <w:i w:val="false"/>
          <w:color w:val="000000"/>
          <w:sz w:val="22"/>
        </w:rPr>
        <w:t>Employment relations.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(12)</w:t>
      </w:r>
      <w:r>
        <w:rPr>
          <w:rFonts w:ascii="Times New Roman" w:hAnsi="Times New Roman"/>
          <w:b w:val="false"/>
          <w:i w:val="false"/>
          <w:color w:val="000000"/>
          <w:sz w:val="22"/>
        </w:rPr>
        <w:t>  </w:t>
      </w:r>
      <w:r>
        <w:rPr>
          <w:rFonts w:ascii="Times New Roman" w:hAnsi="Times New Roman"/>
          <w:b w:val="false"/>
          <w:i w:val="false"/>
          <w:color w:val="000000"/>
          <w:sz w:val="22"/>
        </w:rPr>
        <w:t>Equal employment opportunity.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(13)</w:t>
      </w:r>
      <w:r>
        <w:rPr>
          <w:rFonts w:ascii="Times New Roman" w:hAnsi="Times New Roman"/>
          <w:b w:val="false"/>
          <w:i w:val="false"/>
          <w:color w:val="000000"/>
          <w:sz w:val="22"/>
        </w:rPr>
        <w:t>  </w:t>
      </w:r>
      <w:r>
        <w:rPr>
          <w:rFonts w:ascii="Times New Roman" w:hAnsi="Times New Roman"/>
          <w:b w:val="false"/>
          <w:i w:val="false"/>
          <w:color w:val="000000"/>
          <w:sz w:val="22"/>
        </w:rPr>
        <w:t>Management improvement programs.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(14)</w:t>
      </w:r>
      <w:r>
        <w:rPr>
          <w:rFonts w:ascii="Times New Roman" w:hAnsi="Times New Roman"/>
          <w:b w:val="false"/>
          <w:i w:val="false"/>
          <w:color w:val="000000"/>
          <w:sz w:val="22"/>
        </w:rPr>
        <w:t>  </w:t>
      </w:r>
      <w:r>
        <w:rPr>
          <w:rFonts w:ascii="Times New Roman" w:hAnsi="Times New Roman"/>
          <w:b w:val="false"/>
          <w:i w:val="false"/>
          <w:color w:val="000000"/>
          <w:sz w:val="22"/>
        </w:rPr>
        <w:t>Delegation of authority and signature authorization.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g.</w:t>
      </w:r>
      <w:r>
        <w:rPr>
          <w:rFonts w:ascii="Times New Roman" w:hAnsi="Times New Roman"/>
          <w:b w:val="false"/>
          <w:i w:val="false"/>
          <w:color w:val="000000"/>
          <w:sz w:val="22"/>
        </w:rPr>
        <w:t>  </w:t>
      </w:r>
      <w:r>
        <w:rPr>
          <w:rFonts w:ascii="Times New Roman" w:hAnsi="Times New Roman"/>
          <w:b w:val="false"/>
          <w:i/>
          <w:color w:val="000000"/>
          <w:sz w:val="22"/>
        </w:rPr>
        <w:t xml:space="preserve">Conservation and environment.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Geology.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Surface and groundwater monitoring.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Natural resources geographic information system (GIS) library.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Oil/gas exploration and drilling.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Water conservation.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Land conservation.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Soil conservation.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(5)</w:t>
      </w:r>
      <w:r>
        <w:rPr>
          <w:rFonts w:ascii="Times New Roman" w:hAnsi="Times New Roman"/>
          <w:b w:val="false"/>
          <w:i w:val="false"/>
          <w:color w:val="000000"/>
          <w:sz w:val="22"/>
        </w:rPr>
        <w:t>  </w:t>
      </w:r>
      <w:r>
        <w:rPr>
          <w:rFonts w:ascii="Times New Roman" w:hAnsi="Times New Roman"/>
          <w:b w:val="false"/>
          <w:i w:val="false"/>
          <w:color w:val="000000"/>
          <w:sz w:val="22"/>
        </w:rPr>
        <w:t>Forestry management.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(6)</w:t>
      </w:r>
      <w:r>
        <w:rPr>
          <w:rFonts w:ascii="Times New Roman" w:hAnsi="Times New Roman"/>
          <w:b w:val="false"/>
          <w:i w:val="false"/>
          <w:color w:val="000000"/>
          <w:sz w:val="22"/>
        </w:rPr>
        <w:t>  </w:t>
      </w:r>
      <w:r>
        <w:rPr>
          <w:rFonts w:ascii="Times New Roman" w:hAnsi="Times New Roman"/>
          <w:b w:val="false"/>
          <w:i w:val="false"/>
          <w:color w:val="000000"/>
          <w:sz w:val="22"/>
        </w:rPr>
        <w:t>Fish and game conservation.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(7)</w:t>
      </w:r>
      <w:r>
        <w:rPr>
          <w:rFonts w:ascii="Times New Roman" w:hAnsi="Times New Roman"/>
          <w:b w:val="false"/>
          <w:i w:val="false"/>
          <w:color w:val="000000"/>
          <w:sz w:val="22"/>
        </w:rPr>
        <w:t>  </w:t>
      </w:r>
      <w:r>
        <w:rPr>
          <w:rFonts w:ascii="Times New Roman" w:hAnsi="Times New Roman"/>
          <w:b w:val="false"/>
          <w:i w:val="false"/>
          <w:color w:val="000000"/>
          <w:sz w:val="22"/>
        </w:rPr>
        <w:t>Recreation.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(8)</w:t>
      </w:r>
      <w:r>
        <w:rPr>
          <w:rFonts w:ascii="Times New Roman" w:hAnsi="Times New Roman"/>
          <w:b w:val="false"/>
          <w:i w:val="false"/>
          <w:color w:val="000000"/>
          <w:sz w:val="22"/>
        </w:rPr>
        <w:t>  </w:t>
      </w:r>
      <w:r>
        <w:rPr>
          <w:rFonts w:ascii="Times New Roman" w:hAnsi="Times New Roman"/>
          <w:b w:val="false"/>
          <w:i w:val="false"/>
          <w:color w:val="000000"/>
          <w:sz w:val="22"/>
        </w:rPr>
        <w:t>Environmental technology.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(9)</w:t>
      </w:r>
      <w:r>
        <w:rPr>
          <w:rFonts w:ascii="Times New Roman" w:hAnsi="Times New Roman"/>
          <w:b w:val="false"/>
          <w:i w:val="false"/>
          <w:color w:val="000000"/>
          <w:sz w:val="22"/>
        </w:rPr>
        <w:t>  </w:t>
      </w:r>
      <w:r>
        <w:rPr>
          <w:rFonts w:ascii="Times New Roman" w:hAnsi="Times New Roman"/>
          <w:b w:val="false"/>
          <w:i w:val="false"/>
          <w:color w:val="000000"/>
          <w:sz w:val="22"/>
        </w:rPr>
        <w:t>Air quality monitoring.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(10)</w:t>
      </w:r>
      <w:r>
        <w:rPr>
          <w:rFonts w:ascii="Times New Roman" w:hAnsi="Times New Roman"/>
          <w:b w:val="false"/>
          <w:i w:val="false"/>
          <w:color w:val="000000"/>
          <w:sz w:val="22"/>
        </w:rPr>
        <w:t>  </w:t>
      </w:r>
      <w:r>
        <w:rPr>
          <w:rFonts w:ascii="Times New Roman" w:hAnsi="Times New Roman"/>
          <w:b w:val="false"/>
          <w:i w:val="false"/>
          <w:color w:val="000000"/>
          <w:sz w:val="22"/>
        </w:rPr>
        <w:t>Water quality monitoring.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(11)</w:t>
      </w:r>
      <w:r>
        <w:rPr>
          <w:rFonts w:ascii="Times New Roman" w:hAnsi="Times New Roman"/>
          <w:b w:val="false"/>
          <w:i w:val="false"/>
          <w:color w:val="000000"/>
          <w:sz w:val="22"/>
        </w:rPr>
        <w:t>  </w:t>
      </w:r>
      <w:r>
        <w:rPr>
          <w:rFonts w:ascii="Times New Roman" w:hAnsi="Times New Roman"/>
          <w:b w:val="false"/>
          <w:i w:val="false"/>
          <w:color w:val="000000"/>
          <w:sz w:val="22"/>
        </w:rPr>
        <w:t>Land quality monitoring.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(12)</w:t>
      </w:r>
      <w:r>
        <w:rPr>
          <w:rFonts w:ascii="Times New Roman" w:hAnsi="Times New Roman"/>
          <w:b w:val="false"/>
          <w:i w:val="false"/>
          <w:color w:val="000000"/>
          <w:sz w:val="22"/>
        </w:rPr>
        <w:t>  </w:t>
      </w:r>
      <w:r>
        <w:rPr>
          <w:rFonts w:ascii="Times New Roman" w:hAnsi="Times New Roman"/>
          <w:b w:val="false"/>
          <w:i w:val="false"/>
          <w:color w:val="000000"/>
          <w:sz w:val="22"/>
        </w:rPr>
        <w:t>Hazardous material planning.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Hazardous waste management.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Underground storage tanks.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Leaking underground storage tanks.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(13)</w:t>
      </w:r>
      <w:r>
        <w:rPr>
          <w:rFonts w:ascii="Times New Roman" w:hAnsi="Times New Roman"/>
          <w:b w:val="false"/>
          <w:i w:val="false"/>
          <w:color w:val="000000"/>
          <w:sz w:val="22"/>
        </w:rPr>
        <w:t>  </w:t>
      </w:r>
      <w:r>
        <w:rPr>
          <w:rFonts w:ascii="Times New Roman" w:hAnsi="Times New Roman"/>
          <w:b w:val="false"/>
          <w:i w:val="false"/>
          <w:color w:val="000000"/>
          <w:sz w:val="22"/>
        </w:rPr>
        <w:t>Radioactive materials.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(14)</w:t>
      </w:r>
      <w:r>
        <w:rPr>
          <w:rFonts w:ascii="Times New Roman" w:hAnsi="Times New Roman"/>
          <w:b w:val="false"/>
          <w:i w:val="false"/>
          <w:color w:val="000000"/>
          <w:sz w:val="22"/>
        </w:rPr>
        <w:t>  </w:t>
      </w:r>
      <w:r>
        <w:rPr>
          <w:rFonts w:ascii="Times New Roman" w:hAnsi="Times New Roman"/>
          <w:b w:val="false"/>
          <w:i w:val="false"/>
          <w:color w:val="000000"/>
          <w:sz w:val="22"/>
        </w:rPr>
        <w:t>Environmental—interdisciplinary.</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2505.9(2)</w:t>
      </w:r>
      <w:r>
        <w:rPr>
          <w:rFonts w:ascii="Times New Roman" w:hAnsi="Times New Roman"/>
          <w:b w:val="false"/>
          <w:i w:val="false"/>
          <w:color w:val="000000"/>
          <w:sz w:val="22"/>
        </w:rPr>
        <w:t> </w:t>
      </w:r>
      <w:r>
        <w:rPr>
          <w:rFonts w:ascii="Times New Roman" w:hAnsi="Times New Roman"/>
          <w:b w:val="false"/>
          <w:i w:val="false"/>
          <w:color w:val="000000"/>
          <w:sz w:val="22"/>
        </w:rPr>
        <w:t>Natural resource commission.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Tort claims investigations.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Numerous licensing files.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Lifetime licenses.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Boat registrations.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Docks, mooring, buoys or raft registrations.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val="false"/>
          <w:color w:val="000000"/>
          <w:sz w:val="22"/>
        </w:rPr>
        <w:t>Snowmobile registrations.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g.</w:t>
      </w:r>
      <w:r>
        <w:rPr>
          <w:rFonts w:ascii="Times New Roman" w:hAnsi="Times New Roman"/>
          <w:b w:val="false"/>
          <w:i w:val="false"/>
          <w:color w:val="000000"/>
          <w:sz w:val="22"/>
        </w:rPr>
        <w:t>  </w:t>
      </w:r>
      <w:r>
        <w:rPr>
          <w:rFonts w:ascii="Times New Roman" w:hAnsi="Times New Roman"/>
          <w:b w:val="false"/>
          <w:i w:val="false"/>
          <w:color w:val="000000"/>
          <w:sz w:val="22"/>
        </w:rPr>
        <w:t>Miscellaneous mailing list (e.g., magazine).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h.</w:t>
      </w:r>
      <w:r>
        <w:rPr>
          <w:rFonts w:ascii="Times New Roman" w:hAnsi="Times New Roman"/>
          <w:b w:val="false"/>
          <w:i w:val="false"/>
          <w:color w:val="000000"/>
          <w:sz w:val="22"/>
        </w:rPr>
        <w:t>  </w:t>
      </w:r>
      <w:r>
        <w:rPr>
          <w:rFonts w:ascii="Times New Roman" w:hAnsi="Times New Roman"/>
          <w:b w:val="false"/>
          <w:i w:val="false"/>
          <w:color w:val="000000"/>
          <w:sz w:val="22"/>
        </w:rPr>
        <w:t>Payroll and personnel information system.</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i.</w:t>
      </w:r>
      <w:r>
        <w:rPr>
          <w:rFonts w:ascii="Times New Roman" w:hAnsi="Times New Roman"/>
          <w:b w:val="false"/>
          <w:i w:val="false"/>
          <w:color w:val="000000"/>
          <w:sz w:val="22"/>
        </w:rPr>
        <w:t>  </w:t>
      </w:r>
      <w:r>
        <w:rPr>
          <w:rFonts w:ascii="Times New Roman" w:hAnsi="Times New Roman"/>
          <w:b w:val="false"/>
          <w:i w:val="false"/>
          <w:color w:val="000000"/>
          <w:sz w:val="22"/>
        </w:rPr>
        <w:t>Fur buyer reports.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j.</w:t>
      </w:r>
      <w:r>
        <w:rPr>
          <w:rFonts w:ascii="Times New Roman" w:hAnsi="Times New Roman"/>
          <w:b w:val="false"/>
          <w:i w:val="false"/>
          <w:color w:val="000000"/>
          <w:sz w:val="22"/>
        </w:rPr>
        <w:t>  </w:t>
      </w:r>
      <w:r>
        <w:rPr>
          <w:rFonts w:ascii="Times New Roman" w:hAnsi="Times New Roman"/>
          <w:b w:val="false"/>
          <w:i w:val="false"/>
          <w:color w:val="000000"/>
          <w:sz w:val="22"/>
        </w:rPr>
        <w:t>Fish and game violations.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k.</w:t>
      </w:r>
      <w:r>
        <w:rPr>
          <w:rFonts w:ascii="Times New Roman" w:hAnsi="Times New Roman"/>
          <w:b w:val="false"/>
          <w:i w:val="false"/>
          <w:color w:val="000000"/>
          <w:sz w:val="22"/>
        </w:rPr>
        <w:t>  </w:t>
      </w:r>
      <w:r>
        <w:rPr>
          <w:rFonts w:ascii="Times New Roman" w:hAnsi="Times New Roman"/>
          <w:b w:val="false"/>
          <w:i w:val="false"/>
          <w:color w:val="000000"/>
          <w:sz w:val="22"/>
        </w:rPr>
        <w:t>Safety certified students (hunter safety, snowmobile safety, and boating safety).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l.</w:t>
      </w:r>
      <w:r>
        <w:rPr>
          <w:rFonts w:ascii="Times New Roman" w:hAnsi="Times New Roman"/>
          <w:b w:val="false"/>
          <w:i w:val="false"/>
          <w:color w:val="000000"/>
          <w:sz w:val="22"/>
        </w:rPr>
        <w:t>  </w:t>
      </w:r>
      <w:r>
        <w:rPr>
          <w:rFonts w:ascii="Times New Roman" w:hAnsi="Times New Roman"/>
          <w:b w:val="false"/>
          <w:i w:val="false"/>
          <w:color w:val="000000"/>
          <w:sz w:val="22"/>
        </w:rPr>
        <w:t>Special events applications and permits.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m.</w:t>
      </w:r>
      <w:r>
        <w:rPr>
          <w:rFonts w:ascii="Times New Roman" w:hAnsi="Times New Roman"/>
          <w:b w:val="false"/>
          <w:i w:val="false"/>
          <w:color w:val="000000"/>
          <w:sz w:val="22"/>
        </w:rPr>
        <w:t>  </w:t>
      </w:r>
      <w:r>
        <w:rPr>
          <w:rFonts w:ascii="Times New Roman" w:hAnsi="Times New Roman"/>
          <w:b w:val="false"/>
          <w:i w:val="false"/>
          <w:color w:val="000000"/>
          <w:sz w:val="22"/>
        </w:rPr>
        <w:t>Snowmobile accident reports.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n.</w:t>
      </w:r>
      <w:r>
        <w:rPr>
          <w:rFonts w:ascii="Times New Roman" w:hAnsi="Times New Roman"/>
          <w:b w:val="false"/>
          <w:i w:val="false"/>
          <w:color w:val="000000"/>
          <w:sz w:val="22"/>
        </w:rPr>
        <w:t>  </w:t>
      </w:r>
      <w:r>
        <w:rPr>
          <w:rFonts w:ascii="Times New Roman" w:hAnsi="Times New Roman"/>
          <w:b w:val="false"/>
          <w:i w:val="false"/>
          <w:color w:val="000000"/>
          <w:sz w:val="22"/>
        </w:rPr>
        <w:t>Boating accident reports.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o.</w:t>
      </w:r>
      <w:r>
        <w:rPr>
          <w:rFonts w:ascii="Times New Roman" w:hAnsi="Times New Roman"/>
          <w:b w:val="false"/>
          <w:i w:val="false"/>
          <w:color w:val="000000"/>
          <w:sz w:val="22"/>
        </w:rPr>
        <w:t>  </w:t>
      </w:r>
      <w:r>
        <w:rPr>
          <w:rFonts w:ascii="Times New Roman" w:hAnsi="Times New Roman"/>
          <w:b w:val="false"/>
          <w:i w:val="false"/>
          <w:color w:val="000000"/>
          <w:sz w:val="22"/>
        </w:rPr>
        <w:t>Drowning reports.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p.</w:t>
      </w:r>
      <w:r>
        <w:rPr>
          <w:rFonts w:ascii="Times New Roman" w:hAnsi="Times New Roman"/>
          <w:b w:val="false"/>
          <w:i w:val="false"/>
          <w:color w:val="000000"/>
          <w:sz w:val="22"/>
        </w:rPr>
        <w:t>  </w:t>
      </w:r>
      <w:r>
        <w:rPr>
          <w:rFonts w:ascii="Times New Roman" w:hAnsi="Times New Roman"/>
          <w:b w:val="false"/>
          <w:i w:val="false"/>
          <w:color w:val="000000"/>
          <w:sz w:val="22"/>
        </w:rPr>
        <w:t>Timber buyer reports and bonds.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q.</w:t>
      </w:r>
      <w:r>
        <w:rPr>
          <w:rFonts w:ascii="Times New Roman" w:hAnsi="Times New Roman"/>
          <w:b w:val="false"/>
          <w:i w:val="false"/>
          <w:color w:val="000000"/>
          <w:sz w:val="22"/>
        </w:rPr>
        <w:t>  </w:t>
      </w:r>
      <w:r>
        <w:rPr>
          <w:rFonts w:ascii="Times New Roman" w:hAnsi="Times New Roman"/>
          <w:b w:val="false"/>
          <w:i w:val="false"/>
          <w:color w:val="000000"/>
          <w:sz w:val="22"/>
        </w:rPr>
        <w:t>Work programs with Iowa State University.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r.</w:t>
      </w:r>
      <w:r>
        <w:rPr>
          <w:rFonts w:ascii="Times New Roman" w:hAnsi="Times New Roman"/>
          <w:b w:val="false"/>
          <w:i w:val="false"/>
          <w:color w:val="000000"/>
          <w:sz w:val="22"/>
        </w:rPr>
        <w:t>  </w:t>
      </w:r>
      <w:r>
        <w:rPr>
          <w:rFonts w:ascii="Times New Roman" w:hAnsi="Times New Roman"/>
          <w:b w:val="false"/>
          <w:i w:val="false"/>
          <w:color w:val="000000"/>
          <w:sz w:val="22"/>
        </w:rPr>
        <w:t>Timber management and forestry.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s.</w:t>
      </w:r>
      <w:r>
        <w:rPr>
          <w:rFonts w:ascii="Times New Roman" w:hAnsi="Times New Roman"/>
          <w:b w:val="false"/>
          <w:i w:val="false"/>
          <w:color w:val="000000"/>
          <w:sz w:val="22"/>
        </w:rPr>
        <w:t>  </w:t>
      </w:r>
      <w:r>
        <w:rPr>
          <w:rFonts w:ascii="Times New Roman" w:hAnsi="Times New Roman"/>
          <w:b w:val="false"/>
          <w:i w:val="false"/>
          <w:color w:val="000000"/>
          <w:sz w:val="22"/>
        </w:rPr>
        <w:t>State park ranger violation reports.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t.</w:t>
      </w:r>
      <w:r>
        <w:rPr>
          <w:rFonts w:ascii="Times New Roman" w:hAnsi="Times New Roman"/>
          <w:b w:val="false"/>
          <w:i w:val="false"/>
          <w:color w:val="000000"/>
          <w:sz w:val="22"/>
        </w:rPr>
        <w:t>  </w:t>
      </w:r>
      <w:r>
        <w:rPr>
          <w:rFonts w:ascii="Times New Roman" w:hAnsi="Times New Roman"/>
          <w:b w:val="false"/>
          <w:i w:val="false"/>
          <w:color w:val="000000"/>
          <w:sz w:val="22"/>
        </w:rPr>
        <w:t>Incident reports.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u.</w:t>
      </w:r>
      <w:r>
        <w:rPr>
          <w:rFonts w:ascii="Times New Roman" w:hAnsi="Times New Roman"/>
          <w:b w:val="false"/>
          <w:i w:val="false"/>
          <w:color w:val="000000"/>
          <w:sz w:val="22"/>
        </w:rPr>
        <w:t>  </w:t>
      </w:r>
      <w:r>
        <w:rPr>
          <w:rFonts w:ascii="Times New Roman" w:hAnsi="Times New Roman"/>
          <w:b w:val="false"/>
          <w:i w:val="false"/>
          <w:color w:val="000000"/>
          <w:sz w:val="22"/>
        </w:rPr>
        <w:t>Donations.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v.</w:t>
      </w:r>
      <w:r>
        <w:rPr>
          <w:rFonts w:ascii="Times New Roman" w:hAnsi="Times New Roman"/>
          <w:b w:val="false"/>
          <w:i w:val="false"/>
          <w:color w:val="000000"/>
          <w:sz w:val="22"/>
        </w:rPr>
        <w:t>  </w:t>
      </w:r>
      <w:r>
        <w:rPr>
          <w:rFonts w:ascii="Times New Roman" w:hAnsi="Times New Roman"/>
          <w:b w:val="false"/>
          <w:i w:val="false"/>
          <w:color w:val="000000"/>
          <w:sz w:val="22"/>
        </w:rPr>
        <w:t>Real estate acquisition.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w.</w:t>
      </w:r>
      <w:r>
        <w:rPr>
          <w:rFonts w:ascii="Times New Roman" w:hAnsi="Times New Roman"/>
          <w:b w:val="false"/>
          <w:i w:val="false"/>
          <w:color w:val="000000"/>
          <w:sz w:val="22"/>
        </w:rPr>
        <w:t>  </w:t>
      </w:r>
      <w:r>
        <w:rPr>
          <w:rFonts w:ascii="Times New Roman" w:hAnsi="Times New Roman"/>
          <w:b w:val="false"/>
          <w:i w:val="false"/>
          <w:color w:val="000000"/>
          <w:sz w:val="22"/>
        </w:rPr>
        <w:t>Encroachments.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x.</w:t>
      </w:r>
      <w:r>
        <w:rPr>
          <w:rFonts w:ascii="Times New Roman" w:hAnsi="Times New Roman"/>
          <w:b w:val="false"/>
          <w:i w:val="false"/>
          <w:color w:val="000000"/>
          <w:sz w:val="22"/>
        </w:rPr>
        <w:t>  </w:t>
      </w:r>
      <w:r>
        <w:rPr>
          <w:rFonts w:ascii="Times New Roman" w:hAnsi="Times New Roman"/>
          <w:b w:val="false"/>
          <w:i w:val="false"/>
          <w:color w:val="000000"/>
          <w:sz w:val="22"/>
        </w:rPr>
        <w:t>Campground host program.</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y.</w:t>
      </w:r>
      <w:r>
        <w:rPr>
          <w:rFonts w:ascii="Times New Roman" w:hAnsi="Times New Roman"/>
          <w:b w:val="false"/>
          <w:i w:val="false"/>
          <w:color w:val="000000"/>
          <w:sz w:val="22"/>
        </w:rPr>
        <w:t>  </w:t>
      </w:r>
      <w:r>
        <w:rPr>
          <w:rFonts w:ascii="Times New Roman" w:hAnsi="Times New Roman"/>
          <w:b w:val="false"/>
          <w:i w:val="false"/>
          <w:color w:val="000000"/>
          <w:sz w:val="22"/>
        </w:rPr>
        <w:t>Law enforcement intelligence network (LEIN) and turn in poachers (TIP).</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z.</w:t>
      </w:r>
      <w:r>
        <w:rPr>
          <w:rFonts w:ascii="Times New Roman" w:hAnsi="Times New Roman"/>
          <w:b w:val="false"/>
          <w:i w:val="false"/>
          <w:color w:val="000000"/>
          <w:sz w:val="22"/>
        </w:rPr>
        <w:t>  </w:t>
      </w:r>
      <w:r>
        <w:rPr>
          <w:rFonts w:ascii="Times New Roman" w:hAnsi="Times New Roman"/>
          <w:b w:val="false"/>
          <w:i w:val="false"/>
          <w:color w:val="000000"/>
          <w:sz w:val="22"/>
        </w:rPr>
        <w:t>Park leases and concessions.</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0433D</w:t>
      </w:r>
      <w:r>
        <w:rPr>
          <w:rFonts w:ascii="Times New Roman" w:hAnsi="Times New Roman"/>
          <w:b w:val="false"/>
          <w:i w:val="false"/>
          <w:color w:val="000000"/>
          <w:sz w:val="16"/>
        </w:rPr>
        <w:t>, IAB 7/8/26, effective 6/18/26</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561—2505.10</w:t>
      </w:r>
      <w:r>
        <w:rPr>
          <w:rFonts w:ascii="Times New Roman" w:hAnsi="Times New Roman"/>
          <w:b/>
          <w:i w:val="false"/>
          <w:color w:val="000000"/>
          <w:sz w:val="22"/>
        </w:rPr>
        <w:t xml:space="preserve">(17A,22) </w:t>
      </w:r>
      <w:r>
        <w:rPr>
          <w:rFonts w:ascii="Times New Roman" w:hAnsi="Times New Roman"/>
          <w:b/>
          <w:i w:val="false"/>
          <w:color w:val="000000"/>
          <w:sz w:val="22"/>
        </w:rPr>
        <w:t xml:space="preserve">Other groups of records. </w:t>
      </w:r>
      <w:r>
        <w:rPr>
          <w:rFonts w:ascii="Times New Roman" w:hAnsi="Times New Roman"/>
          <w:b w:val="false"/>
          <w:i w:val="false"/>
          <w:color w:val="000000"/>
          <w:sz w:val="22"/>
        </w:rPr>
        <w:t xml:space="preserve">This rule describes groups of records maintained by the department of natural resources other than record systems as defined in rule </w:t>
      </w:r>
      <w:hyperlink r:id="rId24">
        <w:r>
          <w:rPr>
            <w:rStyle w:val="Hyperlink"/>
            <w:rFonts w:ascii="Times New Roman" w:hAnsi="Times New Roman"/>
            <w:b w:val="false"/>
            <w:i w:val="false"/>
            <w:color w:val="000000"/>
            <w:sz w:val="22"/>
          </w:rPr>
          <w:t>561—2505.9</w:t>
        </w:r>
      </w:hyperlink>
      <w:r>
        <w:rPr>
          <w:rFonts w:ascii="Times New Roman" w:hAnsi="Times New Roman"/>
          <w:b w:val="false"/>
          <w:i w:val="false"/>
          <w:color w:val="000000"/>
          <w:sz w:val="22"/>
        </w:rPr>
        <w:t>(17A,22). These records are routinely available to the public. However, the department’s files of these records may contain confidential information. In addition, some records may contain information about individuals. Records are stored on paper; microfilm; microfiche; and, in some cases, automated data processing systems, such as electronic management systems and department web applications.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2505.10(1)</w:t>
      </w:r>
      <w:r>
        <w:rPr>
          <w:rFonts w:ascii="Times New Roman" w:hAnsi="Times New Roman"/>
          <w:b w:val="false"/>
          <w:i w:val="false"/>
          <w:color w:val="000000"/>
          <w:sz w:val="22"/>
        </w:rPr>
        <w:t> </w:t>
      </w:r>
      <w:r>
        <w:rPr>
          <w:rFonts w:ascii="Times New Roman" w:hAnsi="Times New Roman"/>
          <w:b w:val="false"/>
          <w:i/>
          <w:color w:val="000000"/>
          <w:sz w:val="22"/>
        </w:rPr>
        <w:t xml:space="preserve">Rulemaking. </w:t>
      </w:r>
      <w:r>
        <w:rPr>
          <w:rFonts w:ascii="Times New Roman" w:hAnsi="Times New Roman"/>
          <w:b w:val="false"/>
          <w:i w:val="false"/>
          <w:color w:val="000000"/>
          <w:sz w:val="22"/>
        </w:rPr>
        <w:t xml:space="preserve">Rulemaking records may contain information about individuals making written or oral comments on proposed rules. This information is collected pursuant to Iowa Code section </w:t>
      </w:r>
      <w:hyperlink r:id="rId25">
        <w:r>
          <w:rPr>
            <w:rStyle w:val="Hyperlink"/>
            <w:rFonts w:ascii="Times New Roman" w:hAnsi="Times New Roman"/>
            <w:b w:val="false"/>
            <w:i w:val="false"/>
            <w:color w:val="000000"/>
            <w:sz w:val="22"/>
          </w:rPr>
          <w:t>17A.4</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2505.10(2)</w:t>
      </w:r>
      <w:r>
        <w:rPr>
          <w:rFonts w:ascii="Times New Roman" w:hAnsi="Times New Roman"/>
          <w:b w:val="false"/>
          <w:i w:val="false"/>
          <w:color w:val="000000"/>
          <w:sz w:val="22"/>
        </w:rPr>
        <w:t> </w:t>
      </w:r>
      <w:r>
        <w:rPr>
          <w:rFonts w:ascii="Times New Roman" w:hAnsi="Times New Roman"/>
          <w:b w:val="false"/>
          <w:i/>
          <w:color w:val="000000"/>
          <w:sz w:val="22"/>
        </w:rPr>
        <w:t xml:space="preserve">Commission records. </w:t>
      </w:r>
      <w:r>
        <w:rPr>
          <w:rFonts w:ascii="Times New Roman" w:hAnsi="Times New Roman"/>
          <w:b w:val="false"/>
          <w:i w:val="false"/>
          <w:color w:val="000000"/>
          <w:sz w:val="22"/>
        </w:rPr>
        <w:t xml:space="preserve">Agendas, minutes, and materials presented to the environmental protection commission and the natural resource commission are available from the office of the director, except these records concerning closed sessions that are confidential under Iowa Code section </w:t>
      </w:r>
      <w:hyperlink r:id="rId26">
        <w:r>
          <w:rPr>
            <w:rStyle w:val="Hyperlink"/>
            <w:rFonts w:ascii="Times New Roman" w:hAnsi="Times New Roman"/>
            <w:b w:val="false"/>
            <w:i w:val="false"/>
            <w:color w:val="000000"/>
            <w:sz w:val="22"/>
          </w:rPr>
          <w:t>21.5(5)</w:t>
        </w:r>
      </w:hyperlink>
      <w:r>
        <w:rPr>
          <w:rFonts w:ascii="Times New Roman" w:hAnsi="Times New Roman"/>
          <w:b w:val="false"/>
          <w:i w:val="false"/>
          <w:color w:val="000000"/>
          <w:sz w:val="22"/>
        </w:rPr>
        <w:t xml:space="preserve">. Commission records contain information about people who participate in meetings. This information is collected pursuant to Iowa Code section </w:t>
      </w:r>
      <w:hyperlink r:id="rId27">
        <w:r>
          <w:rPr>
            <w:rStyle w:val="Hyperlink"/>
            <w:rFonts w:ascii="Times New Roman" w:hAnsi="Times New Roman"/>
            <w:b w:val="false"/>
            <w:i w:val="false"/>
            <w:color w:val="000000"/>
            <w:sz w:val="22"/>
          </w:rPr>
          <w:t>21.3</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2505.10(3)</w:t>
      </w:r>
      <w:r>
        <w:rPr>
          <w:rFonts w:ascii="Times New Roman" w:hAnsi="Times New Roman"/>
          <w:b w:val="false"/>
          <w:i w:val="false"/>
          <w:color w:val="000000"/>
          <w:sz w:val="22"/>
        </w:rPr>
        <w:t> </w:t>
      </w:r>
      <w:r>
        <w:rPr>
          <w:rFonts w:ascii="Times New Roman" w:hAnsi="Times New Roman"/>
          <w:b w:val="false"/>
          <w:i/>
          <w:color w:val="000000"/>
          <w:sz w:val="22"/>
        </w:rPr>
        <w:t xml:space="preserve">Publications. </w:t>
      </w:r>
      <w:r>
        <w:rPr>
          <w:rFonts w:ascii="Times New Roman" w:hAnsi="Times New Roman"/>
          <w:b w:val="false"/>
          <w:i w:val="false"/>
          <w:color w:val="000000"/>
          <w:sz w:val="22"/>
        </w:rPr>
        <w:t>News releases, annual reports, Iowa Outdoors magazine, project reports, agency newsletters, etc., are available from the department offices for public information. Brochures describing various department programs are available at local offices of the department. Department news releases, project reports, Iowa Outdoors magazine, and newsletters may contain information about individuals, including department staff or members of the commission or committees.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2505.10(4)</w:t>
      </w:r>
      <w:r>
        <w:rPr>
          <w:rFonts w:ascii="Times New Roman" w:hAnsi="Times New Roman"/>
          <w:b w:val="false"/>
          <w:i w:val="false"/>
          <w:color w:val="000000"/>
          <w:sz w:val="22"/>
        </w:rPr>
        <w:t> </w:t>
      </w:r>
      <w:r>
        <w:rPr>
          <w:rFonts w:ascii="Times New Roman" w:hAnsi="Times New Roman"/>
          <w:b w:val="false"/>
          <w:i/>
          <w:color w:val="000000"/>
          <w:sz w:val="22"/>
        </w:rPr>
        <w:t xml:space="preserve">Statistical reports. </w:t>
      </w:r>
      <w:r>
        <w:rPr>
          <w:rFonts w:ascii="Times New Roman" w:hAnsi="Times New Roman"/>
          <w:b w:val="false"/>
          <w:i w:val="false"/>
          <w:color w:val="000000"/>
          <w:sz w:val="22"/>
        </w:rPr>
        <w:t>Periodic reports for various department programs are available from the department offices for public information.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2505.10(5)</w:t>
      </w:r>
      <w:r>
        <w:rPr>
          <w:rFonts w:ascii="Times New Roman" w:hAnsi="Times New Roman"/>
          <w:b w:val="false"/>
          <w:i w:val="false"/>
          <w:color w:val="000000"/>
          <w:sz w:val="22"/>
        </w:rPr>
        <w:t> </w:t>
      </w:r>
      <w:r>
        <w:rPr>
          <w:rFonts w:ascii="Times New Roman" w:hAnsi="Times New Roman"/>
          <w:b w:val="false"/>
          <w:i/>
          <w:color w:val="000000"/>
          <w:sz w:val="22"/>
        </w:rPr>
        <w:t xml:space="preserve">Grants or loans. </w:t>
      </w:r>
      <w:r>
        <w:rPr>
          <w:rFonts w:ascii="Times New Roman" w:hAnsi="Times New Roman"/>
          <w:b w:val="false"/>
          <w:i w:val="false"/>
          <w:color w:val="000000"/>
          <w:sz w:val="22"/>
        </w:rPr>
        <w:t>Records on persons and institutions receiving grants or loans are available through the institutions, also for public information. The records may contain information about employees of a grantee.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2505.10(6)</w:t>
      </w:r>
      <w:r>
        <w:rPr>
          <w:rFonts w:ascii="Times New Roman" w:hAnsi="Times New Roman"/>
          <w:b w:val="false"/>
          <w:i w:val="false"/>
          <w:color w:val="000000"/>
          <w:sz w:val="22"/>
        </w:rPr>
        <w:t> </w:t>
      </w:r>
      <w:r>
        <w:rPr>
          <w:rFonts w:ascii="Times New Roman" w:hAnsi="Times New Roman"/>
          <w:b w:val="false"/>
          <w:i/>
          <w:color w:val="000000"/>
          <w:sz w:val="22"/>
        </w:rPr>
        <w:t xml:space="preserve">Published materials. </w:t>
      </w:r>
      <w:r>
        <w:rPr>
          <w:rFonts w:ascii="Times New Roman" w:hAnsi="Times New Roman"/>
          <w:b w:val="false"/>
          <w:i w:val="false"/>
          <w:color w:val="000000"/>
          <w:sz w:val="22"/>
        </w:rPr>
        <w:t>The department of natural resources uses many legal and technical publications in its work. The public may inspect these publications upon request. Some of these materials may be protected by copyright law.</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2505.10(7)</w:t>
      </w:r>
      <w:r>
        <w:rPr>
          <w:rFonts w:ascii="Times New Roman" w:hAnsi="Times New Roman"/>
          <w:b w:val="false"/>
          <w:i w:val="false"/>
          <w:color w:val="000000"/>
          <w:sz w:val="22"/>
        </w:rPr>
        <w:t> </w:t>
      </w:r>
      <w:r>
        <w:rPr>
          <w:rFonts w:ascii="Times New Roman" w:hAnsi="Times New Roman"/>
          <w:b w:val="false"/>
          <w:i/>
          <w:color w:val="000000"/>
          <w:sz w:val="22"/>
        </w:rPr>
        <w:t xml:space="preserve">Policy manuals. </w:t>
      </w:r>
      <w:r>
        <w:rPr>
          <w:rFonts w:ascii="Times New Roman" w:hAnsi="Times New Roman"/>
          <w:b w:val="false"/>
          <w:i w:val="false"/>
          <w:color w:val="000000"/>
          <w:sz w:val="22"/>
        </w:rPr>
        <w:t>The department of natural resources employees’ manual, containing the policies and procedures for programs administered by the department, is available in every office of the department. Policy manuals do not contain information about individuals.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2505.10(8)</w:t>
      </w:r>
      <w:r>
        <w:rPr>
          <w:rFonts w:ascii="Times New Roman" w:hAnsi="Times New Roman"/>
          <w:b w:val="false"/>
          <w:i w:val="false"/>
          <w:color w:val="000000"/>
          <w:sz w:val="22"/>
        </w:rPr>
        <w:t> </w:t>
      </w:r>
      <w:r>
        <w:rPr>
          <w:rFonts w:ascii="Times New Roman" w:hAnsi="Times New Roman"/>
          <w:b w:val="false"/>
          <w:i/>
          <w:color w:val="000000"/>
          <w:sz w:val="22"/>
        </w:rPr>
        <w:t xml:space="preserve">All other records that are not exempted from disclosure by law. </w:t>
      </w:r>
      <w:r>
        <w:rPr>
          <w:rFonts w:ascii="Times New Roman" w:hAnsi="Times New Roman"/>
          <w:b w:val="false"/>
          <w:i w:val="false"/>
          <w:color w:val="000000"/>
          <w:sz w:val="22"/>
        </w:rPr>
        <w:t>The department maintains a variety of records that do not generally contain information pertaining to named individuals.</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0433D</w:t>
      </w:r>
      <w:r>
        <w:rPr>
          <w:rFonts w:ascii="Times New Roman" w:hAnsi="Times New Roman"/>
          <w:b w:val="false"/>
          <w:i w:val="false"/>
          <w:color w:val="000000"/>
          <w:sz w:val="16"/>
        </w:rPr>
        <w:t>, IAB 7/8/26, effective 6/18/26</w:t>
      </w:r>
      <w:r>
        <w:rPr>
          <w:rFonts w:ascii="Times New Roman" w:hAnsi="Times New Roman"/>
          <w:b w:val="false"/>
          <w:i w:val="false"/>
          <w:color w:val="000000"/>
          <w:sz w:val="16"/>
        </w:rPr>
        <w:t>]</w:t>
      </w:r>
    </w:p>
    <w:p>
      <w:pPr>
        <w:spacing w:before="0" w:after="0"/>
        <w:ind w:left="120"/>
        <w:jc w:val="center"/>
      </w:pPr>
      <w:r>
        <w:rPr>
          <w:rFonts w:ascii="Times New Roman" w:hAnsi="Times New Roman"/>
          <w:b w:val="false"/>
          <w:i w:val="false"/>
          <w:color w:val="000000"/>
          <w:sz w:val="21"/>
        </w:rPr>
        <w:t>[Filed Emergency ARC 0433D, IAB 7/8/26, effective 6/18/26]</w:t>
      </w:r>
    </w:p>
    <w:sectPr>
      <w:footerReference r:id="rId28"/>
      <w:pgSz w:w="11907" w:h="16839" w:code="9"/>
      <w:pgMar w:top="1440" w:right="1440" w:bottom="1440" w:left="1440"/>
    </w:sectPr>
  </w:body>
</w:document>
</file>

<file path=word/footer.xml><?xml version="1.0" encoding="utf-8"?>
<w:ftr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tbl>
    <w:tblPr>
      <w:tblW w:w="0" w:type="auto"/>
      <w:tblCellSpacing w:w="20" w:type="dxa"/>
      <w:tblBorders>
        <w:top w:val="none"/>
        <w:left w:val="none"/>
        <w:bottom w:val="none"/>
        <w:right w:val="none"/>
        <w:insideH w:val="none"/>
        <w:insideV w:val="none"/>
      </w:tblBorders>
    </w:tblPr>
    <w:tblGrid>
      <w:gridCol w:w="672"/>
      <w:gridCol w:w="672"/>
      <w:gridCol w:w="9523"/>
    </w:tblGrid>
    <w:tr>
      <w:trPr>
        <w:trHeight w:val="285" w:hRule="atLeast"/>
      </w:trPr>
      <w:tc>
        <w:tcPr>
          <w:tcW w:w="672" w:type="dxa"/>
          <w:tcBorders/>
          <w:tcMar>
            <w:top w:w="15" w:type="dxa"/>
            <w:left w:w="15" w:type="dxa"/>
            <w:bottom w:w="15" w:type="dxa"/>
            <w:right w:w="15" w:type="dxa"/>
          </w:tcMar>
          <w:vAlign w:val="center"/>
        </w:tcPr>
        <w:p/>
      </w:tc>
      <w:tc>
        <w:tcPr>
          <w:tcW w:w="672" w:type="dxa"/>
          <w:tcBorders/>
          <w:tcMar>
            <w:top w:w="15" w:type="dxa"/>
            <w:left w:w="15" w:type="dxa"/>
            <w:bottom w:w="15" w:type="dxa"/>
            <w:right w:w="15" w:type="dxa"/>
          </w:tcMar>
          <w:vAlign w:val="center"/>
        </w:tcPr>
        <w:p/>
      </w:tc>
      <w:tc>
        <w:tcPr>
          <w:tcW w:w="9523" w:type="dxa"/>
          <w:tcBorders/>
          <w:tcMar>
            <w:top w:w="15" w:type="dxa"/>
            <w:left w:w="15" w:type="dxa"/>
            <w:bottom w:w="15" w:type="dxa"/>
            <w:right w:w="15" w:type="dxa"/>
          </w:tcMar>
          <w:vAlign w:val="center"/>
        </w:tcPr>
        <w:p>
          <w:pPr>
            <w:spacing w:before="0" w:after="0"/>
            <w:ind w:left="0"/>
            <w:jc w:val="right"/>
          </w:pPr>
          <w:r>
            <w:rPr>
              <w:rFonts w:ascii="Times New Roman" w:hAnsi="Times New Roman"/>
              <w:b w:val="false"/>
              <w:i w:val="false"/>
              <w:color w:val="000000"/>
              <w:sz w:val="22"/>
            </w:rPr>
            <w:t>, v _</w:t>
          </w:r>
        </w:p>
      </w:tc>
    </w:tr>
  </w:tbl>
</w:ftr>
</file>

<file path=word/numbering.xml><?xml version="1.0" encoding="utf-8"?>
<w:numbering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file>

<file path=word/settings.xml><?xml version="1.0" encoding="utf-8"?>
<w:settings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mc:Ignorable="">
  <w:compat>
    <w:compatSetting w:name="overrideTableStyleFontSizeAndJustification" w:uri="http://schemas.microsoft.com/office/word" w:val="1"/>
  </w:compat>
</w:settings>
</file>

<file path=word/styles.xml><?xml version="1.0" encoding="utf-8"?>
<w:styles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docDefaults>
    <w:rPrDefault>
      <w:rPr>
        <w:rFonts w:asciiTheme="minorHAnsi" w:hAnsiTheme="minorHAnsi" w:eastAsiaTheme="minorHAnsi" w:cstheme="minorBidi"/>
        <w:sz w:val="22"/>
        <w:szCs w:val="22"/>
        <w:lang w:val="en-US" w:eastAsia="en-US" w:bidi="ar-SA"/>
      </w:rPr>
    </w:rPrDefault>
    <w:pPrDefault>
      <w:pPr>
        <w:spacing w:after="200" w:line="276" w:lineRule="auto"/>
      </w:pPr>
    </w:pPrDefault>
  </w:docDefaults>
  <w:latentStyles w:defLockedState="false" w:defUIPriority="99" w:defSemiHidden="true" w:defUnhideWhenUsed="true" w:defQFormat="false" w:count="267">
    <w:lsdException w:name="Normal" w:uiPriority="0" w:semiHidden="false" w:unhideWhenUsed="false" w:qFormat="true"/>
    <w:lsdException w:name="heading 1" w:uiPriority="9" w:semiHidden="false" w:unhideWhenUsed="false" w:qFormat="true"/>
    <w:lsdException w:name="heading 2" w:uiPriority="9" w:qFormat="true"/>
    <w:lsdException w:name="heading 3" w:uiPriority="9" w:qFormat="true"/>
    <w:lsdException w:name="heading 4" w:uiPriority="9" w:qFormat="true"/>
    <w:lsdException w:name="Title" w:uiPriority="10" w:semiHidden="false" w:unhideWhenUsed="false" w:qFormat="true"/>
    <w:lsdException w:name="Default Paragraph Font" w:uiPriority="1"/>
    <w:lsdException w:name="Subtitle" w:uiPriority="11" w:semiHidden="false" w:unhideWhenUsed="false" w:qFormat="true"/>
    <w:lsdException w:name="Emphasis" w:uiPriority="20" w:semiHidden="false" w:unhideWhenUsed="false" w:qFormat="true"/>
    <w:lsdException w:name="Table Grid" w:uiPriority="59" w:semiHidden="false" w:unhideWhenUsed="false"/>
  </w:latentStyles>
  <w:style w:type="paragraph" w:styleId="Normal" w:default="true">
    <w:name w:val="Normal"/>
    <w:qFormat/>
    <w:rsid w:val="004A3277"/>
  </w:style>
  <w:style w:type="paragraph" w:styleId="Heading1">
    <w:name w:val="heading 1"/>
    <w:basedOn w:val="Normal"/>
    <w:next w:val="Normal"/>
    <w:link w:val="Heading1Char"/>
    <w:uiPriority w:val="9"/>
    <w:qFormat/>
    <w:rsid w:val="00841CD9"/>
    <w:pPr>
      <w:keepNext/>
      <w:keepLines/>
      <w:spacing w:before="480"/>
      <w:outlineLvl w:val="0"/>
    </w:pPr>
    <w:rPr>
      <w:rFonts w:asciiTheme="majorHAnsi" w:hAnsiTheme="majorHAnsi" w:eastAsiaTheme="majorEastAsia"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841CD9"/>
    <w:pPr>
      <w:keepNext/>
      <w:keepLines/>
      <w:spacing w:before="200"/>
      <w:outlineLvl w:val="1"/>
    </w:pPr>
    <w:rPr>
      <w:rFonts w:asciiTheme="majorHAnsi" w:hAnsiTheme="majorHAnsi" w:eastAsiaTheme="majorEastAsia" w:cstheme="majorBidi"/>
      <w:b/>
      <w:bCs/>
      <w:color w:val="4F81BD" w:themeColor="accent1"/>
      <w:sz w:val="26"/>
      <w:szCs w:val="26"/>
    </w:rPr>
  </w:style>
  <w:style w:type="paragraph" w:styleId="Heading3">
    <w:name w:val="heading 3"/>
    <w:basedOn w:val="Normal"/>
    <w:next w:val="Normal"/>
    <w:link w:val="Heading3Char"/>
    <w:uiPriority w:val="9"/>
    <w:unhideWhenUsed/>
    <w:qFormat/>
    <w:rsid w:val="00841CD9"/>
    <w:pPr>
      <w:keepNext/>
      <w:keepLines/>
      <w:spacing w:before="200"/>
      <w:outlineLvl w:val="2"/>
    </w:pPr>
    <w:rPr>
      <w:rFonts w:asciiTheme="majorHAnsi" w:hAnsiTheme="majorHAnsi" w:eastAsiaTheme="majorEastAsia" w:cstheme="majorBidi"/>
      <w:b/>
      <w:bCs/>
      <w:color w:val="4F81BD" w:themeColor="accent1"/>
    </w:rPr>
  </w:style>
  <w:style w:type="paragraph" w:styleId="Heading4">
    <w:name w:val="heading 4"/>
    <w:basedOn w:val="Normal"/>
    <w:next w:val="Normal"/>
    <w:link w:val="Heading4Char"/>
    <w:uiPriority w:val="9"/>
    <w:unhideWhenUsed/>
    <w:qFormat/>
    <w:rsid w:val="00841CD9"/>
    <w:pPr>
      <w:keepNext/>
      <w:keepLines/>
      <w:spacing w:before="200"/>
      <w:outlineLvl w:val="3"/>
    </w:pPr>
    <w:rPr>
      <w:rFonts w:asciiTheme="majorHAnsi" w:hAnsiTheme="majorHAnsi" w:eastAsiaTheme="majorEastAsia" w:cstheme="majorBidi"/>
      <w:b/>
      <w:bCs/>
      <w:i/>
      <w:iCs/>
      <w:color w:val="4F81BD" w:themeColor="accent1"/>
    </w:rPr>
  </w:style>
  <w:style w:type="character" w:styleId="DefaultParagraphFont" w:default="true">
    <w:name w:val="Default Paragraph Font"/>
    <w:uiPriority w:val="1"/>
    <w:semiHidden/>
    <w:unhideWhenUsed/>
  </w:style>
  <w:style w:type="paragraph" w:styleId="Header">
    <w:name w:val="header"/>
    <w:basedOn w:val="Normal"/>
    <w:link w:val="HeaderChar"/>
    <w:uiPriority w:val="99"/>
    <w:unhideWhenUsed/>
    <w:rsid w:val="00841CD9"/>
    <w:pPr>
      <w:tabs>
        <w:tab w:val="center" w:pos="4680"/>
        <w:tab w:val="right" w:pos="9360"/>
      </w:tabs>
    </w:pPr>
  </w:style>
  <w:style w:type="character" w:styleId="HeaderChar" w:customStyle="true">
    <w:name w:val="Header Char"/>
    <w:basedOn w:val="DefaultParagraphFont"/>
    <w:link w:val="Header"/>
    <w:uiPriority w:val="99"/>
    <w:rsid w:val="00841CD9"/>
  </w:style>
  <w:style w:type="character" w:styleId="Heading1Char" w:customStyle="true">
    <w:name w:val="Heading 1 Char"/>
    <w:basedOn w:val="DefaultParagraphFont"/>
    <w:link w:val="Heading1"/>
    <w:uiPriority w:val="9"/>
    <w:rsid w:val="00841CD9"/>
    <w:rPr>
      <w:rFonts w:asciiTheme="majorHAnsi" w:hAnsiTheme="majorHAnsi" w:eastAsiaTheme="majorEastAsia" w:cstheme="majorBidi"/>
      <w:b/>
      <w:bCs/>
      <w:color w:val="365F91" w:themeColor="accent1" w:themeShade="BF"/>
      <w:sz w:val="28"/>
      <w:szCs w:val="28"/>
    </w:rPr>
  </w:style>
  <w:style w:type="character" w:styleId="Heading2Char" w:customStyle="true">
    <w:name w:val="Heading 2 Char"/>
    <w:basedOn w:val="DefaultParagraphFont"/>
    <w:link w:val="Heading2"/>
    <w:uiPriority w:val="9"/>
    <w:rsid w:val="00841CD9"/>
    <w:rPr>
      <w:rFonts w:asciiTheme="majorHAnsi" w:hAnsiTheme="majorHAnsi" w:eastAsiaTheme="majorEastAsia" w:cstheme="majorBidi"/>
      <w:b/>
      <w:bCs/>
      <w:color w:val="4F81BD" w:themeColor="accent1"/>
      <w:sz w:val="26"/>
      <w:szCs w:val="26"/>
    </w:rPr>
  </w:style>
  <w:style w:type="character" w:styleId="Heading3Char" w:customStyle="true">
    <w:name w:val="Heading 3 Char"/>
    <w:basedOn w:val="DefaultParagraphFont"/>
    <w:link w:val="Heading3"/>
    <w:uiPriority w:val="9"/>
    <w:rsid w:val="00841CD9"/>
    <w:rPr>
      <w:rFonts w:asciiTheme="majorHAnsi" w:hAnsiTheme="majorHAnsi" w:eastAsiaTheme="majorEastAsia" w:cstheme="majorBidi"/>
      <w:b/>
      <w:bCs/>
      <w:color w:val="4F81BD" w:themeColor="accent1"/>
    </w:rPr>
  </w:style>
  <w:style w:type="character" w:styleId="Heading4Char" w:customStyle="true">
    <w:name w:val="Heading 4 Char"/>
    <w:basedOn w:val="DefaultParagraphFont"/>
    <w:link w:val="Heading4"/>
    <w:uiPriority w:val="9"/>
    <w:rsid w:val="00841CD9"/>
    <w:rPr>
      <w:rFonts w:asciiTheme="majorHAnsi" w:hAnsiTheme="majorHAnsi" w:eastAsiaTheme="majorEastAsia" w:cstheme="majorBidi"/>
      <w:b/>
      <w:bCs/>
      <w:i/>
      <w:iCs/>
      <w:color w:val="4F81BD" w:themeColor="accent1"/>
    </w:rPr>
  </w:style>
  <w:style w:type="paragraph" w:styleId="NormalIndent">
    <w:name w:val="Normal Indent"/>
    <w:basedOn w:val="Normal"/>
    <w:uiPriority w:val="99"/>
    <w:unhideWhenUsed/>
    <w:rsid w:val="00841CD9"/>
    <w:pPr>
      <w:ind w:left="720"/>
    </w:pPr>
  </w:style>
  <w:style w:type="paragraph" w:styleId="Subtitle">
    <w:name w:val="Subtitle"/>
    <w:basedOn w:val="Normal"/>
    <w:next w:val="Normal"/>
    <w:link w:val="SubtitleChar"/>
    <w:uiPriority w:val="11"/>
    <w:qFormat/>
    <w:rsid w:val="00841CD9"/>
    <w:pPr>
      <w:numPr>
        <w:ilvl w:val="1"/>
      </w:numPr>
      <w:ind w:left="86"/>
    </w:pPr>
    <w:rPr>
      <w:rFonts w:asciiTheme="majorHAnsi" w:hAnsiTheme="majorHAnsi" w:eastAsiaTheme="majorEastAsia" w:cstheme="majorBidi"/>
      <w:i/>
      <w:iCs/>
      <w:color w:val="4F81BD" w:themeColor="accent1"/>
      <w:spacing w:val="15"/>
      <w:sz w:val="24"/>
      <w:szCs w:val="24"/>
    </w:rPr>
  </w:style>
  <w:style w:type="character" w:styleId="SubtitleChar" w:customStyle="true">
    <w:name w:val="Subtitle Char"/>
    <w:basedOn w:val="DefaultParagraphFont"/>
    <w:link w:val="Subtitle"/>
    <w:uiPriority w:val="11"/>
    <w:rsid w:val="00841CD9"/>
    <w:rPr>
      <w:rFonts w:asciiTheme="majorHAnsi" w:hAnsiTheme="majorHAnsi" w:eastAsiaTheme="majorEastAsia" w:cstheme="majorBidi"/>
      <w:i/>
      <w:iCs/>
      <w:color w:val="4F81BD" w:themeColor="accent1"/>
      <w:spacing w:val="15"/>
      <w:sz w:val="24"/>
      <w:szCs w:val="24"/>
    </w:rPr>
  </w:style>
  <w:style w:type="paragraph" w:styleId="Title">
    <w:name w:val="Title"/>
    <w:basedOn w:val="Normal"/>
    <w:next w:val="Normal"/>
    <w:link w:val="TitleChar"/>
    <w:uiPriority w:val="10"/>
    <w:qFormat/>
    <w:rsid w:val="00841CD9"/>
    <w:pPr>
      <w:pBdr>
        <w:bottom w:val="single" w:color="4F81BD" w:themeColor="accent1" w:sz="8" w:space="4"/>
      </w:pBdr>
      <w:spacing w:after="300"/>
      <w:contextualSpacing/>
    </w:pPr>
    <w:rPr>
      <w:rFonts w:asciiTheme="majorHAnsi" w:hAnsiTheme="majorHAnsi" w:eastAsiaTheme="majorEastAsia" w:cstheme="majorBidi"/>
      <w:color w:val="17365D" w:themeColor="text2" w:themeShade="BF"/>
      <w:spacing w:val="5"/>
      <w:kern w:val="28"/>
      <w:sz w:val="52"/>
      <w:szCs w:val="52"/>
    </w:rPr>
  </w:style>
  <w:style w:type="character" w:styleId="TitleChar" w:customStyle="true">
    <w:name w:val="Title Char"/>
    <w:basedOn w:val="DefaultParagraphFont"/>
    <w:link w:val="Title"/>
    <w:uiPriority w:val="10"/>
    <w:rsid w:val="00841CD9"/>
    <w:rPr>
      <w:rFonts w:asciiTheme="majorHAnsi" w:hAnsiTheme="majorHAnsi" w:eastAsiaTheme="majorEastAsia" w:cstheme="majorBidi"/>
      <w:color w:val="17365D" w:themeColor="text2" w:themeShade="BF"/>
      <w:spacing w:val="5"/>
      <w:kern w:val="28"/>
      <w:sz w:val="52"/>
      <w:szCs w:val="52"/>
    </w:rPr>
  </w:style>
  <w:style w:type="character" w:styleId="Emphasis">
    <w:name w:val="Emphasis"/>
    <w:basedOn w:val="DefaultParagraphFont"/>
    <w:uiPriority w:val="20"/>
    <w:qFormat/>
    <w:rsid w:val="00D1197D"/>
    <w:rPr>
      <w:i/>
      <w:iCs/>
    </w:rPr>
  </w:style>
  <w:style w:type="character" w:styleId="Hyperlink">
    <w:name w:val="Hyperlink"/>
    <w:basedOn w:val="DefaultParagraphFont"/>
    <w:uiPriority w:val="99"/>
    <w:unhideWhenUsed/>
    <w:rPr>
      <w:color w:val="0000FF" w:themeColor="hyperlink"/>
      <w:u w:val="single"/>
    </w:rPr>
  </w:style>
  <w:style w:type="table" w:styleId="TableGrid">
    <w:name w:val="Table Grid"/>
    <w:basedOn w:val="TableNormal"/>
    <w:uiPriority w:val="59"/>
    <w:pPr>
      <w:spacing w:after="0" w:line="240" w:lineRule="auto"/>
    </w:pPr>
    <w:tblPr>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table" w:styleId="TableNormal" w:default="true">
    <w:name w:val="Normal Table"/>
    <w:uiPriority w:val="99"/>
    <w:semiHidden/>
    <w:unhideWhenUsed/>
    <w:qFormat/>
    <w:tblPr>
      <w:tblInd w:w="0" w:type="dxa"/>
      <w:tblCellMar>
        <w:top w:w="0" w:type="dxa"/>
        <w:left w:w="108" w:type="dxa"/>
        <w:bottom w:w="0" w:type="dxa"/>
        <w:right w:w="108" w:type="dxa"/>
      </w:tblCellMar>
    </w:tblPr>
  </w:style>
  <w:style w:type="paragraph" w:styleId="Caption">
    <w:name w:val="caption"/>
    <w:basedOn w:val="Normal"/>
    <w:next w:val="Normal"/>
    <w:uiPriority w:val="35"/>
    <w:semiHidden/>
    <w:unhideWhenUsed/>
    <w:qFormat/>
    <w:rsid w:val="007109C0"/>
    <w:pPr>
      <w:spacing w:line="240" w:lineRule="auto"/>
    </w:pPr>
    <w:rPr>
      <w:b/>
      <w:bCs/>
      <w:color w:val="4F81BD" w:themeColor="accent1"/>
      <w:sz w:val="18"/>
      <w:szCs w:val="18"/>
    </w:rPr>
  </w:style>
</w:styles>
</file>

<file path=word/_rels/document.xml.rels><?xml version="1.0" encoding="UTF-8" standalone="yes"?>
<Relationships xmlns="http://schemas.openxmlformats.org/package/2006/relationships">
    <Relationship Target="styles.xml" Type="http://schemas.openxmlformats.org/officeDocument/2006/relationships/styles" Id="rId1"/>
    <Relationship Target="settings.xml" Type="http://schemas.openxmlformats.org/officeDocument/2006/relationships/settings" Id="rId2"/>
    <Relationship Target="numbering.xml" Type="http://schemas.openxmlformats.org/officeDocument/2006/relationships/numbering" Id="rId3"/>
    <Relationship TargetMode="External" Target="https://www.legis.iowa.gov/docs/ico/chapter/17A.7.pdf" Type="http://schemas.openxmlformats.org/officeDocument/2006/relationships/hyperlink" Id="rId4"/>
    <Relationship TargetMode="External" Target="https://www.legis.iowa.gov/docs/iac/chapter/7.2500.pdf" Type="http://schemas.openxmlformats.org/officeDocument/2006/relationships/hyperlink" Id="rId5"/>
    <Relationship TargetMode="External" Target="https://www.legis.iowa.gov/docs/iac/chapter/7.2506.pdf" Type="http://schemas.openxmlformats.org/officeDocument/2006/relationships/hyperlink" Id="rId6"/>
    <Relationship TargetMode="External" Target="https://www.legis.iowa.gov/docs/ico/chapter/17A.24.pdf" Type="http://schemas.openxmlformats.org/officeDocument/2006/relationships/hyperlink" Id="rId7"/>
    <Relationship TargetMode="External" Target="https://www.legis.iowa.gov/docs/ico/chapter/22.7.pdf" Type="http://schemas.openxmlformats.org/officeDocument/2006/relationships/hyperlink" Id="rId8"/>
    <Relationship TargetMode="External" Target="https://www.legis.iowa.gov/docs/ico/chapter/22.7.pdf" Type="http://schemas.openxmlformats.org/officeDocument/2006/relationships/hyperlink" Id="rId9"/>
    <Relationship TargetMode="External" Target="https://www.legis.iowa.gov/docs/ico/chapter/22.7.pdf" Type="http://schemas.openxmlformats.org/officeDocument/2006/relationships/hyperlink" Id="rId10"/>
    <Relationship TargetMode="External" Target="https://www.legis.iowa.gov/docs/ico/chapter/22.8.pdf" Type="http://schemas.openxmlformats.org/officeDocument/2006/relationships/hyperlink" Id="rId11"/>
    <Relationship TargetMode="External" Target="https://www.legis.iowa.gov/docs/iac/rule/561.2505.5.pdf" Type="http://schemas.openxmlformats.org/officeDocument/2006/relationships/hyperlink" Id="rId12"/>
    <Relationship TargetMode="External" Target="https://www.legis.iowa.gov/docs/iac/rule/561.2505.5.pdf" Type="http://schemas.openxmlformats.org/officeDocument/2006/relationships/hyperlink" Id="rId13"/>
    <Relationship TargetMode="External" Target="https://www.legis.iowa.gov/docs/iac/rule/561.2505.5.pdf" Type="http://schemas.openxmlformats.org/officeDocument/2006/relationships/hyperlink" Id="rId14"/>
    <Relationship TargetMode="External" Target="https://www.legis.iowa.gov/docs/iac/rule/561.2505.5.pdf" Type="http://schemas.openxmlformats.org/officeDocument/2006/relationships/hyperlink" Id="rId15"/>
    <Relationship TargetMode="External" Target="https://www.legis.iowa.gov/docs/iac/rule/561.2505.5.pdf" Type="http://schemas.openxmlformats.org/officeDocument/2006/relationships/hyperlink" Id="rId16"/>
    <Relationship TargetMode="External" Target="https://www.legis.iowa.gov/docs/ico/chapter/17A.pdf" Type="http://schemas.openxmlformats.org/officeDocument/2006/relationships/hyperlink" Id="rId17"/>
    <Relationship TargetMode="External" Target="https://www.legis.iowa.gov/docs/ico/chapter/22.7.pdf" Type="http://schemas.openxmlformats.org/officeDocument/2006/relationships/hyperlink" Id="rId18"/>
    <Relationship TargetMode="External" Target="https://www.legis.iowa.gov/docs/ico/chapter/22.7.pdf" Type="http://schemas.openxmlformats.org/officeDocument/2006/relationships/hyperlink" Id="rId19"/>
    <Relationship TargetMode="External" Target="https://www.legis.iowa.gov/docs/ico/chapter/622.10.pdf" Type="http://schemas.openxmlformats.org/officeDocument/2006/relationships/hyperlink" Id="rId20"/>
    <Relationship TargetMode="External" Target="https://www.legis.iowa.gov/docs/ico/chapter/622.11.pdf" Type="http://schemas.openxmlformats.org/officeDocument/2006/relationships/hyperlink" Id="rId21"/>
    <Relationship TargetMode="External" Target="https://www.legis.iowa.gov/docs/ico/chapter/622.10.pdf" Type="http://schemas.openxmlformats.org/officeDocument/2006/relationships/hyperlink" Id="rId22"/>
    <Relationship TargetMode="External" Target="https://www.legis.iowa.gov/docs/ico/chapter/622.11.pdf" Type="http://schemas.openxmlformats.org/officeDocument/2006/relationships/hyperlink" Id="rId23"/>
    <Relationship TargetMode="External" Target="https://www.legis.iowa.gov/docs/iac/rule/561.2505.9.pdf" Type="http://schemas.openxmlformats.org/officeDocument/2006/relationships/hyperlink" Id="rId24"/>
    <Relationship TargetMode="External" Target="https://www.legis.iowa.gov/docs/ico/chapter/17A.4.pdf" Type="http://schemas.openxmlformats.org/officeDocument/2006/relationships/hyperlink" Id="rId25"/>
    <Relationship TargetMode="External" Target="https://www.legis.iowa.gov/docs/ico/chapter/21.5.pdf" Type="http://schemas.openxmlformats.org/officeDocument/2006/relationships/hyperlink" Id="rId26"/>
    <Relationship TargetMode="External" Target="https://www.legis.iowa.gov/docs/ico/chapter/21.3.pdf" Type="http://schemas.openxmlformats.org/officeDocument/2006/relationships/hyperlink" Id="rId27"/>
    <Relationship Target="footer.xml" Type="http://schemas.openxmlformats.org/officeDocument/2006/relationships/footer" Id="rId28"/>
</Relationships>

</file>

<file path=docProps/app.xml><?xml version="1.0" encoding="utf-8"?>
<properties:Properties xmlns:propertie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terms="http://purl.org/dc/terms/" xmlns:dc="http://purl.org/dc/elements/1.1/"/>
</file>