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STATE PARK AND RECREATION AREA FEES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561—16.1</w:t>
      </w:r>
      <w:r>
        <w:rPr>
          <w:rFonts w:ascii="Times New Roman" w:hAnsi="Times New Roman"/>
          <w:b/>
          <w:i w:val="false"/>
          <w:color w:val="000000"/>
          <w:sz w:val="22"/>
        </w:rPr>
        <w:t xml:space="preserve">(455A)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461A.1(1)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461A.1(2)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461A.1(3)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9441C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561—16.2</w:t>
      </w:r>
      <w:r>
        <w:rPr>
          <w:rFonts w:ascii="Times New Roman" w:hAnsi="Times New Roman"/>
          <w:b/>
          <w:i w:val="false"/>
          <w:color w:val="000000"/>
          <w:sz w:val="22"/>
        </w:rPr>
        <w:t xml:space="preserve">(455A) </w:t>
      </w:r>
      <w:r>
        <w:rPr>
          <w:rFonts w:ascii="Times New Roman" w:hAnsi="Times New Roman"/>
          <w:b/>
          <w:i w:val="false"/>
          <w:color w:val="000000"/>
          <w:sz w:val="22"/>
        </w:rPr>
        <w:t xml:space="preserve">Camping, rental facilities, vessel storage, and other special privileges—fees.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Fee methodology. </w:t>
      </w:r>
      <w:r>
        <w:rPr>
          <w:rFonts w:ascii="Times New Roman" w:hAnsi="Times New Roman"/>
          <w:b w:val="false"/>
          <w:i w:val="false"/>
          <w:color w:val="000000"/>
          <w:sz w:val="22"/>
        </w:rPr>
        <w:t>The director or the director’s designee shall fix and publish on the department’s website base fees for camping, the use of rental facilities, vessel storage and other special privileges at state parks and recreation areas under the jurisdiction of the department and the commission. The director or the director’s designee may consider the following factors when establishing and when adjusting base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specific park’s or recreation area’s amenities.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and features of a particular campsite or rental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campsites, rental facilities, or other special privileges.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Day of the week, season of the year, holidays, or other noteworthy occasions or special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Other considerations that the director or the director’s designee deems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Fees honored. </w:t>
      </w:r>
      <w:r>
        <w:rPr>
          <w:rFonts w:ascii="Times New Roman" w:hAnsi="Times New Roman"/>
          <w:b w:val="false"/>
          <w:i w:val="false"/>
          <w:color w:val="000000"/>
          <w:sz w:val="22"/>
        </w:rPr>
        <w:t>The fee to be charged shall be the fee currently in effect at the time the reservation is made and paid for. Any change to a reservation shall be subject to the fees applicable to the campsite or rental facility, along with any applicable reservation change fee, at the time the reservation is modified.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9441C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561—16.3</w:t>
      </w:r>
      <w:r>
        <w:rPr>
          <w:rFonts w:ascii="Times New Roman" w:hAnsi="Times New Roman"/>
          <w:b/>
          <w:i w:val="false"/>
          <w:color w:val="000000"/>
          <w:sz w:val="22"/>
        </w:rPr>
        <w:t xml:space="preserve">(455A) </w:t>
      </w:r>
      <w:r>
        <w:rPr>
          <w:rFonts w:ascii="Times New Roman" w:hAnsi="Times New Roman"/>
          <w:b/>
          <w:i w:val="false"/>
          <w:color w:val="000000"/>
          <w:sz w:val="22"/>
        </w:rPr>
        <w:t xml:space="preserve">Areas under management—varying fees. </w:t>
      </w:r>
      <w:r>
        <w:rPr>
          <w:rFonts w:ascii="Times New Roman" w:hAnsi="Times New Roman"/>
          <w:b w:val="false"/>
          <w:i w:val="false"/>
          <w:color w:val="000000"/>
          <w:sz w:val="22"/>
        </w:rPr>
        <w:t>Fees charged for like services in state-owned areas under management by political subdivisions may vary from those established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9441C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455A.14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4395C</w:t>
      </w:r>
      <w:r>
        <w:rPr>
          <w:rFonts w:ascii="Times New Roman" w:hAnsi="Times New Roman"/>
          <w:b w:val="false"/>
          <w:i w:val="false"/>
          <w:color w:val="000000"/>
          <w:sz w:val="21"/>
        </w:rPr>
        <w:t xml:space="preserve"> (Notice ARC 4226C, IAB 1/16/19)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9441C</w:t>
      </w:r>
      <w:r>
        <w:rPr>
          <w:rFonts w:ascii="Times New Roman" w:hAnsi="Times New Roman"/>
          <w:b w:val="false"/>
          <w:i w:val="false"/>
          <w:color w:val="000000"/>
          <w:sz w:val="21"/>
        </w:rPr>
        <w:t xml:space="preserve"> (Notice ARC 8649C, IAB 1/8/25)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1.pdf" Type="http://schemas.openxmlformats.org/officeDocument/2006/relationships/hyperlink" Id="rId5"/>
    <Relationship TargetMode="External" Target="https://www.legis.iowa.gov/docs/ico/chapter/461A.1.pdf" Type="http://schemas.openxmlformats.org/officeDocument/2006/relationships/hyperlink" Id="rId6"/>
    <Relationship TargetMode="External" Target="https://www.legis.iowa.gov/docs/ico/chapter/461A.1.pdf" Type="http://schemas.openxmlformats.org/officeDocument/2006/relationships/hyperlink" Id="rId7"/>
    <Relationship TargetMode="External" Target="https://www.legis.iowa.gov/docs/ico/chapter/455A.1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