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SPECIAL NONRESIDENT DEER AND TURKEY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561—12.1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the process by which the department will issue special nonresident deer and turkey licenses to individuals as part of statewide or local efforts to promote the state and its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organization” </w:t>
      </w:r>
      <w:r>
        <w:rPr>
          <w:rFonts w:ascii="Times New Roman" w:hAnsi="Times New Roman"/>
          <w:b w:val="false"/>
          <w:i w:val="false"/>
          <w:color w:val="000000"/>
          <w:sz w:val="22"/>
        </w:rPr>
        <w:t xml:space="preserve">means an organization that is incorporated under Iowa Code chapter </w:t>
      </w:r>
      <w:hyperlink r:id="rId5">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nonprofit organization, whose mission involves providing hunting experiences for disabled veterans and military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organization” </w:t>
      </w:r>
      <w:r>
        <w:rPr>
          <w:rFonts w:ascii="Times New Roman" w:hAnsi="Times New Roman"/>
          <w:b w:val="false"/>
          <w:i w:val="false"/>
          <w:color w:val="000000"/>
          <w:sz w:val="22"/>
        </w:rPr>
        <w:t xml:space="preserve">means an organization that is incorporated under Iowa Code chapter </w:t>
      </w:r>
      <w:hyperlink r:id="rId6">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nonprofit organization, whose mission emphasizes natural resource conservation or supports science-based natural resource management or who provides educational outreach efforts in Iowa related to environmental stewardship or natural resources conservation and management. A local or state chapter or division of a national or international conservation organization shall qualify as a conservation organization. A person who purchases a deer license from a conservation organization under these rules is not subject to the restriction provided in </w:t>
      </w:r>
      <w:hyperlink r:id="rId7">
        <w:r>
          <w:rPr>
            <w:rStyle w:val="Hyperlink"/>
            <w:rFonts w:ascii="Times New Roman" w:hAnsi="Times New Roman"/>
            <w:b w:val="false"/>
            <w:i w:val="false"/>
            <w:color w:val="000000"/>
            <w:sz w:val="22"/>
          </w:rPr>
          <w:t>12.5(1)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department staff person appointed by the director to administer the process for allocation of special nonresident deer and turkey licenses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disabled veteran or disabled member of the armed forces” </w:t>
      </w:r>
      <w:r>
        <w:rPr>
          <w:rFonts w:ascii="Times New Roman" w:hAnsi="Times New Roman"/>
          <w:b w:val="false"/>
          <w:i w:val="false"/>
          <w:color w:val="000000"/>
          <w:sz w:val="22"/>
        </w:rPr>
        <w:t>means a person who is a veteran and who has an assigned service-related disability rating of 30 percent or more by the United States Department of Veterans Affairs; or a person who is a member of the armed forces serving on active federal duty currently participating in the Integrated Disability Evaluation System (IDES).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“Outdoor industry” </w:t>
      </w:r>
      <w:r>
        <w:rPr>
          <w:rFonts w:ascii="Times New Roman" w:hAnsi="Times New Roman"/>
          <w:b w:val="false"/>
          <w:i w:val="false"/>
          <w:color w:val="000000"/>
          <w:sz w:val="22"/>
        </w:rPr>
        <w:t>means a commercial enterprise or venture that promotes or otherwise contributes to the use of natural resources. A business that solely provides guide or outfitter services is not an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review and selection process through which special nonresident deer and turkey licenses are allocated in accordance with Iowa Code section </w:t>
      </w:r>
      <w:hyperlink r:id="rId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means the committee that ranks certain requests for special licenses for consideration by the director or the director’s designee and consists of the following: the administrator of the conservation and recreation division, the chief of the wildlife bureau, the chief of the law enforcement bureau, the chair of the natural resource commission, and the vice-chair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means the special nonresident deer licenses and special nonresident turkey licenses issued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nonresident deer license” </w:t>
      </w:r>
      <w:r>
        <w:rPr>
          <w:rFonts w:ascii="Times New Roman" w:hAnsi="Times New Roman"/>
          <w:b w:val="false"/>
          <w:i w:val="false"/>
          <w:color w:val="000000"/>
          <w:sz w:val="22"/>
        </w:rPr>
        <w:t xml:space="preserve">means a deer license issued pursuant to Iowa Code section </w:t>
      </w:r>
      <w:hyperlink r:id="rId9">
        <w:r>
          <w:rPr>
            <w:rStyle w:val="Hyperlink"/>
            <w:rFonts w:ascii="Times New Roman" w:hAnsi="Times New Roman"/>
            <w:b w:val="false"/>
            <w:i w:val="false"/>
            <w:color w:val="000000"/>
            <w:sz w:val="22"/>
          </w:rPr>
          <w:t>483A.24(3)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nonresident turkey license” </w:t>
      </w:r>
      <w:r>
        <w:rPr>
          <w:rFonts w:ascii="Times New Roman" w:hAnsi="Times New Roman"/>
          <w:b w:val="false"/>
          <w:i w:val="false"/>
          <w:color w:val="000000"/>
          <w:sz w:val="22"/>
        </w:rPr>
        <w:t xml:space="preserve">means a turkey license issued pursuant to Iowa Code section </w:t>
      </w:r>
      <w:hyperlink r:id="rId10">
        <w:r>
          <w:rPr>
            <w:rStyle w:val="Hyperlink"/>
            <w:rFonts w:ascii="Times New Roman" w:hAnsi="Times New Roman"/>
            <w:b w:val="false"/>
            <w:i w:val="false"/>
            <w:color w:val="000000"/>
            <w:sz w:val="22"/>
          </w:rPr>
          <w:t>483A.24(4)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applies on behalf of one or more hunters. Sponsors shall either conduct business in Iowa and be registered with the secretary of state or have some other affiliation with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signature event organization” </w:t>
      </w:r>
      <w:r>
        <w:rPr>
          <w:rFonts w:ascii="Times New Roman" w:hAnsi="Times New Roman"/>
          <w:b w:val="false"/>
          <w:i w:val="false"/>
          <w:color w:val="000000"/>
          <w:sz w:val="22"/>
        </w:rPr>
        <w:t>means an authority of the state with a foundation dedicated to a mission of making capital improvements on state property or that serves as a major platform for the promotion of Iowa’s agriculture, culture, and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561—12.3</w:t>
      </w:r>
      <w:r>
        <w:rPr>
          <w:rFonts w:ascii="Times New Roman" w:hAnsi="Times New Roman"/>
          <w:b/>
          <w:i w:val="false"/>
          <w:color w:val="000000"/>
          <w:sz w:val="22"/>
        </w:rPr>
        <w:t xml:space="preserve">(483A) </w:t>
      </w:r>
      <w:r>
        <w:rPr>
          <w:rFonts w:ascii="Times New Roman" w:hAnsi="Times New Roman"/>
          <w:b/>
          <w:i w:val="false"/>
          <w:color w:val="000000"/>
          <w:sz w:val="22"/>
        </w:rPr>
        <w:t xml:space="preserve">Availability of special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be available to provide no more than the number of special licenses allowed by Iowa Code section </w:t>
      </w:r>
      <w:hyperlink r:id="rId11">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to nonresidents through requests submitted by individual hunters, through a sponsor, or through an approved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statewide signature event organization shall receive one special nonresident deer license upon application. The statewide signature event organization shall return to the department the greater amount of either one-half of the proceeds from its sale of the special nonresident deer license or the fee for a nonresident deer license as set forth in Iowa Code section </w:t>
      </w:r>
      <w:hyperlink r:id="rId12">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The department’s proceeds shall cover the cost of the special nonresident deer license. A license made available to a statewide signature event organization in accordance with this subrule may be valid for up to two years after selection of the organization by the director or the director’s designee. The statewide signature event organization shall notify the coordinator immediately following the sale of the special nonresident deer license of which year and for what season the special nonresident deer license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561—12.4</w:t>
      </w:r>
      <w:r>
        <w:rPr>
          <w:rFonts w:ascii="Times New Roman" w:hAnsi="Times New Roman"/>
          <w:b/>
          <w:i w:val="false"/>
          <w:color w:val="000000"/>
          <w:sz w:val="22"/>
        </w:rPr>
        <w:t xml:space="preserve">(483A) </w:t>
      </w:r>
      <w:r>
        <w:rPr>
          <w:rFonts w:ascii="Times New Roman" w:hAnsi="Times New Roman"/>
          <w:b/>
          <w:i w:val="false"/>
          <w:color w:val="000000"/>
          <w:sz w:val="22"/>
        </w:rPr>
        <w:t xml:space="preserve">Coordinator duties. </w:t>
      </w:r>
      <w:r>
        <w:rPr>
          <w:rFonts w:ascii="Times New Roman" w:hAnsi="Times New Roman"/>
          <w:b w:val="false"/>
          <w:i w:val="false"/>
          <w:color w:val="000000"/>
          <w:sz w:val="22"/>
        </w:rPr>
        <w:t>The coordinator of the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Assist the review committee in the evaluation and selection of hunters who may receive special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Develop templates for requests for special licenses and provide the templates to hunters, sponsors, and approved organizations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 xml:space="preserve">Convene the review committee to rank hunters according to the criteria in </w:t>
      </w:r>
      <w:hyperlink r:id="rId13">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Summarize each request received and distribute the summaries to the review committee and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Establish the date on which applications for special licenses for disabled veterans and disabled active military personnel are due, establish the dates on which the director or the director’s designee will select the conservation organizations and hunters who will receive special licenses, and inform the conservation organizations, the approved organizations and the hunters of their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561—12.5</w:t>
      </w:r>
      <w:r>
        <w:rPr>
          <w:rFonts w:ascii="Times New Roman" w:hAnsi="Times New Roman"/>
          <w:b/>
          <w:i w:val="false"/>
          <w:color w:val="000000"/>
          <w:sz w:val="22"/>
        </w:rPr>
        <w:t xml:space="preserve">(483A) </w:t>
      </w:r>
      <w:r>
        <w:rPr>
          <w:rFonts w:ascii="Times New Roman" w:hAnsi="Times New Roman"/>
          <w:b/>
          <w:i w:val="false"/>
          <w:color w:val="000000"/>
          <w:sz w:val="22"/>
        </w:rPr>
        <w:t xml:space="preserve">Request, review, and selection process for promotional special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hunters or sponsors shall submit a request, or requests, to the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not qualify for a deer license under this rule if they were issued a deer license under this rule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Hunters awarded a deer license under this rule may purchase preference points for the regular nonresident deer license and shall not lose those preference points when awarded a deer license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review committee shall review the summaries prepared by the coordinator, rank the hunters according to criteria in </w:t>
      </w:r>
      <w:hyperlink r:id="rId14">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 xml:space="preserve">(483A), and forward the rankings to the director or the director’s designee for consideration and final selection. The review committee shall exercise its discretion and, in addition to the criteria in </w:t>
      </w:r>
      <w:hyperlink r:id="rId15">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(483A), shall also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that demonstrate little or no promotion of the state of Iowa or its natural resources shall not be included in the rankings forwarded to or considered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a sponsor, a sponsor-related entity, or hunter that has been found guilty of a game violation in Iowa or elsewhere within the past five years or that, in the opinion of the review committee, has exhibited poor hunting ethics or judgment shall not be considered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requests shall occur at least once annually but may occur more frequently as needed based upon the number of requests and the dates by which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Selection and payment. </w:t>
      </w:r>
      <w:r>
        <w:rPr>
          <w:rFonts w:ascii="Times New Roman" w:hAnsi="Times New Roman"/>
          <w:b w:val="false"/>
          <w:i w:val="false"/>
          <w:color w:val="000000"/>
          <w:sz w:val="22"/>
        </w:rPr>
        <w:t xml:space="preserve">Upon notice of selection to receive a special license, the sponsor or hunter shall make payment in accordance with </w:t>
      </w:r>
      <w:hyperlink r:id="rId16">
        <w:r>
          <w:rPr>
            <w:rStyle w:val="Hyperlink"/>
            <w:rFonts w:ascii="Times New Roman" w:hAnsi="Times New Roman"/>
            <w:b w:val="false"/>
            <w:i w:val="false"/>
            <w:color w:val="000000"/>
            <w:sz w:val="22"/>
          </w:rPr>
          <w:t>561—12.12</w:t>
        </w:r>
      </w:hyperlink>
      <w:r>
        <w:rPr>
          <w:rFonts w:ascii="Times New Roman" w:hAnsi="Times New Roman"/>
          <w:b w:val="false"/>
          <w:i w:val="false"/>
          <w:color w:val="000000"/>
          <w:sz w:val="22"/>
        </w:rPr>
        <w:t>(483A) to the department through the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561—12.6</w:t>
      </w:r>
      <w:r>
        <w:rPr>
          <w:rFonts w:ascii="Times New Roman" w:hAnsi="Times New Roman"/>
          <w:b/>
          <w:i w:val="false"/>
          <w:color w:val="000000"/>
          <w:sz w:val="22"/>
        </w:rPr>
        <w:t xml:space="preserve">(483A) </w:t>
      </w:r>
      <w:r>
        <w:rPr>
          <w:rFonts w:ascii="Times New Roman" w:hAnsi="Times New Roman"/>
          <w:b/>
          <w:i w:val="false"/>
          <w:color w:val="000000"/>
          <w:sz w:val="22"/>
        </w:rPr>
        <w:t xml:space="preserve">Consideration of requests for promotional special licenses. </w:t>
      </w:r>
      <w:r>
        <w:rPr>
          <w:rFonts w:ascii="Times New Roman" w:hAnsi="Times New Roman"/>
          <w:b w:val="false"/>
          <w:i w:val="false"/>
          <w:color w:val="000000"/>
          <w:sz w:val="22"/>
        </w:rPr>
        <w:t>The review committee will recommend to the director or the director’s designee which conservation organizations are best qualified to promote the state and its natural resources. In making recommendations to the director or the director’s designee, the review committee will base its recommendations on the expected ability of hunters to promote the state and its natural resources and, if applicable, based on the degree of success special license holders have had in previous years or seasons in promoting the state and its natural resources. By way of illustration, the committee may consider requests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A hunter who has a direct beneficial impact on the state through an arm’s-length business relationship with an Iowa-based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organization that will use the special nonresident deer license as a fundraiser for that organization. A conservation organization shall be limited to one special nonresident deer license per year, whether the organization is a local or state chapter or division of a national or international conservation organization. The organization shall return to the department the greater amount of either one-half of the proceeds from its sale of the special nonresident deer license or the fee for a nonresident deer license as set forth in Iowa Code section </w:t>
      </w:r>
      <w:hyperlink r:id="rId17">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The department’s proceeds shall cover the cost of the special nonresident deer license. A license made available to a conservation organization in accordance with this subrule may be valid for up to two years after selection of the organization by the director or the director’s designee. The sponsoring conservation organization shall notify the coordinator immediately following the sale of the special nonresident deer license of which year and for what season the special nonresident deer license will be used. The conservation organization shall specifically explain how and during what period the organization will market the special nonresident deer license for auction or some other legal fundraiser.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A hunter nominated by the governor or a member of the Iowa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val="false"/>
          <w:color w:val="000000"/>
          <w:sz w:val="22"/>
        </w:rPr>
        <w:t>A hunter recommended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val="false"/>
          <w:color w:val="000000"/>
          <w:sz w:val="22"/>
        </w:rPr>
        <w:t>A hunter who is a well-known public figure nationally or regionally and who may provide a positive portrayal of the state and its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561—12.7</w:t>
      </w:r>
      <w:r>
        <w:rPr>
          <w:rFonts w:ascii="Times New Roman" w:hAnsi="Times New Roman"/>
          <w:b/>
          <w:i w:val="false"/>
          <w:color w:val="000000"/>
          <w:sz w:val="22"/>
        </w:rPr>
        <w:t xml:space="preserve">(483A) </w:t>
      </w:r>
      <w:r>
        <w:rPr>
          <w:rFonts w:ascii="Times New Roman" w:hAnsi="Times New Roman"/>
          <w:b/>
          <w:i w:val="false"/>
          <w:color w:val="000000"/>
          <w:sz w:val="22"/>
        </w:rPr>
        <w:t xml:space="preserve">Ranking criteria for promotional special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criteria shall be used by the review committee to rank individual hunters as identified in </w:t>
      </w:r>
      <w:hyperlink r:id="rId18">
        <w:r>
          <w:rPr>
            <w:rStyle w:val="Hyperlink"/>
            <w:rFonts w:ascii="Times New Roman" w:hAnsi="Times New Roman"/>
            <w:b w:val="false"/>
            <w:i w:val="false"/>
            <w:color w:val="000000"/>
            <w:sz w:val="22"/>
          </w:rPr>
          <w:t>12.6(1)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12.6(4)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12.6(5)</w:t>
        </w:r>
      </w:hyperlink>
      <w:r>
        <w:rPr>
          <w:rFonts w:ascii="Times New Roman" w:hAnsi="Times New Roman"/>
          <w:b w:val="false"/>
          <w:i w:val="false"/>
          <w:color w:val="000000"/>
          <w:sz w:val="22"/>
        </w:rPr>
        <w:t>. The rankings shall be determined as the average of the following rating points and will be provided to the director or the director’s designee as an aid in determining the selection of hunters.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points if the hunter is directly affiliated with an Iowa-based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0 to 10 points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relative size of the hunter’s potential audience.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hunter’s proposal to promote the state and its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hunter has received a special license in the past, the value of the actual promotion of the state and its natural resources or special services provided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From 0 to 5 points if the hunter meets the description in </w:t>
      </w:r>
      <w:hyperlink r:id="rId21">
        <w:r>
          <w:rPr>
            <w:rStyle w:val="Hyperlink"/>
            <w:rFonts w:ascii="Times New Roman" w:hAnsi="Times New Roman"/>
            <w:b w:val="false"/>
            <w:i w:val="false"/>
            <w:color w:val="000000"/>
            <w:sz w:val="22"/>
          </w:rPr>
          <w:t>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organization’s request shall be forwarded to the director or the director’s designee if the conservation organization meets the definition in </w:t>
      </w:r>
      <w:hyperlink r:id="rId22">
        <w:r>
          <w:rPr>
            <w:rStyle w:val="Hyperlink"/>
            <w:rFonts w:ascii="Times New Roman" w:hAnsi="Times New Roman"/>
            <w:b w:val="false"/>
            <w:i w:val="false"/>
            <w:color w:val="000000"/>
            <w:sz w:val="22"/>
          </w:rPr>
          <w:t>561—12.2</w:t>
        </w:r>
      </w:hyperlink>
      <w:r>
        <w:rPr>
          <w:rFonts w:ascii="Times New Roman" w:hAnsi="Times New Roman"/>
          <w:b w:val="false"/>
          <w:i w:val="false"/>
          <w:color w:val="000000"/>
          <w:sz w:val="22"/>
        </w:rPr>
        <w:t>(483A) and approval shall be based on evaluation of the organization’s prior performance, if any, in selling the special nonresident deer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 xml:space="preserve">Hunters as identified in </w:t>
      </w:r>
      <w:hyperlink r:id="rId23">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shall not be ranked by the review committee, and their requests will be forwarded to the director or the director’s designee for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561—12.8</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term for promotional special licenses. </w:t>
      </w:r>
      <w:r>
        <w:rPr>
          <w:rFonts w:ascii="Times New Roman" w:hAnsi="Times New Roman"/>
          <w:b w:val="false"/>
          <w:i w:val="false"/>
          <w:color w:val="000000"/>
          <w:sz w:val="22"/>
        </w:rPr>
        <w:t xml:space="preserve">With the exception of the term provided for in </w:t>
      </w:r>
      <w:hyperlink r:id="rId24">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special licenses issued under these rules shall be valid for only the applicable deer or turkey season immediately following allocation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561—12.9</w:t>
      </w:r>
      <w:r>
        <w:rPr>
          <w:rFonts w:ascii="Times New Roman" w:hAnsi="Times New Roman"/>
          <w:b/>
          <w:i w:val="false"/>
          <w:color w:val="000000"/>
          <w:sz w:val="22"/>
        </w:rPr>
        <w:t xml:space="preserve">(483A) </w:t>
      </w:r>
      <w:r>
        <w:rPr>
          <w:rFonts w:ascii="Times New Roman" w:hAnsi="Times New Roman"/>
          <w:b/>
          <w:i w:val="false"/>
          <w:color w:val="000000"/>
          <w:sz w:val="22"/>
        </w:rPr>
        <w:t xml:space="preserve">Reporting by recipients of promotional special licenses. </w:t>
      </w:r>
      <w:r>
        <w:rPr>
          <w:rFonts w:ascii="Times New Roman" w:hAnsi="Times New Roman"/>
          <w:b w:val="false"/>
          <w:i w:val="false"/>
          <w:color w:val="000000"/>
          <w:sz w:val="22"/>
        </w:rPr>
        <w:t>Within eight months after a hunter’s participation in a hunt with a license issued pursuant to this chapter, the sponsor or hunter shall provide to the coordinator information about the hunt to demonstrate how the hunt will provide or has provided promotion of the state and its natural resources. The director or the director’s designee may consider compliance with this reporting requirement in evaluating future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561—12.10</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costs for promotional special licenses. </w:t>
      </w:r>
      <w:r>
        <w:rPr>
          <w:rFonts w:ascii="Times New Roman" w:hAnsi="Times New Roman"/>
          <w:b w:val="false"/>
          <w:i w:val="false"/>
          <w:color w:val="000000"/>
          <w:sz w:val="22"/>
        </w:rPr>
        <w:t xml:space="preserve">With the exception provided in </w:t>
      </w:r>
      <w:hyperlink r:id="rId25">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for conservation organizations, a nonresident who obtains a special license issued pursuant to this chapter shall pay the applicable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deer license, the fee described in Iowa Code section </w:t>
      </w:r>
      <w:hyperlink r:id="rId26">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for a deer hunting license, antlered or any sex deer.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turkey license, the fee described in Iowa Code section </w:t>
      </w:r>
      <w:hyperlink r:id="rId27">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for a wild turkey hunting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561—12.11</w:t>
      </w:r>
      <w:r>
        <w:rPr>
          <w:rFonts w:ascii="Times New Roman" w:hAnsi="Times New Roman"/>
          <w:b/>
          <w:i w:val="false"/>
          <w:color w:val="000000"/>
          <w:sz w:val="22"/>
        </w:rPr>
        <w:t xml:space="preserve">(483A) </w:t>
      </w:r>
      <w:r>
        <w:rPr>
          <w:rFonts w:ascii="Times New Roman" w:hAnsi="Times New Roman"/>
          <w:b/>
          <w:i w:val="false"/>
          <w:color w:val="000000"/>
          <w:sz w:val="22"/>
        </w:rPr>
        <w:t xml:space="preserve">Request, review, and selection processes for special licenses for nonresident disabled veterans or disabled members of the armed forces.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hunters or approved organizations shall submit a request, or requests, to the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not qualify for a deer or turkey license under this rule if they were issued a deer or turkey license under this rule the previous year. However, if there are unclaimed deer or turkey licenses under this rule, then the coordinator may keep a list of applicants who received licenses the previous year and who apply for the current year, and process those applicants’ applications to determine the recipients of the unclaimed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Hunters awarded a deer license under this rule may purchase preference points for the regular nonresident deer license and shall not lose those preference points when awarded a deer license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After the established deadlines have passed, the coordinator shall review the applications for completeness and shall process the complete applications to determine the recipients of the special licenses. The coordinator shall exercise discretion and shall also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from an approved organization or hunter that has been found guilty of a game violation in Iowa or elsewhere shall not be considered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special licenses are unclaimed after the established deadlines, the coordinator may set new deadlines and inform participating approved organizations that licenses are still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12.11(3)</w:t>
      </w:r>
      <w:r>
        <w:rPr>
          <w:rFonts w:ascii="Times New Roman" w:hAnsi="Times New Roman"/>
          <w:b w:val="false"/>
          <w:i w:val="false"/>
          <w:color w:val="000000"/>
          <w:sz w:val="22"/>
        </w:rPr>
        <w:t> </w:t>
      </w:r>
      <w:r>
        <w:rPr>
          <w:rFonts w:ascii="Times New Roman" w:hAnsi="Times New Roman"/>
          <w:b w:val="false"/>
          <w:i/>
          <w:color w:val="000000"/>
          <w:sz w:val="22"/>
        </w:rPr>
        <w:t xml:space="preserve">Selection and payment. </w:t>
      </w:r>
      <w:r>
        <w:rPr>
          <w:rFonts w:ascii="Times New Roman" w:hAnsi="Times New Roman"/>
          <w:b w:val="false"/>
          <w:i w:val="false"/>
          <w:color w:val="000000"/>
          <w:sz w:val="22"/>
        </w:rPr>
        <w:t xml:space="preserve">Upon notice of selection to receive a special license, the approved organization or hunter shall make payment in accordance with </w:t>
      </w:r>
      <w:hyperlink r:id="rId28">
        <w:r>
          <w:rPr>
            <w:rStyle w:val="Hyperlink"/>
            <w:rFonts w:ascii="Times New Roman" w:hAnsi="Times New Roman"/>
            <w:b w:val="false"/>
            <w:i w:val="false"/>
            <w:color w:val="000000"/>
            <w:sz w:val="22"/>
          </w:rPr>
          <w:t>561—12.17</w:t>
        </w:r>
      </w:hyperlink>
      <w:r>
        <w:rPr>
          <w:rFonts w:ascii="Times New Roman" w:hAnsi="Times New Roman"/>
          <w:b w:val="false"/>
          <w:i w:val="false"/>
          <w:color w:val="000000"/>
          <w:sz w:val="22"/>
        </w:rPr>
        <w:t>(483A) to the department through the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561—12.12</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term for disabled veteran and military special licenses. </w:t>
      </w:r>
      <w:r>
        <w:rPr>
          <w:rFonts w:ascii="Times New Roman" w:hAnsi="Times New Roman"/>
          <w:b w:val="false"/>
          <w:i w:val="false"/>
          <w:color w:val="000000"/>
          <w:sz w:val="22"/>
        </w:rPr>
        <w:t>Special deer or turkey licenses issued under these rules shall be valid for only the applicable deer or turkey season immediately following allocation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561—12.13</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costs for disabled veteran and military special licenses. </w:t>
      </w:r>
      <w:r>
        <w:rPr>
          <w:rFonts w:ascii="Times New Roman" w:hAnsi="Times New Roman"/>
          <w:b w:val="false"/>
          <w:i w:val="false"/>
          <w:color w:val="000000"/>
          <w:sz w:val="22"/>
        </w:rPr>
        <w:t>A nonresident who obtains a special license issued pursuant to this chapter shall pay the applicable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deer hunting antlered or any sex deer license or a turkey hunting license, the fee described in Iowa Code section </w:t>
      </w:r>
      <w:hyperlink r:id="rId29">
        <w:r>
          <w:rPr>
            <w:rStyle w:val="Hyperlink"/>
            <w:rFonts w:ascii="Times New Roman" w:hAnsi="Times New Roman"/>
            <w:b w:val="false"/>
            <w:i w:val="false"/>
            <w:color w:val="000000"/>
            <w:sz w:val="22"/>
          </w:rPr>
          <w:t>483A.24(5)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hunting license that includes the wildlife habitat fee, the fee described in Iowa Code section </w:t>
      </w:r>
      <w:hyperlink r:id="rId30">
        <w:r>
          <w:rPr>
            <w:rStyle w:val="Hyperlink"/>
            <w:rFonts w:ascii="Times New Roman" w:hAnsi="Times New Roman"/>
            <w:b w:val="false"/>
            <w:i w:val="false"/>
            <w:color w:val="000000"/>
            <w:sz w:val="22"/>
          </w:rPr>
          <w:t>483A.24(5)</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9704C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31">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7814B</w:t>
      </w:r>
      <w:r>
        <w:rPr>
          <w:rFonts w:ascii="Times New Roman" w:hAnsi="Times New Roman"/>
          <w:b w:val="false"/>
          <w:i w:val="false"/>
          <w:color w:val="000000"/>
          <w:sz w:val="21"/>
        </w:rPr>
        <w:t xml:space="preserve"> (Notice ARC 7652B,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8753B</w:t>
      </w:r>
      <w:r>
        <w:rPr>
          <w:rFonts w:ascii="Times New Roman" w:hAnsi="Times New Roman"/>
          <w:b w:val="false"/>
          <w:i w:val="false"/>
          <w:color w:val="000000"/>
          <w:sz w:val="21"/>
        </w:rPr>
        <w:t xml:space="preserve"> (Notice ARC 8595B, IAB 3/10/10)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2379C</w:t>
      </w:r>
      <w:r>
        <w:rPr>
          <w:rFonts w:ascii="Times New Roman" w:hAnsi="Times New Roman"/>
          <w:b w:val="false"/>
          <w:i w:val="false"/>
          <w:color w:val="000000"/>
          <w:sz w:val="21"/>
        </w:rPr>
        <w:t xml:space="preserve"> (Notice ARC 2132C, IAB 9/2/15)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5517C</w:t>
      </w:r>
      <w:r>
        <w:rPr>
          <w:rFonts w:ascii="Times New Roman" w:hAnsi="Times New Roman"/>
          <w:b w:val="false"/>
          <w:i w:val="false"/>
          <w:color w:val="000000"/>
          <w:sz w:val="21"/>
        </w:rPr>
        <w:t xml:space="preserve"> (Notice ARC 5379C,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9704C</w:t>
      </w:r>
      <w:r>
        <w:rPr>
          <w:rFonts w:ascii="Times New Roman" w:hAnsi="Times New Roman"/>
          <w:b w:val="false"/>
          <w:i w:val="false"/>
          <w:color w:val="000000"/>
          <w:sz w:val="21"/>
        </w:rPr>
        <w:t xml:space="preserve"> (Amended Notice ARC 9426C, IAB 7/23/25; </w:t>
      </w:r>
      <w:r>
        <w:rPr>
          <w:rFonts w:ascii="Times New Roman" w:hAnsi="Times New Roman"/>
          <w:b w:val="false"/>
          <w:i w:val="false"/>
          <w:color w:val="000000"/>
          <w:sz w:val="21"/>
        </w:rPr>
        <w:t>Notice ARC 8646C, IAB 1/8/25)</w:t>
      </w:r>
      <w:r>
        <w:rPr>
          <w:rFonts w:ascii="Times New Roman" w:hAnsi="Times New Roman"/>
          <w:b w:val="false"/>
          <w:i w:val="false"/>
          <w:color w:val="000000"/>
          <w:sz w:val="21"/>
        </w:rPr>
        <w:t>, IAB 11/12/25, effective 12/17/25]</w:t>
      </w:r>
    </w:p>
    <w:sectPr>
      <w:footerReference r:id="rId3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4.pdf" Type="http://schemas.openxmlformats.org/officeDocument/2006/relationships/hyperlink" Id="rId5"/>
    <Relationship TargetMode="External" Target="https://www.legis.iowa.gov/docs/ico/chapter/504.pdf" Type="http://schemas.openxmlformats.org/officeDocument/2006/relationships/hyperlink" Id="rId6"/>
    <Relationship TargetMode="External" Target="https://www.legis.iowa.gov/docs/iac/rule/561.12.5.pdf" Type="http://schemas.openxmlformats.org/officeDocument/2006/relationships/hyperlink" Id="rId7"/>
    <Relationship TargetMode="External" Target="https://www.legis.iowa.gov/docs/ico/chapter/483A.24.pdf" Type="http://schemas.openxmlformats.org/officeDocument/2006/relationships/hyperlink" Id="rId8"/>
    <Relationship TargetMode="External" Target="https://www.legis.iowa.gov/docs/ico/chapter/483A.24.pdf" Type="http://schemas.openxmlformats.org/officeDocument/2006/relationships/hyperlink" Id="rId9"/>
    <Relationship TargetMode="External" Target="https://www.legis.iowa.gov/docs/ico/chapter/483A.24.pdf" Type="http://schemas.openxmlformats.org/officeDocument/2006/relationships/hyperlink" Id="rId10"/>
    <Relationship TargetMode="External" Target="https://www.legis.iowa.gov/docs/ico/chapter/483A.24.pdf" Type="http://schemas.openxmlformats.org/officeDocument/2006/relationships/hyperlink" Id="rId11"/>
    <Relationship TargetMode="External" Target="https://www.legis.iowa.gov/docs/ico/chapter/483A.1.pdf" Type="http://schemas.openxmlformats.org/officeDocument/2006/relationships/hyperlink" Id="rId12"/>
    <Relationship TargetMode="External" Target="https://www.legis.iowa.gov/docs/iac/rule/561.12.7.pdf" Type="http://schemas.openxmlformats.org/officeDocument/2006/relationships/hyperlink" Id="rId13"/>
    <Relationship TargetMode="External" Target="https://www.legis.iowa.gov/docs/iac/rule/561.12.7.pdf" Type="http://schemas.openxmlformats.org/officeDocument/2006/relationships/hyperlink" Id="rId14"/>
    <Relationship TargetMode="External" Target="https://www.legis.iowa.gov/docs/iac/rule/561.12.7.pdf" Type="http://schemas.openxmlformats.org/officeDocument/2006/relationships/hyperlink" Id="rId15"/>
    <Relationship TargetMode="External" Target="https://www.legis.iowa.gov/docs/iac/rule/561.12.12.pdf" Type="http://schemas.openxmlformats.org/officeDocument/2006/relationships/hyperlink" Id="rId16"/>
    <Relationship TargetMode="External" Target="https://www.legis.iowa.gov/docs/ico/chapter/483A.1.pdf" Type="http://schemas.openxmlformats.org/officeDocument/2006/relationships/hyperlink" Id="rId17"/>
    <Relationship TargetMode="External" Target="https://www.legis.iowa.gov/docs/iac/rule/561.12.6.pdf" Type="http://schemas.openxmlformats.org/officeDocument/2006/relationships/hyperlink" Id="rId18"/>
    <Relationship TargetMode="External" Target="https://www.legis.iowa.gov/docs/iac/rule/561.12.6.pdf" Type="http://schemas.openxmlformats.org/officeDocument/2006/relationships/hyperlink" Id="rId19"/>
    <Relationship TargetMode="External" Target="https://www.legis.iowa.gov/docs/iac/rule/561.12.6.pdf" Type="http://schemas.openxmlformats.org/officeDocument/2006/relationships/hyperlink" Id="rId20"/>
    <Relationship TargetMode="External" Target="https://www.legis.iowa.gov/docs/iac/rule/561.12.6.pdf" Type="http://schemas.openxmlformats.org/officeDocument/2006/relationships/hyperlink" Id="rId21"/>
    <Relationship TargetMode="External" Target="https://www.legis.iowa.gov/docs/iac/rule/561.12.2.pdf" Type="http://schemas.openxmlformats.org/officeDocument/2006/relationships/hyperlink" Id="rId22"/>
    <Relationship TargetMode="External" Target="https://www.legis.iowa.gov/docs/iac/rule/561.12.6.pdf" Type="http://schemas.openxmlformats.org/officeDocument/2006/relationships/hyperlink" Id="rId23"/>
    <Relationship TargetMode="External" Target="https://www.legis.iowa.gov/docs/iac/rule/561.12.6.pdf" Type="http://schemas.openxmlformats.org/officeDocument/2006/relationships/hyperlink" Id="rId24"/>
    <Relationship TargetMode="External" Target="https://www.legis.iowa.gov/docs/iac/rule/561.12.6.pdf" Type="http://schemas.openxmlformats.org/officeDocument/2006/relationships/hyperlink" Id="rId25"/>
    <Relationship TargetMode="External" Target="https://www.legis.iowa.gov/docs/ico/chapter/483A.1.pdf" Type="http://schemas.openxmlformats.org/officeDocument/2006/relationships/hyperlink" Id="rId26"/>
    <Relationship TargetMode="External" Target="https://www.legis.iowa.gov/docs/ico/chapter/483A.1.pdf" Type="http://schemas.openxmlformats.org/officeDocument/2006/relationships/hyperlink" Id="rId27"/>
    <Relationship TargetMode="External" Target="https://www.legis.iowa.gov/docs/iac/rule/561.12.17.pdf" Type="http://schemas.openxmlformats.org/officeDocument/2006/relationships/hyperlink" Id="rId28"/>
    <Relationship TargetMode="External" Target="https://www.legis.iowa.gov/docs/ico/chapter/483A.24.pdf" Type="http://schemas.openxmlformats.org/officeDocument/2006/relationships/hyperlink" Id="rId29"/>
    <Relationship TargetMode="External" Target="https://www.legis.iowa.gov/docs/ico/chapter/483A.24.pdf" Type="http://schemas.openxmlformats.org/officeDocument/2006/relationships/hyperlink" Id="rId30"/>
    <Relationship TargetMode="External" Target="https://www.legis.iowa.gov/docs/ico/chapter/483A.24.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