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PUBLIC RECORDS AND</w:t>
      </w:r>
      <w:r>
        <w:br/>
      </w:r>
      <w:r>
        <w:rPr>
          <w:rFonts w:ascii="Times New Roman" w:hAnsi="Times New Roman"/>
          <w:b w:val="false"/>
          <w:i w:val="false"/>
          <w:color w:val="000000"/>
          <w:sz w:val="21"/>
        </w:rPr>
        <w:t>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545—8.1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In lieu of the words “(official or body issuing these rules)”, insert “city finance committee”. As used in these rules, unless the context otherwise requires, “Committee” means the city finance committee and “director” means the director of the department of management.</w:t>
      </w:r>
    </w:p>
    <w:p>
      <w:pPr>
        <w:spacing w:before="210" w:after="0"/>
        <w:ind w:left="120"/>
        <w:jc w:val="both"/>
      </w:pPr>
      <w:r>
        <w:rPr>
          <w:rFonts w:ascii="Times New Roman" w:hAnsi="Times New Roman"/>
          <w:b/>
          <w:i w:val="false"/>
          <w:color w:val="000000"/>
          <w:sz w:val="22"/>
        </w:rPr>
        <w:t>545—8.3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545—8.9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545—8.10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545—8.11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545—8.12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545—8.13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545—8.14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The city finance committee does not maintain any records that could be considered personally identifiable.</w:t>
      </w:r>
    </w:p>
    <w:p>
      <w:pPr>
        <w:spacing w:before="210" w:after="0"/>
        <w:ind w:left="120"/>
        <w:jc w:val="both"/>
      </w:pPr>
      <w:r>
        <w:rPr>
          <w:rFonts w:ascii="Times New Roman" w:hAnsi="Times New Roman"/>
          <w:b/>
          <w:i w:val="false"/>
          <w:color w:val="000000"/>
          <w:sz w:val="22"/>
        </w:rPr>
        <w:t>545—8.15</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None of the data processing systems used by the agency permit the comparison of personally identifiable information in one record system with personally identifiable information in another record system.</w:t>
      </w:r>
    </w:p>
    <w:p>
      <w:pPr>
        <w:spacing w:before="210" w:after="0"/>
        <w:ind w:left="120"/>
        <w:jc w:val="both"/>
      </w:pPr>
      <w:r>
        <w:rPr>
          <w:rFonts w:ascii="Times New Roman" w:hAnsi="Times New Roman"/>
          <w:b/>
          <w:i w:val="false"/>
          <w:color w:val="000000"/>
          <w:sz w:val="22"/>
        </w:rPr>
        <w:t>545—8.16</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records. </w:t>
      </w:r>
      <w:r>
        <w:rPr>
          <w:rFonts w:ascii="Times New Roman" w:hAnsi="Times New Roman"/>
          <w:b w:val="false"/>
          <w:i w:val="false"/>
          <w:color w:val="000000"/>
          <w:sz w:val="22"/>
        </w:rPr>
        <w:t>The committee maintains a variety of records which do not generally contain information pertaining to named individuals. The committee maintains the following records, not heretofore listed, which do not generally contain personally identifiable or confidential information: minutes from the committee meetings, law enforcement officer training reimbursements, special reports and studies, appeals from denied requests for permission to exceed statutory levy limits.</w:t>
      </w:r>
    </w:p>
    <w:p>
      <w:pPr>
        <w:spacing w:before="210" w:after="0"/>
        <w:ind w:left="120"/>
        <w:jc w:val="both"/>
      </w:pPr>
      <w:r>
        <w:rPr>
          <w:rFonts w:ascii="Times New Roman" w:hAnsi="Times New Roman"/>
          <w:b/>
          <w:i w:val="false"/>
          <w:color w:val="000000"/>
          <w:sz w:val="22"/>
        </w:rPr>
        <w:t>545—8.17</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8/19/88 after Notice 6/29/88—published 9/7/88, effective 8/19/88]</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11.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