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BUDGET AMENDMENTS AND FUND TRANSFERS</w:t>
      </w:r>
    </w:p>
    <w:p>
      <w:pPr>
        <w:spacing w:before="0" w:after="0"/>
        <w:ind w:left="120"/>
        <w:jc w:val="center"/>
      </w:pPr>
      <w:r>
        <w:rPr>
          <w:rFonts w:ascii="Times New Roman" w:hAnsi="Times New Roman"/>
          <w:b w:val="false"/>
          <w:i w:val="false"/>
          <w:color w:val="000000"/>
          <w:sz w:val="14"/>
        </w:rPr>
        <w:t>[Prior to 11/30/88, see City Finance Committee[230] Ch 2]</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7/29/31</w:t>
      </w:r>
    </w:p>
    <w:p>
      <w:pPr>
        <w:spacing w:before="0" w:after="0"/>
        <w:ind w:left="120"/>
        <w:jc w:val="center"/>
      </w:pPr>
      <w:r>
        <w:rPr>
          <w:rFonts w:ascii="Times New Roman" w:hAnsi="Times New Roman"/>
          <w:b w:val="false"/>
          <w:i w:val="false"/>
          <w:color w:val="000000"/>
          <w:sz w:val="22"/>
        </w:rPr>
        <w:t>PREAMBLE</w:t>
      </w:r>
    </w:p>
    <w:p>
      <w:pPr>
        <w:spacing w:before="0" w:after="0"/>
        <w:ind w:left="120"/>
        <w:jc w:val="both"/>
      </w:pPr>
      <w:r>
        <w:rPr>
          <w:rFonts w:ascii="Times New Roman" w:hAnsi="Times New Roman"/>
          <w:b w:val="false"/>
          <w:i w:val="false"/>
          <w:color w:val="000000"/>
          <w:sz w:val="22"/>
        </w:rPr>
        <w:t>Consistent with home rule legislation, the city finance committee encourages as much flexibility as possible in the municipal budget administration. At the same time, it is the responsibility of the city finance committee to impose those procedures and processes necessary to ensure adequate notice to citizens of proposed and adopted changes in the local budget and to provide an opportunity for citizen involvement in the reallocation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0390D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545—2.1</w:t>
      </w:r>
      <w:r>
        <w:rPr>
          <w:rFonts w:ascii="Times New Roman" w:hAnsi="Times New Roman"/>
          <w:b/>
          <w:i w:val="false"/>
          <w:color w:val="000000"/>
          <w:sz w:val="22"/>
        </w:rPr>
        <w:t xml:space="preserve">(384,388) </w:t>
      </w:r>
      <w:r>
        <w:rPr>
          <w:rFonts w:ascii="Times New Roman" w:hAnsi="Times New Roman"/>
          <w:b/>
          <w:i w:val="false"/>
          <w:color w:val="000000"/>
          <w:sz w:val="22"/>
        </w:rPr>
        <w:t xml:space="preserve">Appropriation of unanticipated amount. </w:t>
      </w:r>
      <w:r>
        <w:rPr>
          <w:rFonts w:ascii="Times New Roman" w:hAnsi="Times New Roman"/>
          <w:b w:val="false"/>
          <w:i w:val="false"/>
          <w:color w:val="000000"/>
          <w:sz w:val="22"/>
        </w:rPr>
        <w:t xml:space="preserve">Budget amendments to the adopted city budget to permit the appropriation and expenditure of unencumbered and unanticipated balances or amounts anticipated to be available from sources other than property taxes but which have not been appropriated in the adopted budget will be prepared as provided in Iowa Code section </w:t>
      </w:r>
      <w:hyperlink r:id="rId5">
        <w:r>
          <w:rPr>
            <w:rStyle w:val="Hyperlink"/>
            <w:rFonts w:ascii="Times New Roman" w:hAnsi="Times New Roman"/>
            <w:b w:val="false"/>
            <w:i w:val="false"/>
            <w:color w:val="000000"/>
            <w:sz w:val="22"/>
          </w:rPr>
          <w:t>384.16</w:t>
        </w:r>
      </w:hyperlink>
      <w:r>
        <w:rPr>
          <w:rFonts w:ascii="Times New Roman" w:hAnsi="Times New Roman"/>
          <w:b w:val="false"/>
          <w:i w:val="false"/>
          <w:color w:val="000000"/>
          <w:sz w:val="22"/>
        </w:rPr>
        <w:t xml:space="preserve"> and are subject to protest as provided in Iowa Code section </w:t>
      </w:r>
      <w:hyperlink r:id="rId6">
        <w:r>
          <w:rPr>
            <w:rStyle w:val="Hyperlink"/>
            <w:rFonts w:ascii="Times New Roman" w:hAnsi="Times New Roman"/>
            <w:b w:val="false"/>
            <w:i w:val="false"/>
            <w:color w:val="000000"/>
            <w:sz w:val="22"/>
          </w:rPr>
          <w:t>384.19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All adopted budget amendments to appropriate and expend unanticipated amounts are to be certified to the auditor of the county or counties where the city is located and to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0390D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545—2.2</w:t>
      </w:r>
      <w:r>
        <w:rPr>
          <w:rFonts w:ascii="Times New Roman" w:hAnsi="Times New Roman"/>
          <w:b/>
          <w:i w:val="false"/>
          <w:color w:val="000000"/>
          <w:sz w:val="22"/>
        </w:rPr>
        <w:t xml:space="preserve">(384,388) </w:t>
      </w:r>
      <w:r>
        <w:rPr>
          <w:rFonts w:ascii="Times New Roman" w:hAnsi="Times New Roman"/>
          <w:b/>
          <w:i w:val="false"/>
          <w:color w:val="000000"/>
          <w:sz w:val="22"/>
        </w:rPr>
        <w:t xml:space="preserve">Transfers between programs. </w:t>
      </w:r>
      <w:r>
        <w:rPr>
          <w:rFonts w:ascii="Times New Roman" w:hAnsi="Times New Roman"/>
          <w:b w:val="false"/>
          <w:i w:val="false"/>
          <w:color w:val="000000"/>
          <w:sz w:val="22"/>
        </w:rPr>
        <w:t xml:space="preserve">Except as specifically provided elsewhere in these rules, all appropriation transfers between programs are budget amendments and will be prepared as provided in Iowa Code section </w:t>
      </w:r>
      <w:hyperlink r:id="rId7">
        <w:r>
          <w:rPr>
            <w:rStyle w:val="Hyperlink"/>
            <w:rFonts w:ascii="Times New Roman" w:hAnsi="Times New Roman"/>
            <w:b w:val="false"/>
            <w:i w:val="false"/>
            <w:color w:val="000000"/>
            <w:sz w:val="22"/>
          </w:rPr>
          <w:t>384.16</w:t>
        </w:r>
      </w:hyperlink>
      <w:r>
        <w:rPr>
          <w:rFonts w:ascii="Times New Roman" w:hAnsi="Times New Roman"/>
          <w:b w:val="false"/>
          <w:i w:val="false"/>
          <w:color w:val="000000"/>
          <w:sz w:val="22"/>
        </w:rPr>
        <w:t xml:space="preserve"> and subject to protest as provided in Iowa Code section </w:t>
      </w:r>
      <w:hyperlink r:id="rId8">
        <w:r>
          <w:rPr>
            <w:rStyle w:val="Hyperlink"/>
            <w:rFonts w:ascii="Times New Roman" w:hAnsi="Times New Roman"/>
            <w:b w:val="false"/>
            <w:i w:val="false"/>
            <w:color w:val="000000"/>
            <w:sz w:val="22"/>
          </w:rPr>
          <w:t>384.19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All adopted budget amendments to permit the transfer of adopted budget appropriations between programs are to be certified to the auditor of the county or counties where the city is located and to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0390D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545—2.3</w:t>
      </w:r>
      <w:r>
        <w:rPr>
          <w:rFonts w:ascii="Times New Roman" w:hAnsi="Times New Roman"/>
          <w:b/>
          <w:i w:val="false"/>
          <w:color w:val="000000"/>
          <w:sz w:val="22"/>
        </w:rPr>
        <w:t xml:space="preserve">(384,388) </w:t>
      </w:r>
      <w:r>
        <w:rPr>
          <w:rFonts w:ascii="Times New Roman" w:hAnsi="Times New Roman"/>
          <w:b/>
          <w:i w:val="false"/>
          <w:color w:val="000000"/>
          <w:sz w:val="22"/>
        </w:rPr>
        <w:t xml:space="preserve">Transfers within programs. </w:t>
      </w:r>
      <w:r>
        <w:rPr>
          <w:rFonts w:ascii="Times New Roman" w:hAnsi="Times New Roman"/>
          <w:b w:val="false"/>
          <w:i w:val="false"/>
          <w:color w:val="000000"/>
          <w:sz w:val="22"/>
        </w:rPr>
        <w:t xml:space="preserve">Transfers within programs are not budget amendments within the meaning of Iowa Code section </w:t>
      </w:r>
      <w:hyperlink r:id="rId9">
        <w:r>
          <w:rPr>
            <w:rStyle w:val="Hyperlink"/>
            <w:rFonts w:ascii="Times New Roman" w:hAnsi="Times New Roman"/>
            <w:b w:val="false"/>
            <w:i w:val="false"/>
            <w:color w:val="000000"/>
            <w:sz w:val="22"/>
          </w:rPr>
          <w:t>384.18</w:t>
        </w:r>
      </w:hyperlink>
      <w:r>
        <w:rPr>
          <w:rFonts w:ascii="Times New Roman" w:hAnsi="Times New Roman"/>
          <w:b w:val="false"/>
          <w:i w:val="false"/>
          <w:color w:val="000000"/>
          <w:sz w:val="22"/>
        </w:rPr>
        <w:t>. It is the responsibility of the governing body of each city to provide its own written rules for transfers within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0390D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545—2.4</w:t>
      </w:r>
      <w:r>
        <w:rPr>
          <w:rFonts w:ascii="Times New Roman" w:hAnsi="Times New Roman"/>
          <w:b/>
          <w:i w:val="false"/>
          <w:color w:val="000000"/>
          <w:sz w:val="22"/>
        </w:rPr>
        <w:t xml:space="preserve">(384,388) </w:t>
      </w:r>
      <w:r>
        <w:rPr>
          <w:rFonts w:ascii="Times New Roman" w:hAnsi="Times New Roman"/>
          <w:b/>
          <w:i w:val="false"/>
          <w:color w:val="000000"/>
          <w:sz w:val="22"/>
        </w:rPr>
        <w:t xml:space="preserve">Fund transfers.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r>
        <w:rPr>
          <w:rFonts w:ascii="Times New Roman" w:hAnsi="Times New Roman"/>
          <w:b w:val="false"/>
          <w:i w:val="false"/>
          <w:color w:val="000000"/>
          <w:sz w:val="22"/>
        </w:rPr>
        <w:t xml:space="preserve">All transfers of moneys between funds found in the city budget forms will be approved by a fund transfer resolution. Transfers between funds in one program are types of amendments that are not subject to preparation and adoption as provided in Iowa Code section </w:t>
      </w:r>
      <w:hyperlink r:id="rId10">
        <w:r>
          <w:rPr>
            <w:rStyle w:val="Hyperlink"/>
            <w:rFonts w:ascii="Times New Roman" w:hAnsi="Times New Roman"/>
            <w:b w:val="false"/>
            <w:i w:val="false"/>
            <w:color w:val="000000"/>
            <w:sz w:val="22"/>
          </w:rPr>
          <w:t>384.16</w:t>
        </w:r>
      </w:hyperlink>
      <w:r>
        <w:rPr>
          <w:rFonts w:ascii="Times New Roman" w:hAnsi="Times New Roman"/>
          <w:b w:val="false"/>
          <w:i w:val="false"/>
          <w:color w:val="000000"/>
          <w:sz w:val="22"/>
        </w:rPr>
        <w:t xml:space="preserve"> and are not subject to protest as provided in Iowa Code section </w:t>
      </w:r>
      <w:hyperlink r:id="rId11">
        <w:r>
          <w:rPr>
            <w:rStyle w:val="Hyperlink"/>
            <w:rFonts w:ascii="Times New Roman" w:hAnsi="Times New Roman"/>
            <w:b w:val="false"/>
            <w:i w:val="false"/>
            <w:color w:val="000000"/>
            <w:sz w:val="22"/>
          </w:rPr>
          <w:t>384.19</w:t>
        </w:r>
      </w:hyperlink>
      <w:r>
        <w:rPr>
          <w:rFonts w:ascii="Times New Roman" w:hAnsi="Times New Roman"/>
          <w:b w:val="false"/>
          <w:i w:val="false"/>
          <w:color w:val="000000"/>
          <w:sz w:val="22"/>
        </w:rPr>
        <w:t>, but such transfers will comply with the state laws regarding the funds and the following subrules.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color w:val="000000"/>
          <w:sz w:val="22"/>
        </w:rPr>
        <w:t xml:space="preserve">Debt service fund. </w:t>
      </w:r>
      <w:r>
        <w:rPr>
          <w:rFonts w:ascii="Times New Roman" w:hAnsi="Times New Roman"/>
          <w:b w:val="false"/>
          <w:i w:val="false"/>
          <w:color w:val="000000"/>
          <w:sz w:val="22"/>
        </w:rPr>
        <w:t xml:space="preserve">Except where specifically not allowed under state law, moneys may be transferred from any other city fund to the debt service fund to meet outstanding principal and interest. Such transfers are to be authorized by the original budget or a budget amendment that has been adopted as provided in Iowa Code section </w:t>
      </w:r>
      <w:hyperlink r:id="rId12">
        <w:r>
          <w:rPr>
            <w:rStyle w:val="Hyperlink"/>
            <w:rFonts w:ascii="Times New Roman" w:hAnsi="Times New Roman"/>
            <w:b w:val="false"/>
            <w:i w:val="false"/>
            <w:color w:val="000000"/>
            <w:sz w:val="22"/>
          </w:rPr>
          <w:t>384.16</w:t>
        </w:r>
      </w:hyperlink>
      <w:r>
        <w:rPr>
          <w:rFonts w:ascii="Times New Roman" w:hAnsi="Times New Roman"/>
          <w:b w:val="false"/>
          <w:i w:val="false"/>
          <w:color w:val="000000"/>
          <w:sz w:val="22"/>
        </w:rPr>
        <w:t xml:space="preserve"> and subject to protest as provided in Iowa Code section </w:t>
      </w:r>
      <w:hyperlink r:id="rId13">
        <w:r>
          <w:rPr>
            <w:rStyle w:val="Hyperlink"/>
            <w:rFonts w:ascii="Times New Roman" w:hAnsi="Times New Roman"/>
            <w:b w:val="false"/>
            <w:i w:val="false"/>
            <w:color w:val="000000"/>
            <w:sz w:val="22"/>
          </w:rPr>
          <w:t>384.19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w:t>
      </w:r>
      <w:r>
        <w:rPr>
          <w:rFonts w:ascii="Times New Roman" w:hAnsi="Times New Roman"/>
          <w:b w:val="false"/>
          <w:i w:val="false"/>
          <w:color w:val="000000"/>
          <w:sz w:val="22"/>
        </w:rPr>
        <w:t> </w:t>
      </w:r>
      <w:r>
        <w:rPr>
          <w:rFonts w:ascii="Times New Roman" w:hAnsi="Times New Roman"/>
          <w:b w:val="false"/>
          <w:i/>
          <w:color w:val="000000"/>
          <w:sz w:val="22"/>
        </w:rPr>
        <w:t xml:space="preserve">Capital improvements reserve fund. </w:t>
      </w:r>
      <w:r>
        <w:rPr>
          <w:rFonts w:ascii="Times New Roman" w:hAnsi="Times New Roman"/>
          <w:b w:val="false"/>
          <w:i w:val="false"/>
          <w:color w:val="000000"/>
          <w:sz w:val="22"/>
        </w:rPr>
        <w:t xml:space="preserve">Except where specifically not allowed under state law, moneys may be transferred from any city fund to the capital improvements reserve fund for purposes specified in Iowa Code section </w:t>
      </w:r>
      <w:hyperlink r:id="rId14">
        <w:r>
          <w:rPr>
            <w:rStyle w:val="Hyperlink"/>
            <w:rFonts w:ascii="Times New Roman" w:hAnsi="Times New Roman"/>
            <w:b w:val="false"/>
            <w:i w:val="false"/>
            <w:color w:val="000000"/>
            <w:sz w:val="22"/>
          </w:rPr>
          <w:t>384.7</w:t>
        </w:r>
      </w:hyperlink>
      <w:r>
        <w:rPr>
          <w:rFonts w:ascii="Times New Roman" w:hAnsi="Times New Roman"/>
          <w:b w:val="false"/>
          <w:i w:val="false"/>
          <w:color w:val="000000"/>
          <w:sz w:val="22"/>
        </w:rPr>
        <w:t xml:space="preserve">. Such transfers are to be authorized by the original budget or a budget amendment adopted as provided in Iowa Code section </w:t>
      </w:r>
      <w:hyperlink r:id="rId15">
        <w:r>
          <w:rPr>
            <w:rStyle w:val="Hyperlink"/>
            <w:rFonts w:ascii="Times New Roman" w:hAnsi="Times New Roman"/>
            <w:b w:val="false"/>
            <w:i w:val="false"/>
            <w:color w:val="000000"/>
            <w:sz w:val="22"/>
          </w:rPr>
          <w:t>384.16</w:t>
        </w:r>
      </w:hyperlink>
      <w:r>
        <w:rPr>
          <w:rFonts w:ascii="Times New Roman" w:hAnsi="Times New Roman"/>
          <w:b w:val="false"/>
          <w:i w:val="false"/>
          <w:color w:val="000000"/>
          <w:sz w:val="22"/>
        </w:rPr>
        <w:t xml:space="preserve"> and subject to protest as provided in Iowa Code section </w:t>
      </w:r>
      <w:hyperlink r:id="rId16">
        <w:r>
          <w:rPr>
            <w:rStyle w:val="Hyperlink"/>
            <w:rFonts w:ascii="Times New Roman" w:hAnsi="Times New Roman"/>
            <w:b w:val="false"/>
            <w:i w:val="false"/>
            <w:color w:val="000000"/>
            <w:sz w:val="22"/>
          </w:rPr>
          <w:t>384.19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w:t>
      </w:r>
      <w:r>
        <w:rPr>
          <w:rFonts w:ascii="Times New Roman" w:hAnsi="Times New Roman"/>
          <w:b w:val="false"/>
          <w:i w:val="false"/>
          <w:color w:val="000000"/>
          <w:sz w:val="22"/>
        </w:rPr>
        <w:t> </w:t>
      </w:r>
      <w:r>
        <w:rPr>
          <w:rFonts w:ascii="Times New Roman" w:hAnsi="Times New Roman"/>
          <w:b w:val="false"/>
          <w:i/>
          <w:color w:val="000000"/>
          <w:sz w:val="22"/>
        </w:rPr>
        <w:t xml:space="preserve">City utility fund and city enterprise fund. </w:t>
      </w:r>
      <w:r>
        <w:rPr>
          <w:rFonts w:ascii="Times New Roman" w:hAnsi="Times New Roman"/>
          <w:b w:val="false"/>
          <w:i w:val="false"/>
          <w:color w:val="000000"/>
          <w:sz w:val="22"/>
        </w:rPr>
        <w:t>Any governing body of a city utility, combined utility system, city enterprise, or combined city enterprise that has a surplus in its fund may transfer such surpluses to any other city fund, except the emergency fund, by resolution of the appropriate governing body. For the purposes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surplus may exist only after all required transfers have been made to any restricted accounts in accordance with the terms and provisions of any revenue bonds of loan agreements relating to the utility or enterprise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“surplus” is defined as the cash balance in the operating account or the unrestricted net position calculated in accordance with GAAP, after adding back the net pension and other post-employment benefits liabilities and the related deferred inflows of resources and deducting the related deferred outflows of resources, in excess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the expenses of disbursements for operating and maintaining the utility or enterprise for the preceding three months,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necessary to make all required transfers to restricted accounts for the succeeding three months.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0390D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7">
        <w:r>
          <w:rPr>
            <w:rStyle w:val="Hyperlink"/>
            <w:rFonts w:ascii="Times New Roman" w:hAnsi="Times New Roman"/>
            <w:b w:val="false"/>
            <w:i w:val="false"/>
            <w:color w:val="000000"/>
            <w:sz w:val="22"/>
          </w:rPr>
          <w:t>384</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388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11/4/74]</w:t>
      </w:r>
    </w:p>
    <w:p>
      <w:pPr>
        <w:spacing w:before="0" w:after="0"/>
        <w:ind w:left="120"/>
        <w:jc w:val="center"/>
      </w:pPr>
      <w:r>
        <w:rPr>
          <w:rFonts w:ascii="Times New Roman" w:hAnsi="Times New Roman"/>
          <w:b w:val="false"/>
          <w:i w:val="false"/>
          <w:color w:val="000000"/>
          <w:sz w:val="21"/>
        </w:rPr>
        <w:t>[Amendment filed 10/10/75, Notice 8/25/75—published 10/20/75, effective 11/24/75]</w:t>
      </w:r>
    </w:p>
    <w:p>
      <w:pPr>
        <w:spacing w:before="0" w:after="0"/>
        <w:ind w:left="120"/>
        <w:jc w:val="center"/>
      </w:pPr>
      <w:r>
        <w:rPr>
          <w:rFonts w:ascii="Times New Roman" w:hAnsi="Times New Roman"/>
          <w:b w:val="false"/>
          <w:i w:val="false"/>
          <w:color w:val="000000"/>
          <w:sz w:val="21"/>
        </w:rPr>
        <w:t>[Filed emergency 12/23/83 after Notice of 10/26/83—published 1/18/84, effective 12/23/83]</w:t>
      </w:r>
    </w:p>
    <w:p>
      <w:pPr>
        <w:spacing w:before="0" w:after="0"/>
        <w:ind w:left="120"/>
        <w:jc w:val="center"/>
      </w:pPr>
      <w:r>
        <w:rPr>
          <w:rFonts w:ascii="Times New Roman" w:hAnsi="Times New Roman"/>
          <w:b w:val="false"/>
          <w:i w:val="false"/>
          <w:color w:val="000000"/>
          <w:sz w:val="21"/>
        </w:rPr>
        <w:t>[Filed 11/3/88, Notice 5/4/88—published 11/30/88, effective 1/4/89]</w:t>
      </w:r>
    </w:p>
    <w:p>
      <w:pPr>
        <w:spacing w:before="0" w:after="0"/>
        <w:ind w:left="120"/>
        <w:jc w:val="center"/>
      </w:pPr>
      <w:r>
        <w:rPr>
          <w:rFonts w:ascii="Times New Roman" w:hAnsi="Times New Roman"/>
          <w:b w:val="false"/>
          <w:i w:val="false"/>
          <w:color w:val="000000"/>
          <w:sz w:val="21"/>
        </w:rPr>
        <w:t>[Filed emergency 10/2/02—published 10/30/02, effective 1/1/03]</w:t>
      </w:r>
    </w:p>
    <w:p>
      <w:pPr>
        <w:spacing w:before="0" w:after="0"/>
        <w:ind w:left="120"/>
        <w:jc w:val="center"/>
      </w:pPr>
      <w:r>
        <w:rPr>
          <w:rFonts w:ascii="Times New Roman" w:hAnsi="Times New Roman"/>
          <w:b w:val="false"/>
          <w:i w:val="false"/>
          <w:color w:val="000000"/>
          <w:sz w:val="21"/>
        </w:rPr>
        <w:t>[Filed ARC 2811C</w:t>
      </w:r>
      <w:r>
        <w:rPr>
          <w:rFonts w:ascii="Times New Roman" w:hAnsi="Times New Roman"/>
          <w:b w:val="false"/>
          <w:i w:val="false"/>
          <w:color w:val="000000"/>
          <w:sz w:val="21"/>
        </w:rPr>
        <w:t xml:space="preserve"> (Notice ARC 2687C, IAB 8/31/16)</w:t>
      </w:r>
      <w:r>
        <w:rPr>
          <w:rFonts w:ascii="Times New Roman" w:hAnsi="Times New Roman"/>
          <w:b w:val="false"/>
          <w:i w:val="false"/>
          <w:color w:val="000000"/>
          <w:sz w:val="21"/>
        </w:rPr>
        <w:t>, IAB 11/9/16, effective 12/14/16]</w:t>
      </w:r>
    </w:p>
    <w:p>
      <w:pPr>
        <w:spacing w:before="0" w:after="0"/>
        <w:ind w:left="120"/>
        <w:jc w:val="center"/>
      </w:pPr>
      <w:r>
        <w:rPr>
          <w:rFonts w:ascii="Times New Roman" w:hAnsi="Times New Roman"/>
          <w:b w:val="false"/>
          <w:i w:val="false"/>
          <w:color w:val="000000"/>
          <w:sz w:val="21"/>
        </w:rPr>
        <w:t>[Filed ARC 4334C</w:t>
      </w:r>
      <w:r>
        <w:rPr>
          <w:rFonts w:ascii="Times New Roman" w:hAnsi="Times New Roman"/>
          <w:b w:val="false"/>
          <w:i w:val="false"/>
          <w:color w:val="000000"/>
          <w:sz w:val="21"/>
        </w:rPr>
        <w:t xml:space="preserve"> (Notice ARC 4234C, IAB 1/16/19)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0390D</w:t>
      </w:r>
      <w:r>
        <w:rPr>
          <w:rFonts w:ascii="Times New Roman" w:hAnsi="Times New Roman"/>
          <w:b w:val="false"/>
          <w:i w:val="false"/>
          <w:color w:val="000000"/>
          <w:sz w:val="21"/>
        </w:rPr>
        <w:t xml:space="preserve"> (Notice ARC 9684C, IAB 11/12/25)</w:t>
      </w:r>
      <w:r>
        <w:rPr>
          <w:rFonts w:ascii="Times New Roman" w:hAnsi="Times New Roman"/>
          <w:b w:val="false"/>
          <w:i w:val="false"/>
          <w:color w:val="000000"/>
          <w:sz w:val="21"/>
        </w:rPr>
        <w:t>, IAB 6/24/26, effective 7/29/26]</w:t>
      </w:r>
    </w:p>
    <w:sectPr>
      <w:footerReference r:id="rId1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84.16.pdf" Type="http://schemas.openxmlformats.org/officeDocument/2006/relationships/hyperlink" Id="rId5"/>
    <Relationship TargetMode="External" Target="https://www.legis.iowa.gov/docs/ico/chapter/384.19.pdf" Type="http://schemas.openxmlformats.org/officeDocument/2006/relationships/hyperlink" Id="rId6"/>
    <Relationship TargetMode="External" Target="https://www.legis.iowa.gov/docs/ico/chapter/384.16.pdf" Type="http://schemas.openxmlformats.org/officeDocument/2006/relationships/hyperlink" Id="rId7"/>
    <Relationship TargetMode="External" Target="https://www.legis.iowa.gov/docs/ico/chapter/384.19.pdf" Type="http://schemas.openxmlformats.org/officeDocument/2006/relationships/hyperlink" Id="rId8"/>
    <Relationship TargetMode="External" Target="https://www.legis.iowa.gov/docs/ico/chapter/384.18.pdf" Type="http://schemas.openxmlformats.org/officeDocument/2006/relationships/hyperlink" Id="rId9"/>
    <Relationship TargetMode="External" Target="https://www.legis.iowa.gov/docs/ico/chapter/384.16.pdf" Type="http://schemas.openxmlformats.org/officeDocument/2006/relationships/hyperlink" Id="rId10"/>
    <Relationship TargetMode="External" Target="https://www.legis.iowa.gov/docs/ico/chapter/384.19.pdf" Type="http://schemas.openxmlformats.org/officeDocument/2006/relationships/hyperlink" Id="rId11"/>
    <Relationship TargetMode="External" Target="https://www.legis.iowa.gov/docs/ico/chapter/384.16.pdf" Type="http://schemas.openxmlformats.org/officeDocument/2006/relationships/hyperlink" Id="rId12"/>
    <Relationship TargetMode="External" Target="https://www.legis.iowa.gov/docs/ico/chapter/384.19.pdf" Type="http://schemas.openxmlformats.org/officeDocument/2006/relationships/hyperlink" Id="rId13"/>
    <Relationship TargetMode="External" Target="https://www.legis.iowa.gov/docs/ico/chapter/384.7.pdf" Type="http://schemas.openxmlformats.org/officeDocument/2006/relationships/hyperlink" Id="rId14"/>
    <Relationship TargetMode="External" Target="https://www.legis.iowa.gov/docs/ico/chapter/384.16.pdf" Type="http://schemas.openxmlformats.org/officeDocument/2006/relationships/hyperlink" Id="rId15"/>
    <Relationship TargetMode="External" Target="https://www.legis.iowa.gov/docs/ico/chapter/384.19.pdf" Type="http://schemas.openxmlformats.org/officeDocument/2006/relationships/hyperlink" Id="rId16"/>
    <Relationship TargetMode="External" Target="https://www.legis.iowa.gov/docs/ico/chapter/384.pdf" Type="http://schemas.openxmlformats.org/officeDocument/2006/relationships/hyperlink" Id="rId17"/>
    <Relationship TargetMode="External" Target="https://www.legis.iowa.gov/docs/ico/chapter/388.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