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OPERATIONS OF CITY FINANCE COMMITTEE</w:t>
      </w:r>
    </w:p>
    <w:p>
      <w:pPr>
        <w:spacing w:before="0" w:after="0"/>
        <w:ind w:left="120"/>
        <w:jc w:val="center"/>
      </w:pPr>
      <w:r>
        <w:rPr>
          <w:rFonts w:ascii="Times New Roman" w:hAnsi="Times New Roman"/>
          <w:b w:val="false"/>
          <w:i w:val="false"/>
          <w:color w:val="000000"/>
          <w:sz w:val="14"/>
        </w:rPr>
        <w:t>[Prior to 11/30/88, see City Finance Committee[230]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7/29/31</w:t>
      </w:r>
    </w:p>
    <w:p>
      <w:pPr>
        <w:spacing w:before="0" w:after="0"/>
        <w:ind w:left="120"/>
        <w:jc w:val="both"/>
      </w:pPr>
      <w:r>
        <w:rPr>
          <w:rFonts w:ascii="Times New Roman" w:hAnsi="Times New Roman"/>
          <w:b/>
          <w:i w:val="false"/>
          <w:color w:val="000000"/>
          <w:sz w:val="22"/>
        </w:rPr>
        <w:t>545—1.1</w:t>
      </w:r>
      <w:r>
        <w:rPr>
          <w:rFonts w:ascii="Times New Roman" w:hAnsi="Times New Roman"/>
          <w:b/>
          <w:i w:val="false"/>
          <w:color w:val="000000"/>
          <w:sz w:val="22"/>
        </w:rPr>
        <w:t xml:space="preserve">(384) </w:t>
      </w:r>
      <w:r>
        <w:rPr>
          <w:rFonts w:ascii="Times New Roman" w:hAnsi="Times New Roman"/>
          <w:b/>
          <w:i w:val="false"/>
          <w:color w:val="000000"/>
          <w:sz w:val="22"/>
        </w:rPr>
        <w:t xml:space="preserve">Purpose. </w:t>
      </w:r>
      <w:r>
        <w:rPr>
          <w:rFonts w:ascii="Times New Roman" w:hAnsi="Times New Roman"/>
          <w:b w:val="false"/>
          <w:i w:val="false"/>
          <w:color w:val="000000"/>
          <w:sz w:val="22"/>
        </w:rPr>
        <w:t>To ensure that the proceedings of the city finance committee are conducted in an orderly manner and also to provide that the public is kept informed of actions taken by the city finance committee, the committee adopts the following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545—1.2</w:t>
      </w:r>
      <w:r>
        <w:rPr>
          <w:rFonts w:ascii="Times New Roman" w:hAnsi="Times New Roman"/>
          <w:b/>
          <w:i w:val="false"/>
          <w:color w:val="000000"/>
          <w:sz w:val="22"/>
        </w:rPr>
        <w:t xml:space="preserve">(384)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the city finance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“Committee’s mailing address”</w:t>
      </w:r>
      <w:r>
        <w:rPr>
          <w:rFonts w:ascii="Times New Roman" w:hAnsi="Times New Roman"/>
          <w:b w:val="false"/>
          <w:i w:val="false"/>
          <w:color w:val="000000"/>
          <w:sz w:val="22"/>
        </w:rPr>
        <w:t> </w:t>
      </w:r>
      <w:r>
        <w:rPr>
          <w:rFonts w:ascii="Times New Roman" w:hAnsi="Times New Roman"/>
          <w:b w:val="false"/>
          <w:i w:val="false"/>
          <w:color w:val="000000"/>
          <w:sz w:val="22"/>
        </w:rPr>
        <w:t>is Department of Management, 1007 East Grand Avenue, G13,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“Fund”</w:t>
      </w:r>
      <w:r>
        <w:rPr>
          <w:rFonts w:ascii="Times New Roman" w:hAnsi="Times New Roman"/>
          <w:b w:val="false"/>
          <w:i w:val="false"/>
          <w:color w:val="000000"/>
          <w:sz w:val="22"/>
        </w:rPr>
        <w:t> </w:t>
      </w:r>
      <w:r>
        <w:rPr>
          <w:rFonts w:ascii="Times New Roman" w:hAnsi="Times New Roman"/>
          <w:b w:val="false"/>
          <w:i w:val="false"/>
          <w:color w:val="000000"/>
          <w:sz w:val="22"/>
        </w:rPr>
        <w:t>means a fiscal and accounting entity with a self-balancing set of accounts recording cash and other financial resources, together with all related liabilities and residual equities or balances, and changes therein that are segregated for the purpose of carrying on specific activities or attaining certain objectives in accordance with special regulations, obligations, or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“Fund transfer resolution”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resolution of the city council that is to be passed to allow for transfers between funds. A fund transfer resolution is to be completed for all transfers between funds and will include a clear statement of reason or purpose for the transfer, the name of the fund from which the transfer is originating, the name of the fund into which the transfer is to be received, and the dollar amount to be transferred. For transfers of utility surpluses outlined in </w:t>
      </w:r>
      <w:hyperlink r:id="rId5">
        <w:r>
          <w:rPr>
            <w:rStyle w:val="Hyperlink"/>
            <w:rFonts w:ascii="Times New Roman" w:hAnsi="Times New Roman"/>
            <w:b w:val="false"/>
            <w:i w:val="false"/>
            <w:color w:val="000000"/>
            <w:sz w:val="22"/>
          </w:rPr>
          <w:t>545—subrule 2.4(5)</w:t>
        </w:r>
      </w:hyperlink>
      <w:r>
        <w:rPr>
          <w:rFonts w:ascii="Times New Roman" w:hAnsi="Times New Roman"/>
          <w:b w:val="false"/>
          <w:i w:val="false"/>
          <w:color w:val="000000"/>
          <w:sz w:val="22"/>
        </w:rPr>
        <w:t>, the calculation proving the surplus will also be shown in the resolution. Intrafund transfers do not need a fund transfer resolution. Multiple transfers between funds may be approved in one resolution, so long as each transfer’s purpose, originating fund or subfund, and receiving fund or subfund, and the amount of transferred dollars are separately identified. Fund transfer resolutions may also be included in budget or budget amendment adoption resolutions, so long as each transfer’s purpose, originating fund or subfund and receiving fund or subfund, and the amount of transferred dollars are separately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“Intrafund transfer”</w:t>
      </w:r>
      <w:r>
        <w:rPr>
          <w:rFonts w:ascii="Times New Roman" w:hAnsi="Times New Roman"/>
          <w:b w:val="false"/>
          <w:i w:val="false"/>
          <w:color w:val="000000"/>
          <w:sz w:val="22"/>
        </w:rPr>
        <w:t> </w:t>
      </w:r>
      <w:r>
        <w:rPr>
          <w:rFonts w:ascii="Times New Roman" w:hAnsi="Times New Roman"/>
          <w:b w:val="false"/>
          <w:i w:val="false"/>
          <w:color w:val="000000"/>
          <w:sz w:val="22"/>
        </w:rPr>
        <w:t>means a transfer between accounts or subfunds within a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any one of the following nine major functions of public service that the city finance committee directs a city to use in defining the city’s program structure: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Public safety;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Public works;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Health and social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Culture and recreation;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Community and economic development;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General government;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Debt service;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Capital projects;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Business-type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“Transfers between funds”</w:t>
      </w:r>
      <w:r>
        <w:rPr>
          <w:rFonts w:ascii="Times New Roman" w:hAnsi="Times New Roman"/>
          <w:b w:val="false"/>
          <w:i w:val="false"/>
          <w:color w:val="000000"/>
          <w:sz w:val="22"/>
        </w:rPr>
        <w:t> </w:t>
      </w:r>
      <w:r>
        <w:rPr>
          <w:rFonts w:ascii="Times New Roman" w:hAnsi="Times New Roman"/>
          <w:b w:val="false"/>
          <w:i w:val="false"/>
          <w:color w:val="000000"/>
          <w:sz w:val="22"/>
        </w:rPr>
        <w:t>means the transfer of amounts from one fund to another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545—1.3</w:t>
      </w:r>
      <w:r>
        <w:rPr>
          <w:rFonts w:ascii="Times New Roman" w:hAnsi="Times New Roman"/>
          <w:b/>
          <w:i w:val="false"/>
          <w:color w:val="000000"/>
          <w:sz w:val="22"/>
        </w:rPr>
        <w:t xml:space="preserve">(384) </w:t>
      </w:r>
      <w:r>
        <w:rPr>
          <w:rFonts w:ascii="Times New Roman" w:hAnsi="Times New Roman"/>
          <w:b/>
          <w:i w:val="false"/>
          <w:color w:val="000000"/>
          <w:sz w:val="22"/>
        </w:rPr>
        <w:t xml:space="preserve">Membership. </w:t>
      </w:r>
      <w:r>
        <w:rPr>
          <w:rFonts w:ascii="Times New Roman" w:hAnsi="Times New Roman"/>
          <w:b w:val="false"/>
          <w:i w:val="false"/>
          <w:color w:val="000000"/>
          <w:sz w:val="22"/>
        </w:rPr>
        <w:t xml:space="preserve">The selection, appointment and approval of members to the city finance committee are made as provided for in Iowa Code section </w:t>
      </w:r>
      <w:hyperlink r:id="rId6">
        <w:r>
          <w:rPr>
            <w:rStyle w:val="Hyperlink"/>
            <w:rFonts w:ascii="Times New Roman" w:hAnsi="Times New Roman"/>
            <w:b w:val="false"/>
            <w:i w:val="false"/>
            <w:color w:val="000000"/>
            <w:sz w:val="22"/>
          </w:rPr>
          <w:t>384.13</w:t>
        </w:r>
      </w:hyperlink>
      <w:r>
        <w:rPr>
          <w:rFonts w:ascii="Times New Roman" w:hAnsi="Times New Roman"/>
          <w:b w:val="false"/>
          <w:i w:val="false"/>
          <w:color w:val="000000"/>
          <w:sz w:val="22"/>
        </w:rPr>
        <w:t>. Names of designees will be given to the committee chairperson in writing by July 1 of each year, or promptly, if changed.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545—1.4</w:t>
      </w:r>
      <w:r>
        <w:rPr>
          <w:rFonts w:ascii="Times New Roman" w:hAnsi="Times New Roman"/>
          <w:b/>
          <w:i w:val="false"/>
          <w:color w:val="000000"/>
          <w:sz w:val="22"/>
        </w:rPr>
        <w:t xml:space="preserve">(384) </w:t>
      </w:r>
      <w:r>
        <w:rPr>
          <w:rFonts w:ascii="Times New Roman" w:hAnsi="Times New Roman"/>
          <w:b/>
          <w:i w:val="false"/>
          <w:color w:val="000000"/>
          <w:sz w:val="22"/>
        </w:rPr>
        <w:t xml:space="preserve">Organization and administration. </w:t>
      </w:r>
      <w:r>
        <w:rPr>
          <w:rFonts w:ascii="Times New Roman" w:hAnsi="Times New Roman"/>
          <w:b w:val="false"/>
          <w:i w:val="false"/>
          <w:color w:val="000000"/>
          <w:sz w:val="22"/>
        </w:rPr>
        <w:t>The officers of the city finance committee will consist of a chairperson, a vice chairperson and a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The chairperson will be elected yearly to preside over the proceedings of the city finance committee. Upon a vacancy on the city finance committee, the chairperson will notify the director that a vacancy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Vice chairperson. </w:t>
      </w:r>
      <w:r>
        <w:rPr>
          <w:rFonts w:ascii="Times New Roman" w:hAnsi="Times New Roman"/>
          <w:b w:val="false"/>
          <w:i w:val="false"/>
          <w:color w:val="000000"/>
          <w:sz w:val="22"/>
        </w:rPr>
        <w:t>The vice chairperson serves in absence of the chairperson and can be assigned such other duties as the committee determines. The vice chairperson is elected yearly.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The department will designate a secretary to serve as the support staff for the committee. The secretary is responsible for providing timely notice of meetings, publishing a meeting agenda in accordance with the Iowa Code, and keeping minutes of meetings.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545—1.5</w:t>
      </w:r>
      <w:r>
        <w:rPr>
          <w:rFonts w:ascii="Times New Roman" w:hAnsi="Times New Roman"/>
          <w:b/>
          <w:i w:val="false"/>
          <w:color w:val="000000"/>
          <w:sz w:val="22"/>
        </w:rPr>
        <w:t xml:space="preserve">(384) </w:t>
      </w:r>
      <w:r>
        <w:rPr>
          <w:rFonts w:ascii="Times New Roman" w:hAnsi="Times New Roman"/>
          <w:b/>
          <w:i w:val="false"/>
          <w:color w:val="000000"/>
          <w:sz w:val="22"/>
        </w:rPr>
        <w:t xml:space="preserve">Compensation. </w:t>
      </w:r>
      <w:r>
        <w:rPr>
          <w:rFonts w:ascii="Times New Roman" w:hAnsi="Times New Roman"/>
          <w:b w:val="false"/>
          <w:i w:val="false"/>
          <w:color w:val="000000"/>
          <w:sz w:val="22"/>
        </w:rPr>
        <w:t>Committee members are to be compensated as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545—1.6</w:t>
      </w:r>
      <w:r>
        <w:rPr>
          <w:rFonts w:ascii="Times New Roman" w:hAnsi="Times New Roman"/>
          <w:b/>
          <w:i w:val="false"/>
          <w:color w:val="000000"/>
          <w:sz w:val="22"/>
        </w:rPr>
        <w:t xml:space="preserve">(384) </w:t>
      </w:r>
      <w:r>
        <w:rPr>
          <w:rFonts w:ascii="Times New Roman" w:hAnsi="Times New Roman"/>
          <w:b/>
          <w:i w:val="false"/>
          <w:color w:val="000000"/>
          <w:sz w:val="22"/>
        </w:rPr>
        <w:t xml:space="preserve">Meeting. </w:t>
      </w:r>
      <w:r>
        <w:rPr>
          <w:rFonts w:ascii="Times New Roman" w:hAnsi="Times New Roman"/>
          <w:b w:val="false"/>
          <w:i w:val="false"/>
          <w:color w:val="000000"/>
          <w:sz w:val="22"/>
        </w:rPr>
        <w:t xml:space="preserve">A meeting of the committee is to be held at the call of the director, the request of a majority of committee members, or upon an appeal of the director’s decision. All meetings will be open to the public with the exception of any closed sessions of such meetings conducted in accordance with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545—1.7</w:t>
      </w:r>
      <w:r>
        <w:rPr>
          <w:rFonts w:ascii="Times New Roman" w:hAnsi="Times New Roman"/>
          <w:b/>
          <w:i w:val="false"/>
          <w:color w:val="000000"/>
          <w:sz w:val="22"/>
        </w:rPr>
        <w:t xml:space="preserve">(384) </w:t>
      </w:r>
      <w:r>
        <w:rPr>
          <w:rFonts w:ascii="Times New Roman" w:hAnsi="Times New Roman"/>
          <w:b/>
          <w:i w:val="false"/>
          <w:color w:val="000000"/>
          <w:sz w:val="22"/>
        </w:rPr>
        <w:t xml:space="preserve">Office location. </w:t>
      </w:r>
      <w:r>
        <w:rPr>
          <w:rFonts w:ascii="Times New Roman" w:hAnsi="Times New Roman"/>
          <w:b w:val="false"/>
          <w:i w:val="false"/>
          <w:color w:val="000000"/>
          <w:sz w:val="22"/>
        </w:rPr>
        <w:t>All submissions to or requests of the committee should be made to the committee at the committee’s mailing address during normal working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545—1.8</w:t>
      </w:r>
      <w:r>
        <w:rPr>
          <w:rFonts w:ascii="Times New Roman" w:hAnsi="Times New Roman"/>
          <w:b/>
          <w:i w:val="false"/>
          <w:color w:val="000000"/>
          <w:sz w:val="22"/>
        </w:rPr>
        <w:t xml:space="preserve">(384) </w:t>
      </w:r>
      <w:r>
        <w:rPr>
          <w:rFonts w:ascii="Times New Roman" w:hAnsi="Times New Roman"/>
          <w:b/>
          <w:i w:val="false"/>
          <w:color w:val="000000"/>
          <w:sz w:val="22"/>
        </w:rPr>
        <w:t xml:space="preserve">Quorum and majority vote. </w:t>
      </w:r>
      <w:r>
        <w:rPr>
          <w:rFonts w:ascii="Times New Roman" w:hAnsi="Times New Roman"/>
          <w:b w:val="false"/>
          <w:i w:val="false"/>
          <w:color w:val="000000"/>
          <w:sz w:val="22"/>
        </w:rPr>
        <w:t>A quorum consists of five members of the committee. All actions of the committee for promulgating rules as provided for by law need a minimum of five votes. All other actions of the committee can be approved by a simple majority vote of the members present at a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545—1.9</w:t>
      </w:r>
      <w:r>
        <w:rPr>
          <w:rFonts w:ascii="Times New Roman" w:hAnsi="Times New Roman"/>
          <w:b/>
          <w:i w:val="false"/>
          <w:color w:val="000000"/>
          <w:sz w:val="22"/>
        </w:rPr>
        <w:t xml:space="preserve">(384) </w:t>
      </w:r>
      <w:r>
        <w:rPr>
          <w:rFonts w:ascii="Times New Roman" w:hAnsi="Times New Roman"/>
          <w:b/>
          <w:i w:val="false"/>
          <w:color w:val="000000"/>
          <w:sz w:val="22"/>
        </w:rPr>
        <w:t xml:space="preserve">Order of business. </w:t>
      </w:r>
      <w:r>
        <w:rPr>
          <w:rFonts w:ascii="Times New Roman" w:hAnsi="Times New Roman"/>
          <w:b w:val="false"/>
          <w:i w:val="false"/>
          <w:color w:val="000000"/>
          <w:sz w:val="22"/>
        </w:rPr>
        <w:t>The meetings of the city finance committee are to be presided over by the chairperson or the vice chairperson. Unless otherwise stipulated in these rules, Robert’s Rules of Order are to be followed in conducting the business of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384.13</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384.22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11/4/74]</w:t>
      </w:r>
    </w:p>
    <w:p>
      <w:pPr>
        <w:spacing w:before="0" w:after="0"/>
        <w:ind w:left="120"/>
        <w:jc w:val="center"/>
      </w:pPr>
      <w:r>
        <w:rPr>
          <w:rFonts w:ascii="Times New Roman" w:hAnsi="Times New Roman"/>
          <w:b w:val="false"/>
          <w:i w:val="false"/>
          <w:color w:val="000000"/>
          <w:sz w:val="21"/>
        </w:rPr>
        <w:t>[Filed 11/3/88, Notice 5/4/88—published 11/30/88, effective 1/4/89]</w:t>
      </w:r>
    </w:p>
    <w:p>
      <w:pPr>
        <w:spacing w:before="0" w:after="0"/>
        <w:ind w:left="120"/>
        <w:jc w:val="center"/>
      </w:pPr>
      <w:r>
        <w:rPr>
          <w:rFonts w:ascii="Times New Roman" w:hAnsi="Times New Roman"/>
          <w:b w:val="false"/>
          <w:i w:val="false"/>
          <w:color w:val="000000"/>
          <w:sz w:val="21"/>
        </w:rPr>
        <w:t>[Filed 4/24/91, Notice 11/14/90—published 5/15/91, effective 6/19/91]</w:t>
      </w:r>
    </w:p>
    <w:p>
      <w:pPr>
        <w:spacing w:before="0" w:after="0"/>
        <w:ind w:left="120"/>
        <w:jc w:val="center"/>
      </w:pPr>
      <w:r>
        <w:rPr>
          <w:rFonts w:ascii="Times New Roman" w:hAnsi="Times New Roman"/>
          <w:b w:val="false"/>
          <w:i w:val="false"/>
          <w:color w:val="000000"/>
          <w:sz w:val="21"/>
        </w:rPr>
        <w:t>[Filed ARC 0389D</w:t>
      </w:r>
      <w:r>
        <w:rPr>
          <w:rFonts w:ascii="Times New Roman" w:hAnsi="Times New Roman"/>
          <w:b w:val="false"/>
          <w:i w:val="false"/>
          <w:color w:val="000000"/>
          <w:sz w:val="21"/>
        </w:rPr>
        <w:t xml:space="preserve"> (Notice ARC 9683C, IAB 11/12/25)</w:t>
      </w:r>
      <w:r>
        <w:rPr>
          <w:rFonts w:ascii="Times New Roman" w:hAnsi="Times New Roman"/>
          <w:b w:val="false"/>
          <w:i w:val="false"/>
          <w:color w:val="000000"/>
          <w:sz w:val="21"/>
        </w:rPr>
        <w:t>, IAB 6/24/26, effective 7/29/26]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45.2.4.pdf" Type="http://schemas.openxmlformats.org/officeDocument/2006/relationships/hyperlink" Id="rId5"/>
    <Relationship TargetMode="External" Target="https://www.legis.iowa.gov/docs/ico/chapter/384.13.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384.13.pdf" Type="http://schemas.openxmlformats.org/officeDocument/2006/relationships/hyperlink" Id="rId8"/>
    <Relationship TargetMode="External" Target="https://www.legis.iowa.gov/docs/ico/chapter/384.2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