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BUDGET 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543—4.1</w:t>
      </w:r>
      <w:r>
        <w:rPr>
          <w:rFonts w:ascii="Times New Roman" w:hAnsi="Times New Roman"/>
          <w:b/>
          <w:i w:val="false"/>
          <w:color w:val="000000"/>
          <w:sz w:val="22"/>
        </w:rPr>
        <w:t xml:space="preserve">(24) </w:t>
      </w:r>
      <w:r>
        <w:rPr>
          <w:rFonts w:ascii="Times New Roman" w:hAnsi="Times New Roman"/>
          <w:b/>
          <w:i w:val="false"/>
          <w:color w:val="000000"/>
          <w:sz w:val="22"/>
        </w:rPr>
        <w:t xml:space="preserve">Budget appeals. </w:t>
      </w:r>
      <w:r>
        <w:rPr>
          <w:rFonts w:ascii="Times New Roman" w:hAnsi="Times New Roman"/>
          <w:b w:val="false"/>
          <w:i w:val="false"/>
          <w:color w:val="000000"/>
          <w:sz w:val="22"/>
        </w:rPr>
        <w:t xml:space="preserve">In resolving appeals filed under Iowa Code chapter </w:t>
      </w:r>
      <w:hyperlink r:id="rId5">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the board possesses broad discretionary power to determine how objections are presented and the conduct of hearings and appeals. All proceedings will be simple and informal unless applicable law dictates formality.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543—4.2</w:t>
      </w:r>
      <w:r>
        <w:rPr>
          <w:rFonts w:ascii="Times New Roman" w:hAnsi="Times New Roman"/>
          <w:b/>
          <w:i w:val="false"/>
          <w:color w:val="000000"/>
          <w:sz w:val="22"/>
        </w:rPr>
        <w:t xml:space="preserve">(24)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as to procedures may be directed to any board member at the members’ respective telephone numbers or the executive secretary or board members at the board’s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543—4.3</w:t>
      </w:r>
      <w:r>
        <w:rPr>
          <w:rFonts w:ascii="Times New Roman" w:hAnsi="Times New Roman"/>
          <w:b/>
          <w:i w:val="false"/>
          <w:color w:val="000000"/>
          <w:sz w:val="22"/>
        </w:rPr>
        <w:t xml:space="preserve">(24) </w:t>
      </w:r>
      <w:r>
        <w:rPr>
          <w:rFonts w:ascii="Times New Roman" w:hAnsi="Times New Roman"/>
          <w:b/>
          <w:i w:val="false"/>
          <w:color w:val="000000"/>
          <w:sz w:val="22"/>
        </w:rPr>
        <w:t xml:space="preserve">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signatures needed for a budget appeal under Iowa Code chapter </w:t>
      </w:r>
      <w:hyperlink r:id="rId6">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is based on voting records. Voting record information is obtained from the county auditor (election commissioner). Verification of the signatures will be made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For a budget or amendment appeal for all local governments other than a city, the appeal has to be signed by a number of persons in the municipality (local government) equal to one-fourth of 1 percent of those voting for the office of president of the United States or governor, as the case may be, at the last general election in said municipality, but the number will not be less than 10, and the number need not be more than 100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For a city budget or amendment appeal, the protest has to be signed by qualified electors equal in number to one-fourth of 1 percent of the votes cast for governor in the last preceding general election in the city, but the number will not be less than 10 and the number need not be more than 100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val="false"/>
          <w:color w:val="000000"/>
          <w:sz w:val="22"/>
        </w:rPr>
        <w:t>Filings of appeal petitions are to be with the county auditor of the county in which the local government is located or, if more than one county is involved, in that county where the principal administrative offices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county auditor to notify the board and the appropriate local government upon receipt of an appeal petition. Such filing by the county auditor is to consist of a copy of the appeal petition, together with a complete copy of the certified budget under appeal. Filing with the board is through its executive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val="false"/>
          <w:color w:val="000000"/>
          <w:sz w:val="22"/>
        </w:rPr>
        <w:t>Any appeal and supporting documents will be legible. Copies of relevant documents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val="false"/>
          <w:color w:val="000000"/>
          <w:sz w:val="22"/>
        </w:rPr>
        <w:t>Signatures will be accompanied by legible and full mailing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val="false"/>
          <w:color w:val="000000"/>
          <w:sz w:val="22"/>
        </w:rPr>
        <w:t>Petitioners need not have appeared and entered objection at the public hearing at which the protested budget was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val="false"/>
          <w:color w:val="000000"/>
          <w:sz w:val="22"/>
        </w:rPr>
        <w:t>The board will extend statutory deadlines by the same elapsed time constraints when tardy certification occurs or whenever a different certification date is established by a special charter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val="false"/>
          <w:color w:val="000000"/>
          <w:sz w:val="22"/>
        </w:rPr>
        <w:t>If more than one appeal with reasonably related issues is filed against the same budget, the board may consolidate or concurrently consider the appeals in a single hearing and may issue a consolidated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Appeals may be submitted in any form. The content of the appeal should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local government budget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Statutory authority under which the appeal is taken (Iowa Code chapter </w:t>
      </w:r>
      <w:hyperlink r:id="rId7">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xml:space="preserve"> for cities and Iowa Code chapter </w:t>
      </w:r>
      <w:hyperlink r:id="rId8">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for all other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Decision being protested, summarizing key objections and basic reasons for such objections.</w:t>
      </w:r>
    </w:p>
    <w:p>
      <w:pPr>
        <w:spacing w:before="0" w:after="0"/>
        <w:ind w:left="120"/>
        <w:jc w:val="both"/>
      </w:pPr>
      <w:r>
        <w:rPr>
          <w:rFonts w:ascii="Times New Roman" w:hAnsi="Times New Roman"/>
          <w:b w:val="false"/>
          <w:i w:val="false"/>
          <w:color w:val="000000"/>
          <w:sz w:val="22"/>
        </w:rPr>
        <w:t>This general statement may be expanded at the formal hearing with oral testimony, written briefs, exhibits or other substantive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Illustration of appeal format.</w:t>
      </w:r>
    </w:p>
    <w:p>
      <w:pPr>
        <w:spacing w:before="0" w:after="0"/>
        <w:ind w:left="120"/>
        <w:jc w:val="both"/>
      </w:pPr>
      <w:r>
        <w:rPr>
          <w:rFonts w:ascii="Times New Roman" w:hAnsi="Times New Roman"/>
          <w:b w:val="false"/>
          <w:i w:val="false"/>
          <w:color w:val="000000"/>
          <w:sz w:val="22"/>
        </w:rPr>
        <w:t>To: State Appeal Board</w:t>
      </w:r>
    </w:p>
    <w:p>
      <w:pPr>
        <w:spacing w:before="0" w:after="0"/>
        <w:ind w:left="120"/>
        <w:jc w:val="both"/>
      </w:pPr>
      <w:r>
        <w:rPr>
          <w:rFonts w:ascii="Times New Roman" w:hAnsi="Times New Roman"/>
          <w:b w:val="false"/>
          <w:i w:val="false"/>
          <w:color w:val="000000"/>
          <w:sz w:val="22"/>
        </w:rPr>
        <w:t xml:space="preserve"> Iowa State Capitol</w:t>
      </w:r>
    </w:p>
    <w:p>
      <w:pPr>
        <w:spacing w:before="0" w:after="0"/>
        <w:ind w:left="120"/>
        <w:jc w:val="both"/>
      </w:pPr>
      <w:r>
        <w:rPr>
          <w:rFonts w:ascii="Times New Roman" w:hAnsi="Times New Roman"/>
          <w:b w:val="false"/>
          <w:i w:val="false"/>
          <w:color w:val="000000"/>
          <w:sz w:val="22"/>
        </w:rPr>
        <w:t xml:space="preserve"> Des Moines, IA 50319</w:t>
      </w:r>
    </w:p>
    <w:p>
      <w:pPr>
        <w:spacing w:before="0" w:after="0"/>
        <w:ind w:left="120"/>
        <w:jc w:val="both"/>
      </w:pPr>
      <w:r>
        <w:rPr>
          <w:rFonts w:ascii="Times New Roman" w:hAnsi="Times New Roman"/>
          <w:b w:val="false"/>
          <w:i w:val="false"/>
          <w:color w:val="000000"/>
          <w:sz w:val="22"/>
        </w:rPr>
        <w:t>We, the undersigned, protest the action of the officials of ____</w:t>
      </w:r>
      <w:r>
        <w:rPr>
          <w:rFonts w:ascii="Times New Roman" w:hAnsi="Times New Roman"/>
          <w:b w:val="false"/>
          <w:i w:val="false"/>
          <w:color w:val="000000"/>
          <w:sz w:val="22"/>
          <w:u w:val="single"/>
        </w:rPr>
        <w:t>(local government)</w:t>
      </w:r>
      <w:r>
        <w:rPr>
          <w:rFonts w:ascii="Times New Roman" w:hAnsi="Times New Roman"/>
          <w:b w:val="false"/>
          <w:i w:val="false"/>
          <w:color w:val="000000"/>
          <w:sz w:val="22"/>
        </w:rPr>
        <w:t>____ in certification of their 20____–____ budget and request an appeal hearing.</w:t>
      </w:r>
    </w:p>
    <w:p>
      <w:pPr>
        <w:spacing w:before="0" w:after="0"/>
        <w:ind w:left="120"/>
        <w:jc w:val="both"/>
      </w:pPr>
      <w:r>
        <w:rPr>
          <w:rFonts w:ascii="Times New Roman" w:hAnsi="Times New Roman"/>
          <w:b w:val="false"/>
          <w:i w:val="false"/>
          <w:color w:val="000000"/>
          <w:sz w:val="22"/>
        </w:rPr>
        <w:t>We offer the following objections and reasons in summary form as basis for our appeal under Iowa Code chapter ____ :</w:t>
      </w:r>
    </w:p>
    <w:p>
      <w:pPr>
        <w:spacing w:before="0" w:after="0"/>
        <w:ind w:left="120"/>
        <w:jc w:val="both"/>
      </w:pPr>
      <w:r>
        <w:rPr>
          <w:rFonts w:ascii="Times New Roman" w:hAnsi="Times New Roman"/>
          <w:b w:val="false"/>
          <w:i w:val="false"/>
          <w:color w:val="000000"/>
          <w:sz w:val="22"/>
        </w:rPr>
        <w:t>Objection 1 (cite)</w:t>
      </w:r>
    </w:p>
    <w:p>
      <w:pPr>
        <w:spacing w:before="0" w:after="0"/>
        <w:ind w:left="120"/>
        <w:jc w:val="both"/>
      </w:pPr>
      <w:r>
        <w:rPr>
          <w:rFonts w:ascii="Times New Roman" w:hAnsi="Times New Roman"/>
          <w:b w:val="false"/>
          <w:i w:val="false"/>
          <w:color w:val="000000"/>
          <w:sz w:val="22"/>
        </w:rPr>
        <w:t>Reasons: (brief explanation)</w:t>
      </w:r>
    </w:p>
    <w:p>
      <w:pPr>
        <w:spacing w:before="0" w:after="0"/>
        <w:ind w:left="120"/>
        <w:jc w:val="both"/>
      </w:pPr>
      <w:r>
        <w:rPr>
          <w:rFonts w:ascii="Times New Roman" w:hAnsi="Times New Roman"/>
          <w:b w:val="false"/>
          <w:i w:val="false"/>
          <w:color w:val="000000"/>
          <w:sz w:val="22"/>
        </w:rPr>
        <w:t>Objection 2 (cite)</w:t>
      </w:r>
    </w:p>
    <w:p>
      <w:pPr>
        <w:spacing w:before="0" w:after="0"/>
        <w:ind w:left="120"/>
        <w:jc w:val="both"/>
      </w:pPr>
      <w:r>
        <w:rPr>
          <w:rFonts w:ascii="Times New Roman" w:hAnsi="Times New Roman"/>
          <w:b w:val="false"/>
          <w:i w:val="false"/>
          <w:color w:val="000000"/>
          <w:sz w:val="22"/>
        </w:rPr>
        <w:t>Reasons: (brief explanation)</w:t>
      </w:r>
    </w:p>
    <w:p>
      <w:pPr>
        <w:spacing w:before="0" w:after="0"/>
        <w:ind w:left="120"/>
        <w:jc w:val="both"/>
      </w:pPr>
      <w:r>
        <w:rPr>
          <w:rFonts w:ascii="Times New Roman" w:hAnsi="Times New Roman"/>
          <w:b w:val="false"/>
          <w:i w:val="false"/>
          <w:color w:val="000000"/>
          <w:sz w:val="22"/>
        </w:rPr>
        <w:t>(Add such other sections as needed to identify each basic objection and supporting reasons.)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831"/>
        <w:gridCol w:w="1098"/>
        <w:gridCol w:w="2297"/>
        <w:gridCol w:w="6964"/>
      </w:tblGrid>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22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Signatures</w:t>
            </w:r>
          </w:p>
        </w:tc>
        <w:tc>
          <w:tcPr>
            <w:tcW w:w="6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Full mailing address with Zip code.</w:t>
            </w:r>
          </w:p>
        </w:tc>
      </w:tr>
      <w:tr>
        <w:trPr>
          <w:trHeight w:val="1560" w:hRule="atLeast"/>
        </w:trPr>
        <w:tc>
          <w:tcPr>
            <w:tcW w:w="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w:t>
            </w:r>
          </w:p>
          <w:p>
            <w:pPr>
              <w:spacing w:before="0" w:after="0"/>
              <w:ind w:left="160"/>
              <w:jc w:val="left"/>
            </w:pPr>
            <w:r>
              <w:rPr>
                <w:rFonts w:ascii="Times New Roman" w:hAnsi="Times New Roman"/>
                <w:b w:val="false"/>
                <w:i w:val="false"/>
                <w:color w:val="000000"/>
                <w:sz w:val="21"/>
              </w:rPr>
              <w:t>2.</w:t>
            </w:r>
          </w:p>
          <w:p>
            <w:pPr>
              <w:spacing w:before="0" w:after="0"/>
              <w:ind w:left="160"/>
              <w:jc w:val="left"/>
            </w:pPr>
            <w:r>
              <w:rPr>
                <w:rFonts w:ascii="Times New Roman" w:hAnsi="Times New Roman"/>
                <w:b w:val="false"/>
                <w:i w:val="false"/>
                <w:color w:val="000000"/>
                <w:sz w:val="21"/>
              </w:rPr>
              <w:t>3.</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10.</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100.</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(Additional signature sheets may be attached without the</w:t>
            </w:r>
          </w:p>
          <w:p>
            <w:pPr>
              <w:spacing w:before="0" w:after="0"/>
              <w:ind w:left="160"/>
              <w:jc w:val="left"/>
            </w:pPr>
            <w:r>
              <w:rPr>
                <w:rFonts w:ascii="Times New Roman" w:hAnsi="Times New Roman"/>
                <w:b w:val="false"/>
                <w:i w:val="false"/>
                <w:color w:val="000000"/>
                <w:sz w:val="21"/>
              </w:rPr>
              <w:t>full heading, it being assumed those subscribing their</w:t>
            </w:r>
          </w:p>
          <w:p>
            <w:pPr>
              <w:spacing w:before="0" w:after="0"/>
              <w:ind w:left="160"/>
              <w:jc w:val="left"/>
            </w:pPr>
            <w:r>
              <w:rPr>
                <w:rFonts w:ascii="Times New Roman" w:hAnsi="Times New Roman"/>
                <w:b w:val="false"/>
                <w:i w:val="false"/>
                <w:color w:val="000000"/>
                <w:sz w:val="21"/>
              </w:rPr>
              <w:t>names are fully aware of the stated appeal, objections and</w:t>
            </w:r>
          </w:p>
          <w:p>
            <w:pPr>
              <w:spacing w:before="0" w:after="0"/>
              <w:ind w:left="160"/>
              <w:jc w:val="left"/>
            </w:pPr>
            <w:r>
              <w:rPr>
                <w:rFonts w:ascii="Times New Roman" w:hAnsi="Times New Roman"/>
                <w:b w:val="false"/>
                <w:i w:val="false"/>
                <w:color w:val="000000"/>
                <w:sz w:val="21"/>
              </w:rPr>
              <w:t>reasons. Minimal headings on attached sheets should</w:t>
            </w:r>
          </w:p>
          <w:p>
            <w:pPr>
              <w:spacing w:before="0" w:after="0"/>
              <w:ind w:left="160"/>
              <w:jc w:val="left"/>
            </w:pPr>
            <w:r>
              <w:rPr>
                <w:rFonts w:ascii="Times New Roman" w:hAnsi="Times New Roman"/>
                <w:b w:val="false"/>
                <w:i w:val="false"/>
                <w:color w:val="000000"/>
                <w:sz w:val="21"/>
              </w:rPr>
              <w:t>indicate “Protest to _____</w:t>
            </w:r>
            <w:r>
              <w:rPr>
                <w:rFonts w:ascii="Times New Roman" w:hAnsi="Times New Roman"/>
                <w:b w:val="false"/>
                <w:i w:val="false"/>
                <w:color w:val="000000"/>
                <w:sz w:val="21"/>
                <w:u w:val="single"/>
              </w:rPr>
              <w:t>(local government)</w:t>
            </w:r>
            <w:r>
              <w:rPr>
                <w:rFonts w:ascii="Times New Roman" w:hAnsi="Times New Roman"/>
                <w:b w:val="false"/>
                <w:i w:val="false"/>
                <w:color w:val="000000"/>
                <w:sz w:val="21"/>
              </w:rPr>
              <w:t>_____ Budget,</w:t>
            </w:r>
          </w:p>
          <w:p>
            <w:pPr>
              <w:spacing w:before="0" w:after="0"/>
              <w:ind w:left="160"/>
              <w:jc w:val="left"/>
            </w:pPr>
            <w:r>
              <w:rPr>
                <w:rFonts w:ascii="Times New Roman" w:hAnsi="Times New Roman"/>
                <w:b w:val="false"/>
                <w:i w:val="false"/>
                <w:color w:val="000000"/>
                <w:sz w:val="21"/>
              </w:rPr>
              <w:t xml:space="preserve"> 20 ____–____.”)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val="false"/>
          <w:color w:val="000000"/>
          <w:sz w:val="22"/>
        </w:rPr>
        <w:t>The burden is upon objectors for any proposed item that was included in the budget of the previous year with proposal for reduction or exclusion of the specific items. These arguments need not be fully developed in the appeal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val="false"/>
          <w:color w:val="000000"/>
          <w:sz w:val="22"/>
        </w:rPr>
        <w:t>The burden is on the local government certifying or levying officials (as opposed to staff) to show any new item in the budget, or any increase in any item thereof, is necessary, reasonable and in the interest of the public welfare.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543—4.4</w:t>
      </w:r>
      <w:r>
        <w:rPr>
          <w:rFonts w:ascii="Times New Roman" w:hAnsi="Times New Roman"/>
          <w:b/>
          <w:i w:val="false"/>
          <w:color w:val="000000"/>
          <w:sz w:val="22"/>
        </w:rPr>
        <w:t xml:space="preserve">(24) </w:t>
      </w:r>
      <w:r>
        <w:rPr>
          <w:rFonts w:ascii="Times New Roman" w:hAnsi="Times New Roman"/>
          <w:b/>
          <w:i w:val="false"/>
          <w:color w:val="000000"/>
          <w:sz w:val="22"/>
        </w:rPr>
        <w:t xml:space="preserve">Scheduling and notice of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Dates for hearings will be set by the board. When a date is set, notice will be given by certified mail, return receipt requested, to the first ten names on the petition and to the appropriate officials of the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This notice will be mailed at least five days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543—4.5</w:t>
      </w:r>
      <w:r>
        <w:rPr>
          <w:rFonts w:ascii="Times New Roman" w:hAnsi="Times New Roman"/>
          <w:b/>
          <w:i w:val="false"/>
          <w:color w:val="000000"/>
          <w:sz w:val="22"/>
        </w:rPr>
        <w:t xml:space="preserve">(24)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Hearings will be held at scheduled times within the county where the local government is located or headquartered. All parties assume their own expenses except as may otherwise be specifically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board may conduct the hearing or may appoint a deputy (hearing officer) to conduct the hearing and report findings and recommendations to the board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The hearing will be held in a public place and will be open to the public. The hearing will be conducted so as to give all parties a fair opportunity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val="false"/>
          <w:color w:val="000000"/>
          <w:sz w:val="22"/>
        </w:rPr>
        <w:t>The board’s executive secretary will prepare an official record of all proceedings, including testimony and exhibits. Testimony taken by a mechanical recording device may be incorporated by reference if a transcript is not made. A reasonable amount will be charged to cover the cost of providing a duplicate tape or a copy of the transcription for either party. Tapes will be retained for five years following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val="false"/>
          <w:color w:val="000000"/>
          <w:sz w:val="22"/>
        </w:rPr>
        <w:t>If a party entitled to a hearing fails to appear, that party will be deemed to have waived opportunity for the hearing or to participate in the hearing unless there is good cause for such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val="false"/>
          <w:color w:val="000000"/>
          <w:sz w:val="22"/>
        </w:rPr>
        <w:t>Legal counsel will be at the discretion and expense of either party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val="false"/>
          <w:color w:val="000000"/>
          <w:sz w:val="22"/>
        </w:rPr>
        <w:t>Parties appearing before the board should select one or two persons to serve as primary spokespersons for their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val="false"/>
          <w:color w:val="000000"/>
          <w:sz w:val="22"/>
        </w:rPr>
        <w:t>The board will exclude evidence that is irrelevant, immaterial or unduly repetitious.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val="false"/>
          <w:color w:val="000000"/>
          <w:sz w:val="22"/>
        </w:rPr>
        <w:t>Written or printed materials will be in sufficient quantity to supply at least three copies for the board and one copy for the other party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w:t>
      </w:r>
      <w:r>
        <w:rPr>
          <w:rFonts w:ascii="Times New Roman" w:hAnsi="Times New Roman"/>
          <w:b w:val="false"/>
          <w:i w:val="false"/>
          <w:color w:val="000000"/>
          <w:sz w:val="22"/>
        </w:rPr>
        <w:t> </w:t>
      </w:r>
      <w:r>
        <w:rPr>
          <w:rFonts w:ascii="Times New Roman" w:hAnsi="Times New Roman"/>
          <w:b w:val="false"/>
          <w:i w:val="false"/>
          <w:color w:val="000000"/>
          <w:sz w:val="22"/>
        </w:rPr>
        <w:t>Any party requesting a certified shorthand or court reporter will make arrangements for such attendance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val="false"/>
          <w:color w:val="000000"/>
          <w:sz w:val="22"/>
        </w:rPr>
        <w:t>At the outset of each hearing, the presiding board officer will indicate disposition of rulings on procedural questions and outline ground rules and time limitations to seek to give equal opportunity to both parties and basically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Objectors’ basic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government officials’ basic arguments and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Rebuttal by objectors.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Presentation by authorized third party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desired, closing remarks by objectors.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desired, closing remarks by local government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Time permitting, comments by interested citizens.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Announcement as to adjournment, filing of additional briefs and the probable timing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val="false"/>
          <w:color w:val="000000"/>
          <w:sz w:val="22"/>
        </w:rPr>
        <w:t>As deemed necessary, the board may examine the entire budget under appeal including cash reserves (balances), funding sources and expenditures of all types including actual or allowable transfers so those specific items under appeal may be fully examined and evaluated in perspective in arriving at a decision on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val="false"/>
          <w:color w:val="000000"/>
          <w:sz w:val="22"/>
        </w:rPr>
        <w:t>The board will listen to testimony and arguments from all those concerned, take the matters under advisement, and make a decision setting out the findings of fact and conclusions of law on which the decision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w:t>
      </w:r>
      <w:r>
        <w:rPr>
          <w:rFonts w:ascii="Times New Roman" w:hAnsi="Times New Roman"/>
          <w:b w:val="false"/>
          <w:i w:val="false"/>
          <w:color w:val="000000"/>
          <w:sz w:val="22"/>
        </w:rPr>
        <w:t> </w:t>
      </w:r>
      <w:r>
        <w:rPr>
          <w:rFonts w:ascii="Times New Roman" w:hAnsi="Times New Roman"/>
          <w:b w:val="false"/>
          <w:i w:val="false"/>
          <w:color w:val="000000"/>
          <w:sz w:val="22"/>
        </w:rPr>
        <w:t>Board members or the presiding hearing officer will be free to ask questions of anyone at any point during any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w:t>
      </w:r>
      <w:r>
        <w:rPr>
          <w:rFonts w:ascii="Times New Roman" w:hAnsi="Times New Roman"/>
          <w:b w:val="false"/>
          <w:i w:val="false"/>
          <w:color w:val="000000"/>
          <w:sz w:val="22"/>
        </w:rPr>
        <w:t> </w:t>
      </w:r>
      <w:r>
        <w:rPr>
          <w:rFonts w:ascii="Times New Roman" w:hAnsi="Times New Roman"/>
          <w:b w:val="false"/>
          <w:i w:val="false"/>
          <w:color w:val="000000"/>
          <w:sz w:val="22"/>
        </w:rPr>
        <w:t>The parties may agree upon pertinent facts in the proceedings by stipulation in writing filed at any stage in the proceedings or orally made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w:t>
      </w:r>
      <w:r>
        <w:rPr>
          <w:rFonts w:ascii="Times New Roman" w:hAnsi="Times New Roman"/>
          <w:b w:val="false"/>
          <w:i w:val="false"/>
          <w:color w:val="000000"/>
          <w:sz w:val="22"/>
        </w:rPr>
        <w:t> </w:t>
      </w:r>
      <w:r>
        <w:rPr>
          <w:rFonts w:ascii="Times New Roman" w:hAnsi="Times New Roman"/>
          <w:b w:val="false"/>
          <w:i w:val="false"/>
          <w:color w:val="000000"/>
          <w:sz w:val="22"/>
        </w:rPr>
        <w:t>Any party served notice of hearing may seek to show cause for a continuance to a date certain at or before the time set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4.5(17)</w:t>
      </w:r>
      <w:r>
        <w:rPr>
          <w:rFonts w:ascii="Times New Roman" w:hAnsi="Times New Roman"/>
          <w:b w:val="false"/>
          <w:i w:val="false"/>
          <w:color w:val="000000"/>
          <w:sz w:val="22"/>
        </w:rPr>
        <w:t> </w:t>
      </w:r>
      <w:r>
        <w:rPr>
          <w:rFonts w:ascii="Times New Roman" w:hAnsi="Times New Roman"/>
          <w:b w:val="false"/>
          <w:i w:val="false"/>
          <w:color w:val="000000"/>
          <w:sz w:val="22"/>
        </w:rPr>
        <w:t>The board may adjourn a hearing from time to time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w:t>
      </w:r>
      <w:r>
        <w:rPr>
          <w:rFonts w:ascii="Times New Roman" w:hAnsi="Times New Roman"/>
          <w:b w:val="false"/>
          <w:i w:val="false"/>
          <w:color w:val="000000"/>
          <w:sz w:val="22"/>
        </w:rPr>
        <w:t> </w:t>
      </w:r>
      <w:r>
        <w:rPr>
          <w:rFonts w:ascii="Times New Roman" w:hAnsi="Times New Roman"/>
          <w:b w:val="false"/>
          <w:i w:val="false"/>
          <w:color w:val="000000"/>
          <w:sz w:val="22"/>
        </w:rPr>
        <w:t>Upon filing of a request by a third party to intervene, the board chairperson will determine whether the applicant has a legitimate interest in the proceedings and can contribute materially to the interpretation and settlement of the issues. Both original parties to the appeal will be advised of participation by a third party. If participation is denied, the written denial will include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w:t>
      </w:r>
      <w:r>
        <w:rPr>
          <w:rFonts w:ascii="Times New Roman" w:hAnsi="Times New Roman"/>
          <w:b w:val="false"/>
          <w:i w:val="false"/>
          <w:color w:val="000000"/>
          <w:sz w:val="22"/>
        </w:rPr>
        <w:t> </w:t>
      </w:r>
      <w:r>
        <w:rPr>
          <w:rFonts w:ascii="Times New Roman" w:hAnsi="Times New Roman"/>
          <w:b w:val="false"/>
          <w:i w:val="false"/>
          <w:color w:val="000000"/>
          <w:sz w:val="22"/>
        </w:rPr>
        <w:t>If a K-12 school budget is appealed, that portion of expenditures attributable to the area education agency will be defended by a knowledgeable official of the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4.5(20)</w:t>
      </w:r>
      <w:r>
        <w:rPr>
          <w:rFonts w:ascii="Times New Roman" w:hAnsi="Times New Roman"/>
          <w:b w:val="false"/>
          <w:i w:val="false"/>
          <w:color w:val="000000"/>
          <w:sz w:val="22"/>
        </w:rPr>
        <w:t> </w:t>
      </w:r>
      <w:r>
        <w:rPr>
          <w:rFonts w:ascii="Times New Roman" w:hAnsi="Times New Roman"/>
          <w:b w:val="false"/>
          <w:i w:val="false"/>
          <w:color w:val="000000"/>
          <w:sz w:val="22"/>
        </w:rPr>
        <w:t>At the conclusion of arguments, the board may entertain oral closing argument or additional briefing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val="false"/>
          <w:color w:val="000000"/>
          <w:sz w:val="22"/>
        </w:rPr>
        <w:t>Prior to a final decision, the board may reopen a hearing when new pertinent evidence becomes available that could not, with reasonable diligence, have been presented at the original hearing. This hearing need not be held in the county of original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val="false"/>
          <w:color w:val="000000"/>
          <w:sz w:val="22"/>
        </w:rPr>
        <w:t>Any board member who has a possible conflict of interest in any matter resulting in a hearing will recuse themselves from serving during the hearing and from participation in the deliberations and decision resulting from the hearing. In the event one or more board members are recused, the board’s decision will be made and issued by a majority of the remaining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w:t>
      </w:r>
      <w:r>
        <w:rPr>
          <w:rFonts w:ascii="Times New Roman" w:hAnsi="Times New Roman"/>
          <w:b w:val="false"/>
          <w:i w:val="false"/>
          <w:color w:val="000000"/>
          <w:sz w:val="22"/>
        </w:rPr>
        <w:t> </w:t>
      </w:r>
      <w:r>
        <w:rPr>
          <w:rFonts w:ascii="Times New Roman" w:hAnsi="Times New Roman"/>
          <w:b w:val="false"/>
          <w:i w:val="false"/>
          <w:color w:val="000000"/>
          <w:sz w:val="22"/>
        </w:rPr>
        <w:t>A member of the board does not have a conflict of interest by reason of residency within the geographical boundaries of the local government whose budget is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543—4.6</w:t>
      </w:r>
      <w:r>
        <w:rPr>
          <w:rFonts w:ascii="Times New Roman" w:hAnsi="Times New Roman"/>
          <w:b/>
          <w:i w:val="false"/>
          <w:color w:val="000000"/>
          <w:sz w:val="22"/>
        </w:rPr>
        <w:t xml:space="preserve">(24) </w:t>
      </w:r>
      <w:r>
        <w:rPr>
          <w:rFonts w:ascii="Times New Roman" w:hAnsi="Times New Roman"/>
          <w:b/>
          <w:i w:val="false"/>
          <w:color w:val="000000"/>
          <w:sz w:val="22"/>
        </w:rPr>
        <w:t xml:space="preserve">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The board will issue a written decision. The decision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parties and basic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Summary of findings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Summary of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Reasons for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Order for implementation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The board may approve, disapprove, or reduce items under appeal but in no event may it increase a budget, expenditure, tax levy or assessment or any item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The decision is final and binding unless there is a rehearing or judicial review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rehearing, stating the specific grounds thereof and the relief sought, within 20 days after the issuance of the final decision. Such requests will be deemed denied unless the board sets a rehearing date within 20 days after the request is filed. This hearing need not be held in the county of original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county auditor and both parties of the board’s decision. Where other county auditors are affected, the county auditor is obligated to promptly inform the other county auditors of the board’s decision and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543—4.7</w:t>
      </w:r>
      <w:r>
        <w:rPr>
          <w:rFonts w:ascii="Times New Roman" w:hAnsi="Times New Roman"/>
          <w:b/>
          <w:i w:val="false"/>
          <w:color w:val="000000"/>
          <w:sz w:val="22"/>
        </w:rPr>
        <w:t xml:space="preserve">(24) </w:t>
      </w:r>
      <w:r>
        <w:rPr>
          <w:rFonts w:ascii="Times New Roman" w:hAnsi="Times New Roman"/>
          <w:b/>
          <w:i w:val="false"/>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Protests of amendments to budgets will be considered within the same general procedures and time constraints as are applicable to original budgets.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Any local budget has to be amended by May 31 of the current fiscal year to allow time for a protest hearing to be held and decision rendered before June 30. The amendment of a budget after May 31, that is properly appealed but without adequate time for hearing and decision before June 30, will be ruled null and void.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24.26</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24.32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9698C</w:t>
      </w:r>
      <w:r>
        <w:rPr>
          <w:rFonts w:ascii="Times New Roman" w:hAnsi="Times New Roman"/>
          <w:b w:val="false"/>
          <w:i w:val="false"/>
          <w:color w:val="000000"/>
          <w:sz w:val="21"/>
        </w:rPr>
        <w:t xml:space="preserve"> (Notice ARC 9465C, IAB 8/6/25)</w:t>
      </w:r>
      <w:r>
        <w:rPr>
          <w:rFonts w:ascii="Times New Roman" w:hAnsi="Times New Roman"/>
          <w:b w:val="false"/>
          <w:i w:val="false"/>
          <w:color w:val="000000"/>
          <w:sz w:val="21"/>
        </w:rPr>
        <w:t>, IAB 11/12/25, effective 12/17/25]</w:t>
      </w:r>
    </w:p>
    <w:sectPr>
      <w:footerReference r:id="rId1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pdf" Type="http://schemas.openxmlformats.org/officeDocument/2006/relationships/hyperlink" Id="rId5"/>
    <Relationship TargetMode="External" Target="https://www.legis.iowa.gov/docs/ico/chapter/24.pdf" Type="http://schemas.openxmlformats.org/officeDocument/2006/relationships/hyperlink" Id="rId6"/>
    <Relationship TargetMode="External" Target="https://www.legis.iowa.gov/docs/ico/chapter/384.pdf" Type="http://schemas.openxmlformats.org/officeDocument/2006/relationships/hyperlink" Id="rId7"/>
    <Relationship TargetMode="External" Target="https://www.legis.iowa.gov/docs/ico/chapter/24.pdf" Type="http://schemas.openxmlformats.org/officeDocument/2006/relationships/hyperlink" Id="rId8"/>
    <Relationship TargetMode="External" Target="https://www.legis.iowa.gov/docs/ico/chapter/24.26.pdf" Type="http://schemas.openxmlformats.org/officeDocument/2006/relationships/hyperlink" Id="rId9"/>
    <Relationship TargetMode="External" Target="https://www.legis.iowa.gov/docs/ico/chapter/24.32.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