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462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w:t>
      </w:r>
    </w:p>
    <w:p>
      <w:pPr>
        <w:spacing w:before="0" w:after="0"/>
        <w:ind w:left="120"/>
        <w:jc w:val="center"/>
      </w:pPr>
      <w:r>
        <w:rPr>
          <w:rFonts w:ascii="Times New Roman" w:hAnsi="Times New Roman"/>
          <w:b w:val="false"/>
          <w:i w:val="false"/>
          <w:color w:val="000000"/>
          <w:sz w:val="21"/>
        </w:rPr>
        <w:t>GENERAL CLAIMS</w:t>
      </w:r>
    </w:p>
    <w:p>
      <w:pPr>
        <w:spacing w:before="0" w:after="0"/>
        <w:ind w:left="120"/>
        <w:jc w:val="center"/>
      </w:pPr>
      <w:r>
        <w:rPr>
          <w:rFonts w:ascii="Times New Roman" w:hAnsi="Times New Roman"/>
          <w:b w:val="false"/>
          <w:i w:val="false"/>
          <w:color w:val="000000"/>
          <w:sz w:val="14"/>
        </w:rPr>
        <w:t>[Prior to 5/4/88, see Appeal Board, State[60]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12/17/30</w:t>
      </w:r>
    </w:p>
    <w:p>
      <w:pPr>
        <w:spacing w:before="0" w:after="0"/>
        <w:ind w:left="120"/>
        <w:jc w:val="both"/>
      </w:pPr>
      <w:r>
        <w:rPr>
          <w:rFonts w:ascii="Times New Roman" w:hAnsi="Times New Roman"/>
          <w:b/>
          <w:i w:val="false"/>
          <w:color w:val="000000"/>
          <w:sz w:val="22"/>
        </w:rPr>
        <w:t>543—3.1</w:t>
      </w:r>
      <w:r>
        <w:rPr>
          <w:rFonts w:ascii="Times New Roman" w:hAnsi="Times New Roman"/>
          <w:b/>
          <w:i w:val="false"/>
          <w:color w:val="000000"/>
          <w:sz w:val="22"/>
        </w:rPr>
        <w:t xml:space="preserve">(25) </w:t>
      </w:r>
      <w:r>
        <w:rPr>
          <w:rFonts w:ascii="Times New Roman" w:hAnsi="Times New Roman"/>
          <w:b/>
          <w:i w:val="false"/>
          <w:color w:val="000000"/>
          <w:sz w:val="22"/>
        </w:rPr>
        <w:t xml:space="preserve">Claims. </w:t>
      </w:r>
      <w:r>
        <w:rPr>
          <w:rFonts w:ascii="Times New Roman" w:hAnsi="Times New Roman"/>
          <w:b w:val="false"/>
          <w:i w:val="false"/>
          <w:color w:val="000000"/>
          <w:sz w:val="22"/>
        </w:rPr>
        <w:t xml:space="preserve">General claims include but are not limited to the listing of claims found in Iowa Code section </w:t>
      </w:r>
      <w:hyperlink r:id="rId5">
        <w:r>
          <w:rPr>
            <w:rStyle w:val="Hyperlink"/>
            <w:rFonts w:ascii="Times New Roman" w:hAnsi="Times New Roman"/>
            <w:b w:val="false"/>
            <w:i w:val="false"/>
            <w:color w:val="000000"/>
            <w:sz w:val="22"/>
          </w:rPr>
          <w:t>25.2</w:t>
        </w:r>
      </w:hyperlink>
      <w:r>
        <w:rPr>
          <w:rFonts w:ascii="Times New Roman" w:hAnsi="Times New Roman"/>
          <w:b w:val="false"/>
          <w:i w:val="false"/>
          <w:color w:val="000000"/>
          <w:sz w:val="22"/>
        </w:rPr>
        <w:t>. General claims will be filed on a form supplied by the board’s executive secretary. Claims will be filed with and processed directly by the state agency allegedly responsible for payment when the claim is for an outdated invoice that is from a previous fiscal year and the amount of the reversion is sufficient to pay the claim. If a claim meets this criteria, then the agency will recommend approval of the claim. The claim is then to be submitted to the department of administrative services state accounting enterprise, which will process such claims. The state agency will keep a record of such claims and will report to the board at the board’s next regularly scheduled meeting. The claim will be submitted to the department of administrative services state accounting enterprise on the form prescribed by the board. The department of administrative services state accounting enterprise is authorized by the board to pay such claims from the board appropriation if sufficient moneys have been reverted from the state agency involved. If sufficient moneys have not been reverted, or if the state agency or the department of administrative services state accounting enterprise recommends denial of the claim, the claim is to be forwarded by the state agency to the board for consideration. A record of denied claims will be submitted quarterly to the board by the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w:t>
      </w:r>
      <w:r>
        <w:rPr>
          <w:rFonts w:ascii="Times New Roman" w:hAnsi="Times New Roman"/>
          <w:b w:val="false"/>
          <w:i w:val="false"/>
          <w:color w:val="000000"/>
          <w:sz w:val="22"/>
        </w:rPr>
        <w:t> </w:t>
      </w:r>
      <w:r>
        <w:rPr>
          <w:rFonts w:ascii="Times New Roman" w:hAnsi="Times New Roman"/>
          <w:b w:val="false"/>
          <w:i/>
          <w:color w:val="000000"/>
          <w:sz w:val="22"/>
        </w:rPr>
        <w:t xml:space="preserve">Place of filing. </w:t>
      </w:r>
      <w:r>
        <w:rPr>
          <w:rFonts w:ascii="Times New Roman" w:hAnsi="Times New Roman"/>
          <w:b w:val="false"/>
          <w:i w:val="false"/>
          <w:color w:val="000000"/>
          <w:sz w:val="22"/>
        </w:rPr>
        <w:t>The original and one copy of the general claim should be addressed to the board’s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3.1(2)</w:t>
      </w:r>
      <w:r>
        <w:rPr>
          <w:rFonts w:ascii="Times New Roman" w:hAnsi="Times New Roman"/>
          <w:b w:val="false"/>
          <w:i w:val="false"/>
          <w:color w:val="000000"/>
          <w:sz w:val="22"/>
        </w:rPr>
        <w:t> </w:t>
      </w:r>
      <w:r>
        <w:rPr>
          <w:rFonts w:ascii="Times New Roman" w:hAnsi="Times New Roman"/>
          <w:b w:val="false"/>
          <w:i/>
          <w:color w:val="000000"/>
          <w:sz w:val="22"/>
        </w:rPr>
        <w:t xml:space="preserve">Names and signatures. </w:t>
      </w:r>
      <w:r>
        <w:rPr>
          <w:rFonts w:ascii="Times New Roman" w:hAnsi="Times New Roman"/>
          <w:b w:val="false"/>
          <w:i w:val="false"/>
          <w:color w:val="000000"/>
          <w:sz w:val="22"/>
        </w:rPr>
        <w:t>General claims will state the name, address and telephone number of the claimant and be signed.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3.1(3)</w:t>
      </w:r>
      <w:r>
        <w:rPr>
          <w:rFonts w:ascii="Times New Roman" w:hAnsi="Times New Roman"/>
          <w:b w:val="false"/>
          <w:i w:val="false"/>
          <w:color w:val="000000"/>
          <w:sz w:val="22"/>
        </w:rPr>
        <w:t> </w:t>
      </w:r>
      <w:r>
        <w:rPr>
          <w:rFonts w:ascii="Times New Roman" w:hAnsi="Times New Roman"/>
          <w:b w:val="false"/>
          <w:i/>
          <w:color w:val="000000"/>
          <w:sz w:val="22"/>
        </w:rPr>
        <w:t xml:space="preserve">Designation. </w:t>
      </w:r>
      <w:r>
        <w:rPr>
          <w:rFonts w:ascii="Times New Roman" w:hAnsi="Times New Roman"/>
          <w:b w:val="false"/>
          <w:i w:val="false"/>
          <w:color w:val="000000"/>
          <w:sz w:val="22"/>
        </w:rPr>
        <w:t xml:space="preserve">A general claim will indicate that it is a general claim filed pursuant to Iowa Code chapter </w:t>
      </w:r>
      <w:hyperlink r:id="rId6">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3.1(4)</w:t>
      </w:r>
      <w:r>
        <w:rPr>
          <w:rFonts w:ascii="Times New Roman" w:hAnsi="Times New Roman"/>
          <w:b w:val="false"/>
          <w:i w:val="false"/>
          <w:color w:val="000000"/>
          <w:sz w:val="22"/>
        </w:rPr>
        <w:t> </w:t>
      </w:r>
      <w:r>
        <w:rPr>
          <w:rFonts w:ascii="Times New Roman" w:hAnsi="Times New Roman"/>
          <w:b w:val="false"/>
          <w:i/>
          <w:color w:val="000000"/>
          <w:sz w:val="22"/>
        </w:rPr>
        <w:t xml:space="preserve">Designation by number. </w:t>
      </w:r>
      <w:r>
        <w:rPr>
          <w:rFonts w:ascii="Times New Roman" w:hAnsi="Times New Roman"/>
          <w:b w:val="false"/>
          <w:i w:val="false"/>
          <w:color w:val="000000"/>
          <w:sz w:val="22"/>
        </w:rPr>
        <w:t>The executive secretary of the board will assign a number to each general claim. Thereafter, the claim may be referred to by such number. If a claim meets the conditions for direct state agency adjudication of the claim, a number will not be assigned.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543—3.2</w:t>
      </w:r>
      <w:r>
        <w:rPr>
          <w:rFonts w:ascii="Times New Roman" w:hAnsi="Times New Roman"/>
          <w:b/>
          <w:i w:val="false"/>
          <w:color w:val="000000"/>
          <w:sz w:val="22"/>
        </w:rPr>
        <w:t xml:space="preserve">(25) </w:t>
      </w:r>
      <w:r>
        <w:rPr>
          <w:rFonts w:ascii="Times New Roman" w:hAnsi="Times New Roman"/>
          <w:b/>
          <w:i w:val="false"/>
          <w:color w:val="000000"/>
          <w:sz w:val="22"/>
        </w:rPr>
        <w:t xml:space="preserve">Content. </w:t>
      </w:r>
      <w:r>
        <w:rPr>
          <w:rFonts w:ascii="Times New Roman" w:hAnsi="Times New Roman"/>
          <w:b w:val="false"/>
          <w:i w:val="false"/>
          <w:color w:val="000000"/>
          <w:sz w:val="22"/>
        </w:rPr>
        <w:t>All general claims will set forth information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color w:val="000000"/>
          <w:sz w:val="22"/>
        </w:rPr>
        <w:t xml:space="preserve">Services rendered or merchandise purchased. </w:t>
      </w:r>
      <w:r>
        <w:rPr>
          <w:rFonts w:ascii="Times New Roman" w:hAnsi="Times New Roman"/>
          <w:b w:val="false"/>
          <w:i w:val="false"/>
          <w:color w:val="000000"/>
          <w:sz w:val="22"/>
        </w:rPr>
        <w:t>An itemized statement indicating the services or merchandise, the name of the state agency or employee involved, and, if available, a bill for the same will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color w:val="000000"/>
          <w:sz w:val="22"/>
        </w:rPr>
        <w:t xml:space="preserve">Refunds. </w:t>
      </w:r>
      <w:r>
        <w:rPr>
          <w:rFonts w:ascii="Times New Roman" w:hAnsi="Times New Roman"/>
          <w:b w:val="false"/>
          <w:i w:val="false"/>
          <w:color w:val="000000"/>
          <w:sz w:val="22"/>
        </w:rPr>
        <w:t>A detailed statement of the reasons for the refund, indicating the state agency involved, will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Sufficient documentation to support the claim will be attached.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All amounts for which the claim is filed will be stated and itemized.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543—3.3</w:t>
      </w:r>
      <w:r>
        <w:rPr>
          <w:rFonts w:ascii="Times New Roman" w:hAnsi="Times New Roman"/>
          <w:b/>
          <w:i w:val="false"/>
          <w:color w:val="000000"/>
          <w:sz w:val="22"/>
        </w:rPr>
        <w:t xml:space="preserve">(25) </w:t>
      </w:r>
      <w:r>
        <w:rPr>
          <w:rFonts w:ascii="Times New Roman" w:hAnsi="Times New Roman"/>
          <w:b/>
          <w:i w:val="false"/>
          <w:color w:val="000000"/>
          <w:sz w:val="22"/>
        </w:rPr>
        <w:t xml:space="preserve">Investigation. </w:t>
      </w:r>
      <w:r>
        <w:rPr>
          <w:rFonts w:ascii="Times New Roman" w:hAnsi="Times New Roman"/>
          <w:b w:val="false"/>
          <w:i w:val="false"/>
          <w:color w:val="000000"/>
          <w:sz w:val="22"/>
        </w:rPr>
        <w:t>The special assistant attorney general assigned will investigate a general claim. The special assistant attorney general may administer oaths and may take testimony and conduct discovery in accordance with the Iowa Rules of Civil Procedure, Division V. The special assistant attorney general may compel the attendance of witnesses and certify to any district court for contempt. All information from the investigation will be included with the report to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543—3.4</w:t>
      </w:r>
      <w:r>
        <w:rPr>
          <w:rFonts w:ascii="Times New Roman" w:hAnsi="Times New Roman"/>
          <w:b/>
          <w:i w:val="false"/>
          <w:color w:val="000000"/>
          <w:sz w:val="22"/>
        </w:rPr>
        <w:t xml:space="preserve">(25) </w:t>
      </w:r>
      <w:r>
        <w:rPr>
          <w:rFonts w:ascii="Times New Roman" w:hAnsi="Times New Roman"/>
          <w:b/>
          <w:i w:val="false"/>
          <w:color w:val="000000"/>
          <w:sz w:val="22"/>
        </w:rPr>
        <w:t xml:space="preserve">Notification. </w:t>
      </w:r>
      <w:r>
        <w:rPr>
          <w:rFonts w:ascii="Times New Roman" w:hAnsi="Times New Roman"/>
          <w:b w:val="false"/>
          <w:i w:val="false"/>
          <w:color w:val="000000"/>
          <w:sz w:val="22"/>
        </w:rPr>
        <w:t>The special assistant attorney general will notify the claimant or the claimant’s attorney, in writing, of the board’s determination and any award.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543—3.5</w:t>
      </w:r>
      <w:r>
        <w:rPr>
          <w:rFonts w:ascii="Times New Roman" w:hAnsi="Times New Roman"/>
          <w:b/>
          <w:i w:val="false"/>
          <w:color w:val="000000"/>
          <w:sz w:val="22"/>
        </w:rPr>
        <w:t xml:space="preserve">(25) </w:t>
      </w:r>
      <w:r>
        <w:rPr>
          <w:rFonts w:ascii="Times New Roman" w:hAnsi="Times New Roman"/>
          <w:b/>
          <w:i w:val="false"/>
          <w:color w:val="000000"/>
          <w:sz w:val="22"/>
        </w:rPr>
        <w:t xml:space="preserve">Warrant. </w:t>
      </w:r>
      <w:r>
        <w:rPr>
          <w:rFonts w:ascii="Times New Roman" w:hAnsi="Times New Roman"/>
          <w:b w:val="false"/>
          <w:i w:val="false"/>
          <w:color w:val="000000"/>
          <w:sz w:val="22"/>
        </w:rPr>
        <w:t>Upon acceptance of the award, the board will issue a warrant in the agreed amount, payable to claimant or the claimant’s attorney.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543—3.6</w:t>
      </w:r>
      <w:r>
        <w:rPr>
          <w:rFonts w:ascii="Times New Roman" w:hAnsi="Times New Roman"/>
          <w:b/>
          <w:i w:val="false"/>
          <w:color w:val="000000"/>
          <w:sz w:val="22"/>
        </w:rPr>
        <w:t xml:space="preserve">(25) </w:t>
      </w:r>
      <w:r>
        <w:rPr>
          <w:rFonts w:ascii="Times New Roman" w:hAnsi="Times New Roman"/>
          <w:b/>
          <w:i w:val="false"/>
          <w:color w:val="000000"/>
          <w:sz w:val="22"/>
        </w:rPr>
        <w:t xml:space="preserve">Withdrawal. </w:t>
      </w:r>
      <w:r>
        <w:rPr>
          <w:rFonts w:ascii="Times New Roman" w:hAnsi="Times New Roman"/>
          <w:b w:val="false"/>
          <w:i w:val="false"/>
          <w:color w:val="000000"/>
          <w:sz w:val="22"/>
        </w:rPr>
        <w:t>Submitted claims may be withdrawn at any time through written notice addressed to the board at the board’s mailing address.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9697C</w:t>
      </w:r>
      <w:r>
        <w:rPr>
          <w:rFonts w:ascii="Times New Roman" w:hAnsi="Times New Roman"/>
          <w:b w:val="false"/>
          <w:i w:val="false"/>
          <w:color w:val="000000"/>
          <w:sz w:val="16"/>
        </w:rPr>
        <w:t>, IAB 11/12/25, effective 12/17/25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25</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12/9/77, Notice 7/27/77—published 12/28/77, effective 2/1/78]</w:t>
      </w:r>
    </w:p>
    <w:p>
      <w:pPr>
        <w:spacing w:before="0" w:after="0"/>
        <w:ind w:left="120"/>
        <w:jc w:val="center"/>
      </w:pPr>
      <w:r>
        <w:rPr>
          <w:rFonts w:ascii="Times New Roman" w:hAnsi="Times New Roman"/>
          <w:b w:val="false"/>
          <w:i w:val="false"/>
          <w:color w:val="000000"/>
          <w:sz w:val="21"/>
        </w:rPr>
        <w:t>[Filed 4/11/78, Notice 2/8/78—published 5/3/78, effective 6/7/78]</w:t>
      </w:r>
    </w:p>
    <w:p>
      <w:pPr>
        <w:spacing w:before="0" w:after="0"/>
        <w:ind w:left="120"/>
        <w:jc w:val="center"/>
      </w:pPr>
      <w:r>
        <w:rPr>
          <w:rFonts w:ascii="Times New Roman" w:hAnsi="Times New Roman"/>
          <w:b w:val="false"/>
          <w:i w:val="false"/>
          <w:color w:val="000000"/>
          <w:sz w:val="21"/>
        </w:rPr>
        <w:t>[Filed emergency 4/15/88—published 5/4/88, effective 4/15/88]</w:t>
      </w:r>
    </w:p>
    <w:p>
      <w:pPr>
        <w:spacing w:before="0" w:after="0"/>
        <w:ind w:left="120"/>
        <w:jc w:val="center"/>
      </w:pPr>
      <w:r>
        <w:rPr>
          <w:rFonts w:ascii="Times New Roman" w:hAnsi="Times New Roman"/>
          <w:b w:val="false"/>
          <w:i w:val="false"/>
          <w:color w:val="000000"/>
          <w:sz w:val="21"/>
        </w:rPr>
        <w:t>[Filed emergency 4/12/96—published 5/8/96, effective 4/12/96]</w:t>
      </w:r>
    </w:p>
    <w:p>
      <w:pPr>
        <w:spacing w:before="0" w:after="0"/>
        <w:ind w:left="120"/>
        <w:jc w:val="center"/>
      </w:pPr>
      <w:r>
        <w:rPr>
          <w:rFonts w:ascii="Times New Roman" w:hAnsi="Times New Roman"/>
          <w:b w:val="false"/>
          <w:i w:val="false"/>
          <w:color w:val="000000"/>
          <w:sz w:val="21"/>
        </w:rPr>
        <w:t>[Filed ARC 9697C</w:t>
      </w:r>
      <w:r>
        <w:rPr>
          <w:rFonts w:ascii="Times New Roman" w:hAnsi="Times New Roman"/>
          <w:b w:val="false"/>
          <w:i w:val="false"/>
          <w:color w:val="000000"/>
          <w:sz w:val="21"/>
        </w:rPr>
        <w:t xml:space="preserve"> (Notice ARC 9464C, IAB 8/6/25)</w:t>
      </w:r>
      <w:r>
        <w:rPr>
          <w:rFonts w:ascii="Times New Roman" w:hAnsi="Times New Roman"/>
          <w:b w:val="false"/>
          <w:i w:val="false"/>
          <w:color w:val="000000"/>
          <w:sz w:val="21"/>
        </w:rPr>
        <w:t>, IAB 11/12/25, effective 12/17/25]</w:t>
      </w:r>
    </w:p>
    <w:sectPr>
      <w:footerReference r:id="rId8"/>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5.2.pdf" Type="http://schemas.openxmlformats.org/officeDocument/2006/relationships/hyperlink" Id="rId5"/>
    <Relationship TargetMode="External" Target="https://www.legis.iowa.gov/docs/ico/chapter/25.pdf" Type="http://schemas.openxmlformats.org/officeDocument/2006/relationships/hyperlink" Id="rId6"/>
    <Relationship TargetMode="External" Target="https://www.legis.iowa.gov/docs/ico/chapter/25.pdf" Type="http://schemas.openxmlformats.org/officeDocument/2006/relationships/hyperlink" Id="rId7"/>
    <Relationship Target="footer.xml" Type="http://schemas.openxmlformats.org/officeDocument/2006/relationships/footer"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