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543—2506.1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applies to contested case proceedings conducted by the agency, including vendor appeals. However, this chapter does not apply to the extent that a claim being addressed by the agency is governed by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0340D, IAB 6/10/26, effective 6/30/26]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co/chapter/669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