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GENERAL PROVISIONS</w:t>
      </w:r>
    </w:p>
    <w:p>
      <w:pPr>
        <w:spacing w:before="0" w:after="0"/>
        <w:ind w:left="120"/>
        <w:jc w:val="center"/>
      </w:pPr>
      <w:r>
        <w:rPr>
          <w:rFonts w:ascii="Times New Roman" w:hAnsi="Times New Roman"/>
          <w:b w:val="false"/>
          <w:i w:val="false"/>
          <w:color w:val="000000"/>
          <w:sz w:val="14"/>
        </w:rPr>
        <w:t>[Prior to 5/4/88, see Appeal Board, State[60]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12/17/30</w:t>
      </w:r>
    </w:p>
    <w:p>
      <w:pPr>
        <w:spacing w:before="0" w:after="0"/>
        <w:ind w:left="120"/>
        <w:jc w:val="both"/>
      </w:pPr>
      <w:r>
        <w:rPr>
          <w:rFonts w:ascii="Times New Roman" w:hAnsi="Times New Roman"/>
          <w:b/>
          <w:i w:val="false"/>
          <w:color w:val="000000"/>
          <w:sz w:val="22"/>
        </w:rPr>
        <w:t>543—1.1</w:t>
      </w:r>
      <w:r>
        <w:rPr>
          <w:rFonts w:ascii="Times New Roman" w:hAnsi="Times New Roman"/>
          <w:b/>
          <w:i w:val="false"/>
          <w:color w:val="000000"/>
          <w:sz w:val="22"/>
        </w:rPr>
        <w:t xml:space="preserve">(669)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“Award”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669.2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“state appeal board” as defined in Iowa Code section </w:t>
      </w:r>
      <w:hyperlink r:id="rId6">
        <w:r>
          <w:rPr>
            <w:rStyle w:val="Hyperlink"/>
            <w:rFonts w:ascii="Times New Roman" w:hAnsi="Times New Roman"/>
            <w:b w:val="false"/>
            <w:i w:val="false"/>
            <w:color w:val="000000"/>
            <w:sz w:val="22"/>
          </w:rPr>
          <w:t>24.26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“Board’s mailing address” </w:t>
      </w:r>
      <w:r>
        <w:rPr>
          <w:rFonts w:ascii="Times New Roman" w:hAnsi="Times New Roman"/>
          <w:b w:val="false"/>
          <w:i w:val="false"/>
          <w:color w:val="000000"/>
          <w:sz w:val="22"/>
        </w:rPr>
        <w:t>means State Capitol Building, 1007 East Grand Avenue, Room G13,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“Claim”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669.2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of the state”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669.2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“Executive secretary” </w:t>
      </w:r>
      <w:r>
        <w:rPr>
          <w:rFonts w:ascii="Times New Roman" w:hAnsi="Times New Roman"/>
          <w:b w:val="false"/>
          <w:i w:val="false"/>
          <w:color w:val="000000"/>
          <w:sz w:val="22"/>
        </w:rPr>
        <w:t>means executive secretary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agency”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669.2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9695C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543—1.2</w:t>
      </w:r>
      <w:r>
        <w:rPr>
          <w:rFonts w:ascii="Times New Roman" w:hAnsi="Times New Roman"/>
          <w:b/>
          <w:i w:val="false"/>
          <w:color w:val="000000"/>
          <w:sz w:val="22"/>
        </w:rPr>
        <w:t xml:space="preserve">(17A) </w:t>
      </w:r>
      <w:r>
        <w:rPr>
          <w:rFonts w:ascii="Times New Roman" w:hAnsi="Times New Roman"/>
          <w:b/>
          <w:i w:val="false"/>
          <w:color w:val="000000"/>
          <w:sz w:val="22"/>
        </w:rPr>
        <w:t xml:space="preserve">Organization. </w:t>
      </w:r>
      <w:r>
        <w:rPr>
          <w:rFonts w:ascii="Times New Roman" w:hAnsi="Times New Roman"/>
          <w:b w:val="false"/>
          <w:i w:val="false"/>
          <w:color w:val="000000"/>
          <w:sz w:val="22"/>
        </w:rPr>
        <w:t>The board is a unit of government within the department. The board oversees claims made against the state. Correspondence to the board should be sent to the board’s mailing address. Requests for information about the board may be made to the executive secretary at the board’s mailing address. The three voting members of the board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Treasurer of state. Telephone: 515.281.5366.</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Auditor of state. Telephone: 515.281.5834.</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Director of the department. Telephone: 515.281.3322.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9695C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543—1.3</w:t>
      </w:r>
      <w:r>
        <w:rPr>
          <w:rFonts w:ascii="Times New Roman" w:hAnsi="Times New Roman"/>
          <w:b/>
          <w:i w:val="false"/>
          <w:color w:val="000000"/>
          <w:sz w:val="22"/>
        </w:rPr>
        <w:t xml:space="preserve">(669) </w:t>
      </w:r>
      <w:r>
        <w:rPr>
          <w:rFonts w:ascii="Times New Roman" w:hAnsi="Times New Roman"/>
          <w:b/>
          <w:i w:val="false"/>
          <w:color w:val="000000"/>
          <w:sz w:val="22"/>
        </w:rPr>
        <w:t xml:space="preserve">Meetings of the board. </w:t>
      </w:r>
      <w:r>
        <w:rPr>
          <w:rFonts w:ascii="Times New Roman" w:hAnsi="Times New Roman"/>
          <w:b w:val="false"/>
          <w:i w:val="false"/>
          <w:color w:val="000000"/>
          <w:sz w:val="22"/>
        </w:rPr>
        <w:t>The board will meet at a time and place fixed by the chairperson or a quorum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Session. </w:t>
      </w:r>
      <w:r>
        <w:rPr>
          <w:rFonts w:ascii="Times New Roman" w:hAnsi="Times New Roman"/>
          <w:b w:val="false"/>
          <w:i w:val="false"/>
          <w:color w:val="000000"/>
          <w:sz w:val="22"/>
        </w:rPr>
        <w:t>The board will be considered in continuous session for the purpose of entering orders, issuing determinations, and making awards.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Quorum. </w:t>
      </w:r>
      <w:r>
        <w:rPr>
          <w:rFonts w:ascii="Times New Roman" w:hAnsi="Times New Roman"/>
          <w:b w:val="false"/>
          <w:i w:val="false"/>
          <w:color w:val="000000"/>
          <w:sz w:val="22"/>
        </w:rPr>
        <w:t>A majority of board members constitutes a quorum of the board. All decisions of the board may be made by a quorum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color w:val="000000"/>
          <w:sz w:val="22"/>
        </w:rPr>
        <w:t xml:space="preserve">Executive secretary. </w:t>
      </w:r>
      <w:r>
        <w:rPr>
          <w:rFonts w:ascii="Times New Roman" w:hAnsi="Times New Roman"/>
          <w:b w:val="false"/>
          <w:i w:val="false"/>
          <w:color w:val="000000"/>
          <w:sz w:val="22"/>
        </w:rPr>
        <w:t>The director will appoint an employee of the department to serve as the executive secretary.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9695C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11">
        <w:r>
          <w:rPr>
            <w:rStyle w:val="Hyperlink"/>
            <w:rFonts w:ascii="Times New Roman" w:hAnsi="Times New Roman"/>
            <w:b w:val="false"/>
            <w:i w:val="false"/>
            <w:color w:val="000000"/>
            <w:sz w:val="22"/>
          </w:rPr>
          <w:t>25.2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9695C</w:t>
      </w:r>
      <w:r>
        <w:rPr>
          <w:rFonts w:ascii="Times New Roman" w:hAnsi="Times New Roman"/>
          <w:b w:val="false"/>
          <w:i w:val="false"/>
          <w:color w:val="000000"/>
          <w:sz w:val="21"/>
        </w:rPr>
        <w:t xml:space="preserve"> (Notice ARC 9460C, IAB 8/6/25)</w:t>
      </w:r>
      <w:r>
        <w:rPr>
          <w:rFonts w:ascii="Times New Roman" w:hAnsi="Times New Roman"/>
          <w:b w:val="false"/>
          <w:i w:val="false"/>
          <w:color w:val="000000"/>
          <w:sz w:val="21"/>
        </w:rPr>
        <w:t>, IAB 11/12/25, effective 12/17/25]</w:t>
      </w:r>
    </w:p>
    <w:sectPr>
      <w:footerReference r:id="rId12"/>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69.2.pdf" Type="http://schemas.openxmlformats.org/officeDocument/2006/relationships/hyperlink" Id="rId5"/>
    <Relationship TargetMode="External" Target="https://www.legis.iowa.gov/docs/ico/chapter/24.26.pdf" Type="http://schemas.openxmlformats.org/officeDocument/2006/relationships/hyperlink" Id="rId6"/>
    <Relationship TargetMode="External" Target="https://www.legis.iowa.gov/docs/ico/chapter/669.2.pdf" Type="http://schemas.openxmlformats.org/officeDocument/2006/relationships/hyperlink" Id="rId7"/>
    <Relationship TargetMode="External" Target="https://www.legis.iowa.gov/docs/ico/chapter/669.2.pdf" Type="http://schemas.openxmlformats.org/officeDocument/2006/relationships/hyperlink" Id="rId8"/>
    <Relationship TargetMode="External" Target="https://www.legis.iowa.gov/docs/ico/chapter/669.2.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25.2.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