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541—8.1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“(official or body issuing these rules)”, insert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“Nonincidental retrieval or supervisory service”</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to persons requesting access to public documents by the department’s staff (or staff from the department of administrative services), and where such retrieval or supervisory services exceed 20 hours of total staff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“Nonproprietary records”</w:t>
      </w:r>
      <w:r>
        <w:rPr>
          <w:rFonts w:ascii="Times New Roman" w:hAnsi="Times New Roman"/>
          <w:b w:val="false"/>
          <w:i w:val="false"/>
          <w:color w:val="000000"/>
          <w:sz w:val="22"/>
        </w:rPr>
        <w:t> </w:t>
      </w:r>
      <w:r>
        <w:rPr>
          <w:rFonts w:ascii="Times New Roman" w:hAnsi="Times New Roman"/>
          <w:b w:val="false"/>
          <w:i w:val="false"/>
          <w:color w:val="000000"/>
          <w:sz w:val="22"/>
        </w:rPr>
        <w:t>means those records that are in the possession of the department but that are generated for the purposes of other units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as defined in Iowa Code section </w:t>
      </w:r>
      <w:hyperlink r:id="rId5">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A public record includes both confidential and open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541—8.2</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 retention and access.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541—8.3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541—8.9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541—8.10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541—8.11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541—8.12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541—8.13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541—8.14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541—8.15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agency maintains a variety of records that do not generally contain information pertaining to named individuals. The agency maintains the following records, not heretofore listed, which do not generally contain personally identifiable or confidential information: annual reports; press releases; budget information (following presentation by the governor); receipt statements; revenue information; newsletters; public meeting agendas and minutes; budget information relating to cities, counties or school districts; state revenue forecasts; policy information as recommended to the governor; progress review materials and targeted small business compliance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541—8.16</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6/15/88—published 9/7/88, effective 8/19/88]</w:t>
      </w:r>
    </w:p>
    <w:p>
      <w:pPr>
        <w:spacing w:before="0" w:after="0"/>
        <w:ind w:left="120"/>
        <w:jc w:val="center"/>
      </w:pPr>
      <w:r>
        <w:rPr>
          <w:rFonts w:ascii="Times New Roman" w:hAnsi="Times New Roman"/>
          <w:b w:val="false"/>
          <w:i w:val="false"/>
          <w:color w:val="000000"/>
          <w:sz w:val="21"/>
        </w:rPr>
        <w:t>[Filed 1/3/05, Notice 11/24/04—published 2/2/05, effective 3/9/05]</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7498C</w:t>
      </w:r>
      <w:r>
        <w:rPr>
          <w:rFonts w:ascii="Times New Roman" w:hAnsi="Times New Roman"/>
          <w:b w:val="false"/>
          <w:i w:val="false"/>
          <w:color w:val="000000"/>
          <w:sz w:val="21"/>
        </w:rPr>
        <w:t xml:space="preserve"> (Notice ARC 7117C, IAB 11/15/23)</w:t>
      </w:r>
      <w:r>
        <w:rPr>
          <w:rFonts w:ascii="Times New Roman" w:hAnsi="Times New Roman"/>
          <w:b w:val="false"/>
          <w:i w:val="false"/>
          <w:color w:val="000000"/>
          <w:sz w:val="21"/>
        </w:rPr>
        <w:t>, IAB 1/10/24, effective 2/14/24]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pdf" Type="http://schemas.openxmlformats.org/officeDocument/2006/relationships/hyperlink" Id="rId5"/>
    <Relationship TargetMode="External" Target="https://www.legis.iowa.gov/docs/ico/chapter/22.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