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13</w:t>
      </w:r>
    </w:p>
    <w:p>
      <w:pPr>
        <w:spacing w:before="0" w:after="0"/>
        <w:ind w:left="120"/>
        <w:jc w:val="center"/>
      </w:pPr>
      <w:r>
        <w:rPr>
          <w:rFonts w:ascii="Times New Roman" w:hAnsi="Times New Roman"/>
          <w:b w:val="false"/>
          <w:i w:val="false"/>
          <w:color w:val="000000"/>
          <w:sz w:val="21"/>
        </w:rPr>
        <w:t>SUSPENSION AND REINSTATEMENT OF STATE FUNDS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2/14/29</w:t>
      </w:r>
    </w:p>
    <w:p>
      <w:pPr>
        <w:spacing w:before="0" w:after="0"/>
        <w:ind w:left="120"/>
        <w:jc w:val="both"/>
      </w:pPr>
      <w:r>
        <w:rPr>
          <w:rFonts w:ascii="Times New Roman" w:hAnsi="Times New Roman"/>
          <w:b/>
          <w:i w:val="false"/>
          <w:color w:val="000000"/>
          <w:sz w:val="22"/>
        </w:rPr>
        <w:t>541—13.1</w:t>
      </w:r>
      <w:r>
        <w:rPr>
          <w:rFonts w:ascii="Times New Roman" w:hAnsi="Times New Roman"/>
          <w:b/>
          <w:i w:val="false"/>
          <w:color w:val="000000"/>
          <w:sz w:val="22"/>
        </w:rPr>
        <w:t xml:space="preserve">(27A)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“City” </w:t>
      </w:r>
      <w:r>
        <w:rPr>
          <w:rFonts w:ascii="Times New Roman" w:hAnsi="Times New Roman"/>
          <w:b w:val="false"/>
          <w:i w:val="false"/>
          <w:color w:val="000000"/>
          <w:sz w:val="22"/>
        </w:rPr>
        <w:t>means a municipal corporation but does not include a county, township, school district, or any special-purpose district or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“County” </w:t>
      </w:r>
      <w:r>
        <w:rPr>
          <w:rFonts w:ascii="Times New Roman" w:hAnsi="Times New Roman"/>
          <w:b w:val="false"/>
          <w:i w:val="false"/>
          <w:color w:val="000000"/>
          <w:sz w:val="22"/>
        </w:rPr>
        <w:t>means an administrative subdivision in the state governed by a locally elected board of supervisors and may be comprised of subdivisions, including cities, townships, school districts, or any special-purpose district or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“Declaratory judgment” </w:t>
      </w:r>
      <w:r>
        <w:rPr>
          <w:rFonts w:ascii="Times New Roman" w:hAnsi="Times New Roman"/>
          <w:b w:val="false"/>
          <w:i w:val="false"/>
          <w:color w:val="000000"/>
          <w:sz w:val="22"/>
        </w:rPr>
        <w:t xml:space="preserve">means a judgment issued by a district court declaring a local entity is in full compliance with Iowa Code chapter </w:t>
      </w:r>
      <w:hyperlink r:id="rId5">
        <w:r>
          <w:rPr>
            <w:rStyle w:val="Hyperlink"/>
            <w:rFonts w:ascii="Times New Roman" w:hAnsi="Times New Roman"/>
            <w:b w:val="false"/>
            <w:i w:val="false"/>
            <w:color w:val="000000"/>
            <w:sz w:val="22"/>
          </w:rPr>
          <w:t>27A</w:t>
        </w:r>
      </w:hyperlink>
      <w:r>
        <w:rPr>
          <w:rFonts w:ascii="Times New Roman" w:hAnsi="Times New Roman"/>
          <w:b w:val="false"/>
          <w:i w:val="false"/>
          <w:color w:val="000000"/>
          <w:sz w:val="22"/>
        </w:rPr>
        <w:t xml:space="preserve"> or </w:t>
      </w:r>
      <w:hyperlink r:id="rId6">
        <w:r>
          <w:rPr>
            <w:rStyle w:val="Hyperlink"/>
            <w:rFonts w:ascii="Times New Roman" w:hAnsi="Times New Roman"/>
            <w:b w:val="false"/>
            <w:i w:val="false"/>
            <w:color w:val="000000"/>
            <w:sz w:val="22"/>
          </w:rPr>
          <w:t>27B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 xml:space="preserve">means the Iowa department of management pursuant to Iowa Code chapter </w:t>
      </w:r>
      <w:hyperlink r:id="rId7">
        <w:r>
          <w:rPr>
            <w:rStyle w:val="Hyperlink"/>
            <w:rFonts w:ascii="Times New Roman" w:hAnsi="Times New Roman"/>
            <w:b w:val="false"/>
            <w:i w:val="false"/>
            <w:color w:val="000000"/>
            <w:sz w:val="22"/>
          </w:rPr>
          <w:t>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“Final judicial determination” </w:t>
      </w:r>
      <w:r>
        <w:rPr>
          <w:rFonts w:ascii="Times New Roman" w:hAnsi="Times New Roman"/>
          <w:b w:val="false"/>
          <w:i w:val="false"/>
          <w:color w:val="000000"/>
          <w:sz w:val="22"/>
        </w:rPr>
        <w:t xml:space="preserve">means a district court ruling on a civil action brought by the state attorney general’s office finding a local entity to have violated the provisions of Iowa Code chapter </w:t>
      </w:r>
      <w:hyperlink r:id="rId8">
        <w:r>
          <w:rPr>
            <w:rStyle w:val="Hyperlink"/>
            <w:rFonts w:ascii="Times New Roman" w:hAnsi="Times New Roman"/>
            <w:b w:val="false"/>
            <w:i w:val="false"/>
            <w:color w:val="000000"/>
            <w:sz w:val="22"/>
          </w:rPr>
          <w:t>27A</w:t>
        </w:r>
      </w:hyperlink>
      <w:r>
        <w:rPr>
          <w:rFonts w:ascii="Times New Roman" w:hAnsi="Times New Roman"/>
          <w:b w:val="false"/>
          <w:i w:val="false"/>
          <w:color w:val="000000"/>
          <w:sz w:val="22"/>
        </w:rPr>
        <w:t xml:space="preserve"> or </w:t>
      </w:r>
      <w:hyperlink r:id="rId9">
        <w:r>
          <w:rPr>
            <w:rStyle w:val="Hyperlink"/>
            <w:rFonts w:ascii="Times New Roman" w:hAnsi="Times New Roman"/>
            <w:b w:val="false"/>
            <w:i w:val="false"/>
            <w:color w:val="000000"/>
            <w:sz w:val="22"/>
          </w:rPr>
          <w:t>27B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“Fiscal year” </w:t>
      </w:r>
      <w:r>
        <w:rPr>
          <w:rFonts w:ascii="Times New Roman" w:hAnsi="Times New Roman"/>
          <w:b w:val="false"/>
          <w:i w:val="false"/>
          <w:color w:val="000000"/>
          <w:sz w:val="22"/>
        </w:rPr>
        <w:t xml:space="preserve">means the time period beginning on July 1 and ending the following June 30 as defined in Iowa Code section </w:t>
      </w:r>
      <w:hyperlink r:id="rId10">
        <w:r>
          <w:rPr>
            <w:rStyle w:val="Hyperlink"/>
            <w:rFonts w:ascii="Times New Roman" w:hAnsi="Times New Roman"/>
            <w:b w:val="false"/>
            <w:i w:val="false"/>
            <w:color w:val="000000"/>
            <w:sz w:val="22"/>
          </w:rPr>
          <w:t>8.36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“Governing body” </w:t>
      </w:r>
      <w:r>
        <w:rPr>
          <w:rFonts w:ascii="Times New Roman" w:hAnsi="Times New Roman"/>
          <w:b w:val="false"/>
          <w:i w:val="false"/>
          <w:color w:val="000000"/>
          <w:sz w:val="22"/>
        </w:rPr>
        <w:t>means the mayor and city council of a city or the board of supervisors of a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“Local entity” </w:t>
      </w:r>
      <w:r>
        <w:rPr>
          <w:rFonts w:ascii="Times New Roman" w:hAnsi="Times New Roman"/>
          <w:b w:val="false"/>
          <w:i w:val="false"/>
          <w:color w:val="000000"/>
          <w:sz w:val="22"/>
        </w:rPr>
        <w:t xml:space="preserve">means the same as defined in Iowa Code section </w:t>
      </w:r>
      <w:hyperlink r:id="rId11">
        <w:r>
          <w:rPr>
            <w:rStyle w:val="Hyperlink"/>
            <w:rFonts w:ascii="Times New Roman" w:hAnsi="Times New Roman"/>
            <w:b w:val="false"/>
            <w:i w:val="false"/>
            <w:color w:val="000000"/>
            <w:sz w:val="22"/>
          </w:rPr>
          <w:t>27A.1(4)</w:t>
        </w:r>
      </w:hyperlink>
      <w:r>
        <w:rPr>
          <w:rFonts w:ascii="Times New Roman" w:hAnsi="Times New Roman"/>
          <w:b w:val="false"/>
          <w:i w:val="false"/>
          <w:color w:val="000000"/>
          <w:sz w:val="22"/>
        </w:rPr>
        <w:t xml:space="preserve"> or </w:t>
      </w:r>
      <w:hyperlink r:id="rId12">
        <w:r>
          <w:rPr>
            <w:rStyle w:val="Hyperlink"/>
            <w:rFonts w:ascii="Times New Roman" w:hAnsi="Times New Roman"/>
            <w:b w:val="false"/>
            <w:i w:val="false"/>
            <w:color w:val="000000"/>
            <w:sz w:val="22"/>
          </w:rPr>
          <w:t>27B.1(1)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agencies” </w:t>
      </w:r>
      <w:r>
        <w:rPr>
          <w:rFonts w:ascii="Times New Roman" w:hAnsi="Times New Roman"/>
          <w:b w:val="false"/>
          <w:i w:val="false"/>
          <w:color w:val="000000"/>
          <w:sz w:val="22"/>
        </w:rPr>
        <w:t xml:space="preserve">means any boards, commissions, or departments, as defined by Iowa Code section </w:t>
      </w:r>
      <w:hyperlink r:id="rId13">
        <w:r>
          <w:rPr>
            <w:rStyle w:val="Hyperlink"/>
            <w:rFonts w:ascii="Times New Roman" w:hAnsi="Times New Roman"/>
            <w:b w:val="false"/>
            <w:i w:val="false"/>
            <w:color w:val="000000"/>
            <w:sz w:val="22"/>
          </w:rPr>
          <w:t>7E.4</w:t>
        </w:r>
      </w:hyperlink>
      <w:r>
        <w:rPr>
          <w:rFonts w:ascii="Times New Roman" w:hAnsi="Times New Roman"/>
          <w:b w:val="false"/>
          <w:i w:val="false"/>
          <w:color w:val="000000"/>
          <w:sz w:val="22"/>
        </w:rPr>
        <w:t>, or other administrative offices or units of the executive branch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funds” </w:t>
      </w:r>
      <w:r>
        <w:rPr>
          <w:rFonts w:ascii="Times New Roman" w:hAnsi="Times New Roman"/>
          <w:b w:val="false"/>
          <w:i w:val="false"/>
          <w:color w:val="000000"/>
          <w:sz w:val="22"/>
        </w:rPr>
        <w:t>means those funds held by the state that originate from revenues, fees or receipts collected by the state and distributed to local entities. Funds held by the state that are not defined as state funds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Federal funds (unless provided to the state and awarded as a grant by the state).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Funds paid out per gubernatorial or presidential emergency proclamation.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Any revenue collected and administered by the state on behalf of a local entity due to a locally imposed tax, fee or fine.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Any state funds for the provision of wearable body protective gear used for law enforcement purposes.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Payment for public protection, utilities, or goods and services.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Payment of settlements.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 xml:space="preserve">Setoffs as defined by Iowa Code section </w:t>
      </w:r>
      <w:hyperlink r:id="rId14">
        <w:r>
          <w:rPr>
            <w:rStyle w:val="Hyperlink"/>
            <w:rFonts w:ascii="Times New Roman" w:hAnsi="Times New Roman"/>
            <w:b w:val="false"/>
            <w:i w:val="false"/>
            <w:color w:val="000000"/>
            <w:sz w:val="22"/>
          </w:rPr>
          <w:t>8A.504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7501C</w:t>
      </w:r>
      <w:r>
        <w:rPr>
          <w:rFonts w:ascii="Times New Roman" w:hAnsi="Times New Roman"/>
          <w:b w:val="false"/>
          <w:i w:val="false"/>
          <w:color w:val="000000"/>
          <w:sz w:val="16"/>
        </w:rPr>
        <w:t>, IAB 1/10/24, effective 2/14/24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541—13.2</w:t>
      </w:r>
      <w:r>
        <w:rPr>
          <w:rFonts w:ascii="Times New Roman" w:hAnsi="Times New Roman"/>
          <w:b/>
          <w:i w:val="false"/>
          <w:color w:val="000000"/>
          <w:sz w:val="22"/>
        </w:rPr>
        <w:t xml:space="preserve">(27A) </w:t>
      </w:r>
      <w:r>
        <w:rPr>
          <w:rFonts w:ascii="Times New Roman" w:hAnsi="Times New Roman"/>
          <w:b/>
          <w:i w:val="false"/>
          <w:color w:val="000000"/>
          <w:sz w:val="22"/>
        </w:rPr>
        <w:t xml:space="preserve">Denial of state funds. </w:t>
      </w:r>
      <w:r>
        <w:rPr>
          <w:rFonts w:ascii="Times New Roman" w:hAnsi="Times New Roman"/>
          <w:b w:val="false"/>
          <w:i w:val="false"/>
          <w:color w:val="000000"/>
          <w:sz w:val="22"/>
        </w:rPr>
        <w:t xml:space="preserve">State funds are denied to a local entity in circumstances authorized by Iowa Code section </w:t>
      </w:r>
      <w:hyperlink r:id="rId15">
        <w:r>
          <w:rPr>
            <w:rStyle w:val="Hyperlink"/>
            <w:rFonts w:ascii="Times New Roman" w:hAnsi="Times New Roman"/>
            <w:b w:val="false"/>
            <w:i w:val="false"/>
            <w:color w:val="000000"/>
            <w:sz w:val="22"/>
          </w:rPr>
          <w:t>27A.9(2)</w:t>
        </w:r>
      </w:hyperlink>
      <w:r>
        <w:rPr>
          <w:rFonts w:ascii="Times New Roman" w:hAnsi="Times New Roman"/>
          <w:b w:val="false"/>
          <w:i w:val="false"/>
          <w:color w:val="000000"/>
          <w:sz w:val="22"/>
        </w:rPr>
        <w:t xml:space="preserve"> or </w:t>
      </w:r>
      <w:hyperlink r:id="rId16">
        <w:r>
          <w:rPr>
            <w:rStyle w:val="Hyperlink"/>
            <w:rFonts w:ascii="Times New Roman" w:hAnsi="Times New Roman"/>
            <w:b w:val="false"/>
            <w:i w:val="false"/>
            <w:color w:val="000000"/>
            <w:sz w:val="22"/>
          </w:rPr>
          <w:t>27B.5(2)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13.2(1)</w:t>
      </w:r>
      <w:r>
        <w:rPr>
          <w:rFonts w:ascii="Times New Roman" w:hAnsi="Times New Roman"/>
          <w:b w:val="false"/>
          <w:i w:val="false"/>
          <w:color w:val="000000"/>
          <w:sz w:val="22"/>
        </w:rPr>
        <w:t> </w:t>
      </w:r>
      <w:r>
        <w:rPr>
          <w:rFonts w:ascii="Times New Roman" w:hAnsi="Times New Roman"/>
          <w:b w:val="false"/>
          <w:i w:val="false"/>
          <w:color w:val="000000"/>
          <w:sz w:val="22"/>
        </w:rPr>
        <w:t>The department will send written notification to each state agency to deny state funds. Payments will continue to be made to the local entity until the beginning of the state fiscal year that begins after the date on which a final judicial determination is made, at which time payments will be denied.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13.2(2)</w:t>
      </w:r>
      <w:r>
        <w:rPr>
          <w:rFonts w:ascii="Times New Roman" w:hAnsi="Times New Roman"/>
          <w:b w:val="false"/>
          <w:i w:val="false"/>
          <w:color w:val="000000"/>
          <w:sz w:val="22"/>
        </w:rPr>
        <w:t> </w:t>
      </w:r>
      <w:r>
        <w:rPr>
          <w:rFonts w:ascii="Times New Roman" w:hAnsi="Times New Roman"/>
          <w:b w:val="false"/>
          <w:i w:val="false"/>
          <w:color w:val="000000"/>
          <w:sz w:val="22"/>
        </w:rPr>
        <w:t>If the local entity receives state funds through the county, the department will notify the county so that any needed changes may be made to apportionment systems for property tax credits, exemptions and replacements.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13.2(3)</w:t>
      </w:r>
      <w:r>
        <w:rPr>
          <w:rFonts w:ascii="Times New Roman" w:hAnsi="Times New Roman"/>
          <w:b w:val="false"/>
          <w:i w:val="false"/>
          <w:color w:val="000000"/>
          <w:sz w:val="22"/>
        </w:rPr>
        <w:t> </w:t>
      </w:r>
      <w:r>
        <w:rPr>
          <w:rFonts w:ascii="Times New Roman" w:hAnsi="Times New Roman"/>
          <w:b w:val="false"/>
          <w:i w:val="false"/>
          <w:color w:val="000000"/>
          <w:sz w:val="22"/>
        </w:rPr>
        <w:t>State agencies will contact federal granting agencies in writing to determine how to administer federal funds when state match funds are denied. State agencies may be obligated to discontinue drawing federal funds or issue repayments as instructed by federal granting agencies.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13.2(4)</w:t>
      </w:r>
      <w:r>
        <w:rPr>
          <w:rFonts w:ascii="Times New Roman" w:hAnsi="Times New Roman"/>
          <w:b w:val="false"/>
          <w:i w:val="false"/>
          <w:color w:val="000000"/>
          <w:sz w:val="22"/>
        </w:rPr>
        <w:t> </w:t>
      </w:r>
      <w:r>
        <w:rPr>
          <w:rFonts w:ascii="Times New Roman" w:hAnsi="Times New Roman"/>
          <w:b w:val="false"/>
          <w:i w:val="false"/>
          <w:color w:val="000000"/>
          <w:sz w:val="22"/>
        </w:rPr>
        <w:t xml:space="preserve">Funds will continue to be denied until the court issues a declaratory judgment declaring that the local entity is in full compliance with Iowa Code chapter </w:t>
      </w:r>
      <w:hyperlink r:id="rId17">
        <w:r>
          <w:rPr>
            <w:rStyle w:val="Hyperlink"/>
            <w:rFonts w:ascii="Times New Roman" w:hAnsi="Times New Roman"/>
            <w:b w:val="false"/>
            <w:i w:val="false"/>
            <w:color w:val="000000"/>
            <w:sz w:val="22"/>
          </w:rPr>
          <w:t>27A</w:t>
        </w:r>
      </w:hyperlink>
      <w:r>
        <w:rPr>
          <w:rFonts w:ascii="Times New Roman" w:hAnsi="Times New Roman"/>
          <w:b w:val="false"/>
          <w:i w:val="false"/>
          <w:color w:val="000000"/>
          <w:sz w:val="22"/>
        </w:rPr>
        <w:t xml:space="preserve"> or </w:t>
      </w:r>
      <w:hyperlink r:id="rId18">
        <w:r>
          <w:rPr>
            <w:rStyle w:val="Hyperlink"/>
            <w:rFonts w:ascii="Times New Roman" w:hAnsi="Times New Roman"/>
            <w:b w:val="false"/>
            <w:i w:val="false"/>
            <w:color w:val="000000"/>
            <w:sz w:val="22"/>
          </w:rPr>
          <w:t>27B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7501C</w:t>
      </w:r>
      <w:r>
        <w:rPr>
          <w:rFonts w:ascii="Times New Roman" w:hAnsi="Times New Roman"/>
          <w:b w:val="false"/>
          <w:i w:val="false"/>
          <w:color w:val="000000"/>
          <w:sz w:val="16"/>
        </w:rPr>
        <w:t>, IAB 1/10/24, effective 2/14/24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541—13.3</w:t>
      </w:r>
      <w:r>
        <w:rPr>
          <w:rFonts w:ascii="Times New Roman" w:hAnsi="Times New Roman"/>
          <w:b/>
          <w:i w:val="false"/>
          <w:color w:val="000000"/>
          <w:sz w:val="22"/>
        </w:rPr>
        <w:t xml:space="preserve">(27A) </w:t>
      </w:r>
      <w:r>
        <w:rPr>
          <w:rFonts w:ascii="Times New Roman" w:hAnsi="Times New Roman"/>
          <w:b/>
          <w:i w:val="false"/>
          <w:color w:val="000000"/>
          <w:sz w:val="22"/>
        </w:rPr>
        <w:t xml:space="preserve">Reinstatement of eligibility to receive state funds. </w:t>
      </w:r>
      <w:r>
        <w:rPr>
          <w:rFonts w:ascii="Times New Roman" w:hAnsi="Times New Roman"/>
          <w:b w:val="false"/>
          <w:i w:val="false"/>
          <w:color w:val="000000"/>
          <w:sz w:val="22"/>
        </w:rPr>
        <w:t xml:space="preserve">In circumstances authorized by Iowa Code section </w:t>
      </w:r>
      <w:hyperlink r:id="rId19">
        <w:r>
          <w:rPr>
            <w:rStyle w:val="Hyperlink"/>
            <w:rFonts w:ascii="Times New Roman" w:hAnsi="Times New Roman"/>
            <w:b w:val="false"/>
            <w:i w:val="false"/>
            <w:color w:val="000000"/>
            <w:sz w:val="22"/>
          </w:rPr>
          <w:t>27A.10(3)</w:t>
        </w:r>
      </w:hyperlink>
      <w:r>
        <w:rPr>
          <w:rFonts w:ascii="Times New Roman" w:hAnsi="Times New Roman"/>
          <w:b w:val="false"/>
          <w:i w:val="false"/>
          <w:color w:val="000000"/>
          <w:sz w:val="22"/>
        </w:rPr>
        <w:t xml:space="preserve"> or </w:t>
      </w:r>
      <w:hyperlink r:id="rId20">
        <w:r>
          <w:rPr>
            <w:rStyle w:val="Hyperlink"/>
            <w:rFonts w:ascii="Times New Roman" w:hAnsi="Times New Roman"/>
            <w:b w:val="false"/>
            <w:i w:val="false"/>
            <w:color w:val="000000"/>
            <w:sz w:val="22"/>
          </w:rPr>
          <w:t>27B.6(3)</w:t>
        </w:r>
      </w:hyperlink>
      <w:r>
        <w:rPr>
          <w:rFonts w:ascii="Times New Roman" w:hAnsi="Times New Roman"/>
          <w:b w:val="false"/>
          <w:i w:val="false"/>
          <w:color w:val="000000"/>
          <w:sz w:val="22"/>
        </w:rPr>
        <w:t>, the local entity’s eligibility to receive state funds is reinstated.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13.3(1)</w:t>
      </w:r>
      <w:r>
        <w:rPr>
          <w:rFonts w:ascii="Times New Roman" w:hAnsi="Times New Roman"/>
          <w:b w:val="false"/>
          <w:i w:val="false"/>
          <w:color w:val="000000"/>
          <w:sz w:val="22"/>
        </w:rPr>
        <w:t> </w:t>
      </w:r>
      <w:r>
        <w:rPr>
          <w:rFonts w:ascii="Times New Roman" w:hAnsi="Times New Roman"/>
          <w:b w:val="false"/>
          <w:i w:val="false"/>
          <w:color w:val="000000"/>
          <w:sz w:val="22"/>
        </w:rPr>
        <w:t>The department will send written notification to each state agency to reinstate state funds. Payments will be reinstated to the local entity beginning on the first day of the month following the date on which the declaratory judgment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13.3(2)</w:t>
      </w:r>
      <w:r>
        <w:rPr>
          <w:rFonts w:ascii="Times New Roman" w:hAnsi="Times New Roman"/>
          <w:b w:val="false"/>
          <w:i w:val="false"/>
          <w:color w:val="000000"/>
          <w:sz w:val="22"/>
        </w:rPr>
        <w:t> </w:t>
      </w:r>
      <w:r>
        <w:rPr>
          <w:rFonts w:ascii="Times New Roman" w:hAnsi="Times New Roman"/>
          <w:b w:val="false"/>
          <w:i w:val="false"/>
          <w:color w:val="000000"/>
          <w:sz w:val="22"/>
        </w:rPr>
        <w:t>State agencies will contact federal partners in writing to determine how to reinstate the drawdown of federal funds when state match funds are reinstated.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7501C</w:t>
      </w:r>
      <w:r>
        <w:rPr>
          <w:rFonts w:ascii="Times New Roman" w:hAnsi="Times New Roman"/>
          <w:b w:val="false"/>
          <w:i w:val="false"/>
          <w:color w:val="000000"/>
          <w:sz w:val="16"/>
        </w:rPr>
        <w:t>, IAB 1/10/24, effective 2/14/24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21">
        <w:r>
          <w:rPr>
            <w:rStyle w:val="Hyperlink"/>
            <w:rFonts w:ascii="Times New Roman" w:hAnsi="Times New Roman"/>
            <w:b w:val="false"/>
            <w:i w:val="false"/>
            <w:color w:val="000000"/>
            <w:sz w:val="22"/>
          </w:rPr>
          <w:t>27A</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27B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4141C</w:t>
      </w:r>
      <w:r>
        <w:rPr>
          <w:rFonts w:ascii="Times New Roman" w:hAnsi="Times New Roman"/>
          <w:b w:val="false"/>
          <w:i w:val="false"/>
          <w:color w:val="000000"/>
          <w:sz w:val="21"/>
        </w:rPr>
        <w:t xml:space="preserve"> (Notice ARC 4008C, IAB 9/26/18)</w:t>
      </w:r>
      <w:r>
        <w:rPr>
          <w:rFonts w:ascii="Times New Roman" w:hAnsi="Times New Roman"/>
          <w:b w:val="false"/>
          <w:i w:val="false"/>
          <w:color w:val="000000"/>
          <w:sz w:val="21"/>
        </w:rPr>
        <w:t>, IAB 11/21/18, effective 12/26/18]</w:t>
      </w:r>
    </w:p>
    <w:p>
      <w:pPr>
        <w:spacing w:before="0" w:after="0"/>
        <w:ind w:left="120"/>
        <w:jc w:val="center"/>
      </w:pPr>
      <w:r>
        <w:rPr>
          <w:rFonts w:ascii="Times New Roman" w:hAnsi="Times New Roman"/>
          <w:b w:val="false"/>
          <w:i w:val="false"/>
          <w:color w:val="000000"/>
          <w:sz w:val="21"/>
        </w:rPr>
        <w:t>[Filed ARC 7501C</w:t>
      </w:r>
      <w:r>
        <w:rPr>
          <w:rFonts w:ascii="Times New Roman" w:hAnsi="Times New Roman"/>
          <w:b w:val="false"/>
          <w:i w:val="false"/>
          <w:color w:val="000000"/>
          <w:sz w:val="21"/>
        </w:rPr>
        <w:t xml:space="preserve"> (Notice ARC 7120C, IAB 11/15/23)</w:t>
      </w:r>
      <w:r>
        <w:rPr>
          <w:rFonts w:ascii="Times New Roman" w:hAnsi="Times New Roman"/>
          <w:b w:val="false"/>
          <w:i w:val="false"/>
          <w:color w:val="000000"/>
          <w:sz w:val="21"/>
        </w:rPr>
        <w:t>, IAB 1/10/24, effective 2/14/24]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7A.pdf" Type="http://schemas.openxmlformats.org/officeDocument/2006/relationships/hyperlink" Id="rId5"/>
    <Relationship TargetMode="External" Target="https://www.legis.iowa.gov/docs/ico/chapter/27B.pdf" Type="http://schemas.openxmlformats.org/officeDocument/2006/relationships/hyperlink" Id="rId6"/>
    <Relationship TargetMode="External" Target="https://www.legis.iowa.gov/docs/ico/chapter/8.pdf" Type="http://schemas.openxmlformats.org/officeDocument/2006/relationships/hyperlink" Id="rId7"/>
    <Relationship TargetMode="External" Target="https://www.legis.iowa.gov/docs/ico/chapter/27A.pdf" Type="http://schemas.openxmlformats.org/officeDocument/2006/relationships/hyperlink" Id="rId8"/>
    <Relationship TargetMode="External" Target="https://www.legis.iowa.gov/docs/ico/chapter/27B.pdf" Type="http://schemas.openxmlformats.org/officeDocument/2006/relationships/hyperlink" Id="rId9"/>
    <Relationship TargetMode="External" Target="https://www.legis.iowa.gov/docs/ico/chapter/8.36.pdf" Type="http://schemas.openxmlformats.org/officeDocument/2006/relationships/hyperlink" Id="rId10"/>
    <Relationship TargetMode="External" Target="https://www.legis.iowa.gov/docs/ico/chapter/27A.1.pdf" Type="http://schemas.openxmlformats.org/officeDocument/2006/relationships/hyperlink" Id="rId11"/>
    <Relationship TargetMode="External" Target="https://www.legis.iowa.gov/docs/ico/chapter/27B.1.pdf" Type="http://schemas.openxmlformats.org/officeDocument/2006/relationships/hyperlink" Id="rId12"/>
    <Relationship TargetMode="External" Target="https://www.legis.iowa.gov/docs/ico/chapter/7E.4.pdf" Type="http://schemas.openxmlformats.org/officeDocument/2006/relationships/hyperlink" Id="rId13"/>
    <Relationship TargetMode="External" Target="https://www.legis.iowa.gov/docs/ico/chapter/8A.504.pdf" Type="http://schemas.openxmlformats.org/officeDocument/2006/relationships/hyperlink" Id="rId14"/>
    <Relationship TargetMode="External" Target="https://www.legis.iowa.gov/docs/ico/chapter/27A.9.pdf" Type="http://schemas.openxmlformats.org/officeDocument/2006/relationships/hyperlink" Id="rId15"/>
    <Relationship TargetMode="External" Target="https://www.legis.iowa.gov/docs/ico/chapter/27B.5.pdf" Type="http://schemas.openxmlformats.org/officeDocument/2006/relationships/hyperlink" Id="rId16"/>
    <Relationship TargetMode="External" Target="https://www.legis.iowa.gov/docs/ico/chapter/27A.pdf" Type="http://schemas.openxmlformats.org/officeDocument/2006/relationships/hyperlink" Id="rId17"/>
    <Relationship TargetMode="External" Target="https://www.legis.iowa.gov/docs/ico/chapter/27B.pdf" Type="http://schemas.openxmlformats.org/officeDocument/2006/relationships/hyperlink" Id="rId18"/>
    <Relationship TargetMode="External" Target="https://www.legis.iowa.gov/docs/ico/chapter/27A.10.pdf" Type="http://schemas.openxmlformats.org/officeDocument/2006/relationships/hyperlink" Id="rId19"/>
    <Relationship TargetMode="External" Target="https://www.legis.iowa.gov/docs/ico/chapter/27B.6.pdf" Type="http://schemas.openxmlformats.org/officeDocument/2006/relationships/hyperlink" Id="rId20"/>
    <Relationship TargetMode="External" Target="https://www.legis.iowa.gov/docs/ico/chapter/27A.pdf" Type="http://schemas.openxmlformats.org/officeDocument/2006/relationships/hyperlink" Id="rId21"/>
    <Relationship TargetMode="External" Target="https://www.legis.iowa.gov/docs/ico/chapter/27B.pdf" Type="http://schemas.openxmlformats.org/officeDocument/2006/relationships/hyperlink" Id="rId2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