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p>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1</w:t>
      </w:r>
    </w:p>
    <w:p>
      <w:pPr>
        <w:spacing w:before="0" w:after="0"/>
        <w:ind w:left="120"/>
        <w:jc w:val="center"/>
      </w:pPr>
      <w:r>
        <w:rPr>
          <w:rFonts w:ascii="Times New Roman" w:hAnsi="Times New Roman"/>
          <w:b w:val="false"/>
          <w:i w:val="false"/>
          <w:color w:val="000000"/>
          <w:sz w:val="21"/>
        </w:rPr>
        <w:t>ORGANIZATION AND OPERATION</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2/14/29</w:t>
      </w:r>
    </w:p>
    <w:p>
      <w:pPr>
        <w:spacing w:before="0" w:after="0"/>
        <w:ind w:left="120"/>
        <w:jc w:val="both"/>
      </w:pPr>
      <w:r>
        <w:rPr>
          <w:rFonts w:ascii="Times New Roman" w:hAnsi="Times New Roman"/>
          <w:b/>
          <w:i w:val="false"/>
          <w:color w:val="000000"/>
          <w:sz w:val="22"/>
        </w:rPr>
        <w:t>541—1.1</w:t>
      </w:r>
      <w:r>
        <w:rPr>
          <w:rFonts w:ascii="Times New Roman" w:hAnsi="Times New Roman"/>
          <w:b/>
          <w:i w:val="false"/>
          <w:color w:val="000000"/>
          <w:sz w:val="22"/>
        </w:rPr>
        <w:t xml:space="preserve">(8) </w:t>
      </w:r>
      <w:r>
        <w:rPr>
          <w:rFonts w:ascii="Times New Roman" w:hAnsi="Times New Roman"/>
          <w:b/>
          <w:i w:val="false"/>
          <w:color w:val="000000"/>
          <w:sz w:val="22"/>
        </w:rPr>
        <w:t xml:space="preserve">Purpose. </w:t>
      </w:r>
      <w:r>
        <w:rPr>
          <w:rFonts w:ascii="Times New Roman" w:hAnsi="Times New Roman"/>
          <w:b w:val="false"/>
          <w:i w:val="false"/>
          <w:color w:val="000000"/>
          <w:sz w:val="22"/>
        </w:rPr>
        <w:t>This chapter describes the organization and operation of the department of management (department), including the coordination of policy planning, management of interagency programs, economic reports and program development.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541—1.2</w:t>
      </w:r>
      <w:r>
        <w:rPr>
          <w:rFonts w:ascii="Times New Roman" w:hAnsi="Times New Roman"/>
          <w:b/>
          <w:i w:val="false"/>
          <w:color w:val="000000"/>
          <w:sz w:val="22"/>
        </w:rPr>
        <w:t xml:space="preserve">(8) </w:t>
      </w:r>
      <w:r>
        <w:rPr>
          <w:rFonts w:ascii="Times New Roman" w:hAnsi="Times New Roman"/>
          <w:b/>
          <w:i w:val="false"/>
          <w:color w:val="000000"/>
          <w:sz w:val="22"/>
        </w:rPr>
        <w:t xml:space="preserve">Scope of the rules. </w:t>
      </w:r>
      <w:r>
        <w:rPr>
          <w:rFonts w:ascii="Times New Roman" w:hAnsi="Times New Roman"/>
          <w:b w:val="false"/>
          <w:i w:val="false"/>
          <w:color w:val="000000"/>
          <w:sz w:val="22"/>
        </w:rPr>
        <w:t xml:space="preserve">The rules for the department are promulgated under Iowa Code chapter </w:t>
      </w:r>
      <w:hyperlink r:id="rId5">
        <w:r>
          <w:rPr>
            <w:rStyle w:val="Hyperlink"/>
            <w:rFonts w:ascii="Times New Roman" w:hAnsi="Times New Roman"/>
            <w:b w:val="false"/>
            <w:i w:val="false"/>
            <w:color w:val="000000"/>
            <w:sz w:val="22"/>
          </w:rPr>
          <w:t>8</w:t>
        </w:r>
      </w:hyperlink>
      <w:r>
        <w:rPr>
          <w:rFonts w:ascii="Times New Roman" w:hAnsi="Times New Roman"/>
          <w:b w:val="false"/>
          <w:i w:val="false"/>
          <w:color w:val="000000"/>
          <w:sz w:val="22"/>
        </w:rPr>
        <w:t xml:space="preserve"> and apply to all matters before the department. No rule, in any way, relieves a person affected by or subject to these rules, or any person affected by or subject to the rules promulgated by the various divisions of the department, from any duty under the laws of this state.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210" w:after="0"/>
        <w:ind w:left="120"/>
        <w:jc w:val="both"/>
      </w:pPr>
      <w:r>
        <w:rPr>
          <w:rFonts w:ascii="Times New Roman" w:hAnsi="Times New Roman"/>
          <w:b/>
          <w:i w:val="false"/>
          <w:color w:val="000000"/>
          <w:sz w:val="22"/>
        </w:rPr>
        <w:t>541—1.3</w:t>
      </w:r>
      <w:r>
        <w:rPr>
          <w:rFonts w:ascii="Times New Roman" w:hAnsi="Times New Roman"/>
          <w:b/>
          <w:i w:val="false"/>
          <w:color w:val="000000"/>
          <w:sz w:val="22"/>
        </w:rPr>
        <w:t xml:space="preserve">(8) </w:t>
      </w:r>
      <w:r>
        <w:rPr>
          <w:rFonts w:ascii="Times New Roman" w:hAnsi="Times New Roman"/>
          <w:b/>
          <w:i w:val="false"/>
          <w:color w:val="000000"/>
          <w:sz w:val="22"/>
        </w:rPr>
        <w:t xml:space="preserve">Waiver. </w:t>
      </w:r>
      <w:r>
        <w:rPr>
          <w:rFonts w:ascii="Times New Roman" w:hAnsi="Times New Roman"/>
          <w:b w:val="false"/>
          <w:i w:val="false"/>
          <w:color w:val="000000"/>
          <w:sz w:val="22"/>
        </w:rPr>
        <w:t>Rescinded by 2026 Iowa Acts, Senate File 2463, section 4, effective July 1, 2026.</w:t>
      </w:r>
    </w:p>
    <w:p>
      <w:pPr>
        <w:spacing w:before="0" w:after="0"/>
        <w:ind w:left="120"/>
        <w:jc w:val="both"/>
      </w:pPr>
      <w:r>
        <w:rPr>
          <w:rFonts w:ascii="Times New Roman" w:hAnsi="Times New Roman"/>
          <w:b/>
          <w:i w:val="false"/>
          <w:color w:val="000000"/>
          <w:sz w:val="22"/>
        </w:rPr>
        <w:t>541—1.4</w:t>
      </w:r>
      <w:r>
        <w:rPr>
          <w:rFonts w:ascii="Times New Roman" w:hAnsi="Times New Roman"/>
          <w:b/>
          <w:i w:val="false"/>
          <w:color w:val="000000"/>
          <w:sz w:val="22"/>
        </w:rPr>
        <w:t xml:space="preserve">(8) </w:t>
      </w:r>
      <w:r>
        <w:rPr>
          <w:rFonts w:ascii="Times New Roman" w:hAnsi="Times New Roman"/>
          <w:b/>
          <w:i w:val="false"/>
          <w:color w:val="000000"/>
          <w:sz w:val="22"/>
        </w:rPr>
        <w:t xml:space="preserve">Duties of the department. </w:t>
      </w:r>
      <w:r>
        <w:rPr>
          <w:rFonts w:ascii="Times New Roman" w:hAnsi="Times New Roman"/>
          <w:b w:val="false"/>
          <w:i w:val="false"/>
          <w:color w:val="000000"/>
          <w:sz w:val="22"/>
        </w:rPr>
        <w:t>The department plans, develops, and recommends policy decisions for management of state government; administers local budget laws (cities, counties, and schools); oversees and ensures compliance with affirmative action; implements policies through coordination and budget processes; and monitors and evaluates the consistent, efficient, and effective operation of state government. The department consists of budgeting, planning, and early childhood operations and the following agencies or boards: state appeal board, city finance committee, county finance committee, and early childhood Iowa state board.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541—1.5</w:t>
      </w:r>
      <w:r>
        <w:rPr>
          <w:rFonts w:ascii="Times New Roman" w:hAnsi="Times New Roman"/>
          <w:b/>
          <w:i w:val="false"/>
          <w:color w:val="000000"/>
          <w:sz w:val="22"/>
        </w:rPr>
        <w:t xml:space="preserve">(8) </w:t>
      </w:r>
      <w:r>
        <w:rPr>
          <w:rFonts w:ascii="Times New Roman" w:hAnsi="Times New Roman"/>
          <w:b/>
          <w:i w:val="false"/>
          <w:color w:val="000000"/>
          <w:sz w:val="22"/>
        </w:rPr>
        <w:t xml:space="preserve">Definitions.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“City budget”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budget adopted by city officials that incorporates specified requirements as stated in Iowa Code section </w:t>
      </w:r>
      <w:hyperlink r:id="rId6">
        <w:r>
          <w:rPr>
            <w:rStyle w:val="Hyperlink"/>
            <w:rFonts w:ascii="Times New Roman" w:hAnsi="Times New Roman"/>
            <w:b w:val="false"/>
            <w:i w:val="false"/>
            <w:color w:val="000000"/>
            <w:sz w:val="22"/>
          </w:rPr>
          <w:t>384.16</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“Contract compliance director”</w:t>
      </w:r>
      <w:r>
        <w:rPr>
          <w:rFonts w:ascii="Times New Roman" w:hAnsi="Times New Roman"/>
          <w:b w:val="false"/>
          <w:i w:val="false"/>
          <w:color w:val="000000"/>
          <w:sz w:val="22"/>
        </w:rPr>
        <w:t> </w:t>
      </w:r>
      <w:r>
        <w:rPr>
          <w:rFonts w:ascii="Times New Roman" w:hAnsi="Times New Roman"/>
          <w:b w:val="false"/>
          <w:i w:val="false"/>
          <w:color w:val="000000"/>
          <w:sz w:val="22"/>
        </w:rPr>
        <w:t>means the individual designated to oversee and impose sanctions in connection with state programs emphasizing equal opportunity through affirmative action, contract compliance, policies, and procurement set-aside requirements.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“County budget”</w:t>
      </w:r>
      <w:r>
        <w:rPr>
          <w:rFonts w:ascii="Times New Roman" w:hAnsi="Times New Roman"/>
          <w:b w:val="false"/>
          <w:i w:val="false"/>
          <w:color w:val="000000"/>
          <w:sz w:val="22"/>
        </w:rPr>
        <w:t> </w:t>
      </w:r>
      <w:r>
        <w:rPr>
          <w:rFonts w:ascii="Times New Roman" w:hAnsi="Times New Roman"/>
          <w:b w:val="false"/>
          <w:i w:val="false"/>
          <w:color w:val="000000"/>
          <w:sz w:val="22"/>
        </w:rPr>
        <w:t xml:space="preserve">means the budget adopted by the board of supervisors pursuant to Iowa Code chapter </w:t>
      </w:r>
      <w:hyperlink r:id="rId7">
        <w:r>
          <w:rPr>
            <w:rStyle w:val="Hyperlink"/>
            <w:rFonts w:ascii="Times New Roman" w:hAnsi="Times New Roman"/>
            <w:b w:val="false"/>
            <w:i w:val="false"/>
            <w:color w:val="000000"/>
            <w:sz w:val="22"/>
          </w:rPr>
          <w:t>331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“Department”</w:t>
      </w:r>
      <w:r>
        <w:rPr>
          <w:rFonts w:ascii="Times New Roman" w:hAnsi="Times New Roman"/>
          <w:b w:val="false"/>
          <w:i w:val="false"/>
          <w:color w:val="000000"/>
          <w:sz w:val="22"/>
        </w:rPr>
        <w:t> </w:t>
      </w:r>
      <w:r>
        <w:rPr>
          <w:rFonts w:ascii="Times New Roman" w:hAnsi="Times New Roman"/>
          <w:b w:val="false"/>
          <w:i w:val="false"/>
          <w:color w:val="000000"/>
          <w:sz w:val="22"/>
        </w:rPr>
        <w:t>means the department of management.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“Director”</w:t>
      </w:r>
      <w:r>
        <w:rPr>
          <w:rFonts w:ascii="Times New Roman" w:hAnsi="Times New Roman"/>
          <w:b w:val="false"/>
          <w:i w:val="false"/>
          <w:color w:val="000000"/>
          <w:sz w:val="22"/>
        </w:rPr>
        <w:t> </w:t>
      </w:r>
      <w:r>
        <w:rPr>
          <w:rFonts w:ascii="Times New Roman" w:hAnsi="Times New Roman"/>
          <w:b w:val="false"/>
          <w:i w:val="false"/>
          <w:color w:val="000000"/>
          <w:sz w:val="22"/>
        </w:rPr>
        <w:t>means the director of the department of management as appointed by the governor and subject to senate confirmation.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1.5(1)</w:t>
      </w:r>
      <w:r>
        <w:rPr>
          <w:rFonts w:ascii="Times New Roman" w:hAnsi="Times New Roman"/>
          <w:b w:val="false"/>
          <w:i w:val="false"/>
          <w:color w:val="000000"/>
          <w:sz w:val="22"/>
        </w:rPr>
        <w:t> </w:t>
      </w:r>
      <w:r>
        <w:rPr>
          <w:rFonts w:ascii="Times New Roman" w:hAnsi="Times New Roman"/>
          <w:b w:val="false"/>
          <w:i/>
          <w:color w:val="000000"/>
          <w:sz w:val="22"/>
        </w:rPr>
        <w:t xml:space="preserve">State appeal board—fees. </w:t>
      </w:r>
      <w:r>
        <w:rPr>
          <w:rFonts w:ascii="Times New Roman" w:hAnsi="Times New Roman"/>
          <w:b w:val="false"/>
          <w:i w:val="false"/>
          <w:color w:val="000000"/>
          <w:sz w:val="22"/>
        </w:rPr>
        <w:t xml:space="preserve">The state appeal board considers the protests of local government budgets, as well as all general and tort claims against the state, as interpreted by the three members: treasurer of state, auditor of state and director of the department of management. Department of management staff implement proper procedures as directed by the state appeal board as assigned by Iowa Code chapter </w:t>
      </w:r>
      <w:hyperlink r:id="rId8">
        <w:r>
          <w:rPr>
            <w:rStyle w:val="Hyperlink"/>
            <w:rFonts w:ascii="Times New Roman" w:hAnsi="Times New Roman"/>
            <w:b w:val="false"/>
            <w:i w:val="false"/>
            <w:color w:val="000000"/>
            <w:sz w:val="22"/>
          </w:rPr>
          <w:t>24</w:t>
        </w:r>
      </w:hyperlink>
      <w:r>
        <w:rPr>
          <w:rFonts w:ascii="Times New Roman" w:hAnsi="Times New Roman"/>
          <w:b w:val="false"/>
          <w:i w:val="false"/>
          <w:color w:val="000000"/>
          <w:sz w:val="22"/>
        </w:rPr>
        <w:t>. The processing fee for filing a general claim with the state appeal board is $5, which is billed and paid quarterly by the state agency that incurred the liability of the claim. This fee is not reimbursable from the vendor to the state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1.5(2)</w:t>
      </w:r>
      <w:r>
        <w:rPr>
          <w:rFonts w:ascii="Times New Roman" w:hAnsi="Times New Roman"/>
          <w:b w:val="false"/>
          <w:i w:val="false"/>
          <w:color w:val="000000"/>
          <w:sz w:val="22"/>
        </w:rPr>
        <w:t> </w:t>
      </w:r>
      <w:r>
        <w:rPr>
          <w:rFonts w:ascii="Times New Roman" w:hAnsi="Times New Roman"/>
          <w:b w:val="false"/>
          <w:i/>
          <w:color w:val="000000"/>
          <w:sz w:val="22"/>
        </w:rPr>
        <w:t xml:space="preserve">City finance committee. </w:t>
      </w:r>
      <w:r>
        <w:rPr>
          <w:rFonts w:ascii="Times New Roman" w:hAnsi="Times New Roman"/>
          <w:b w:val="false"/>
          <w:i w:val="false"/>
          <w:color w:val="000000"/>
          <w:sz w:val="22"/>
        </w:rPr>
        <w:t xml:space="preserve">The city finance committee promulgates rules relating to city budget amendments, establishes guidelines for the capital improvement program, reviews and comments on city budgets and conducts studies of municipal revenues and expenditures as specified in Iowa Code section </w:t>
      </w:r>
      <w:hyperlink r:id="rId9">
        <w:r>
          <w:rPr>
            <w:rStyle w:val="Hyperlink"/>
            <w:rFonts w:ascii="Times New Roman" w:hAnsi="Times New Roman"/>
            <w:b w:val="false"/>
            <w:i w:val="false"/>
            <w:color w:val="000000"/>
            <w:sz w:val="22"/>
          </w:rPr>
          <w:t>384.13</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1.5(3)</w:t>
      </w:r>
      <w:r>
        <w:rPr>
          <w:rFonts w:ascii="Times New Roman" w:hAnsi="Times New Roman"/>
          <w:b w:val="false"/>
          <w:i w:val="false"/>
          <w:color w:val="000000"/>
          <w:sz w:val="22"/>
        </w:rPr>
        <w:t> </w:t>
      </w:r>
      <w:r>
        <w:rPr>
          <w:rFonts w:ascii="Times New Roman" w:hAnsi="Times New Roman"/>
          <w:b w:val="false"/>
          <w:i/>
          <w:color w:val="000000"/>
          <w:sz w:val="22"/>
        </w:rPr>
        <w:t xml:space="preserve">County finance committee. </w:t>
      </w:r>
      <w:r>
        <w:rPr>
          <w:rFonts w:ascii="Times New Roman" w:hAnsi="Times New Roman"/>
          <w:b w:val="false"/>
          <w:i w:val="false"/>
          <w:color w:val="000000"/>
          <w:sz w:val="22"/>
        </w:rPr>
        <w:t xml:space="preserve">The county finance committee establishes guidelines for program budgeting and accounting, reviews and comments on county budgets, and conducts studies of county revenues and expenditures. In addition, the committee performs other duties as assigned by law pursuant to Iowa Code section </w:t>
      </w:r>
      <w:hyperlink r:id="rId10">
        <w:r>
          <w:rPr>
            <w:rStyle w:val="Hyperlink"/>
            <w:rFonts w:ascii="Times New Roman" w:hAnsi="Times New Roman"/>
            <w:b w:val="false"/>
            <w:i w:val="false"/>
            <w:color w:val="000000"/>
            <w:sz w:val="22"/>
          </w:rPr>
          <w:t>333A.4</w:t>
        </w:r>
      </w:hyperlink>
      <w:r>
        <w:rPr>
          <w:rFonts w:ascii="Times New Roman" w:hAnsi="Times New Roman"/>
          <w:b w:val="false"/>
          <w:i w:val="false"/>
          <w:color w:val="000000"/>
          <w:sz w:val="22"/>
        </w:rPr>
        <w:t>.</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541—1.6</w:t>
      </w:r>
      <w:r>
        <w:rPr>
          <w:rFonts w:ascii="Times New Roman" w:hAnsi="Times New Roman"/>
          <w:b/>
          <w:i w:val="false"/>
          <w:color w:val="000000"/>
          <w:sz w:val="22"/>
        </w:rPr>
        <w:t xml:space="preserve">(8) </w:t>
      </w:r>
      <w:r>
        <w:rPr>
          <w:rFonts w:ascii="Times New Roman" w:hAnsi="Times New Roman"/>
          <w:b/>
          <w:i w:val="false"/>
          <w:color w:val="000000"/>
          <w:sz w:val="22"/>
        </w:rPr>
        <w:t xml:space="preserve">Central office and communications. </w:t>
      </w:r>
      <w:r>
        <w:rPr>
          <w:rFonts w:ascii="Times New Roman" w:hAnsi="Times New Roman"/>
          <w:b w:val="false"/>
          <w:i w:val="false"/>
          <w:color w:val="000000"/>
          <w:sz w:val="22"/>
        </w:rPr>
        <w:t>Correspondence and communications with the department, state board of appeals, county finance committee, or city finance committee are to be addressed or directed to the department’s office located at Department of Management, State Capitol Room 13, 1007 East Grand Avenue, Des Moines, Iowa 50319-0015; telephone 515.281.3322.</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7494C</w:t>
      </w:r>
      <w:r>
        <w:rPr>
          <w:rFonts w:ascii="Times New Roman" w:hAnsi="Times New Roman"/>
          <w:b w:val="false"/>
          <w:i w:val="false"/>
          <w:color w:val="000000"/>
          <w:sz w:val="16"/>
        </w:rPr>
        <w:t>, IAB 1/10/24, effective 2/14/24</w:t>
      </w:r>
      <w:r>
        <w:rPr>
          <w:rFonts w:ascii="Times New Roman" w:hAnsi="Times New Roman"/>
          <w:b w:val="false"/>
          <w:i w:val="false"/>
          <w:color w:val="000000"/>
          <w:sz w:val="16"/>
        </w:rPr>
        <w:t>]</w:t>
      </w:r>
    </w:p>
    <w:p>
      <w:pPr>
        <w:spacing w:before="0" w:after="0"/>
        <w:ind w:left="120"/>
        <w:jc w:val="both"/>
      </w:pPr>
      <w:r>
        <w:rPr>
          <w:rFonts w:ascii="Times New Roman" w:hAnsi="Times New Roman"/>
          <w:b w:val="false"/>
          <w:i w:val="false"/>
          <w:color w:val="000000"/>
          <w:sz w:val="22"/>
        </w:rPr>
        <w:t xml:space="preserve">These rules are intended to implement Iowa Code sections </w:t>
      </w:r>
      <w:hyperlink r:id="rId11">
        <w:r>
          <w:rPr>
            <w:rStyle w:val="Hyperlink"/>
            <w:rFonts w:ascii="Times New Roman" w:hAnsi="Times New Roman"/>
            <w:b w:val="false"/>
            <w:i w:val="false"/>
            <w:color w:val="000000"/>
            <w:sz w:val="22"/>
          </w:rPr>
          <w:t>8.6</w:t>
        </w:r>
      </w:hyperlink>
      <w:r>
        <w:rPr>
          <w:rFonts w:ascii="Times New Roman" w:hAnsi="Times New Roman"/>
          <w:b w:val="false"/>
          <w:i w:val="false"/>
          <w:color w:val="000000"/>
          <w:sz w:val="22"/>
        </w:rPr>
        <w:t xml:space="preserve"> and </w:t>
      </w:r>
      <w:hyperlink r:id="rId12">
        <w:r>
          <w:rPr>
            <w:rStyle w:val="Hyperlink"/>
            <w:rFonts w:ascii="Times New Roman" w:hAnsi="Times New Roman"/>
            <w:b w:val="false"/>
            <w:i w:val="false"/>
            <w:color w:val="000000"/>
            <w:sz w:val="22"/>
          </w:rPr>
          <w:t>25.1</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10/1/87, Notice 5/20/87—published 10/21/87, effective 11/25/87]</w:t>
      </w:r>
    </w:p>
    <w:p>
      <w:pPr>
        <w:spacing w:before="0" w:after="0"/>
        <w:ind w:left="120"/>
        <w:jc w:val="center"/>
      </w:pPr>
      <w:r>
        <w:rPr>
          <w:rFonts w:ascii="Times New Roman" w:hAnsi="Times New Roman"/>
          <w:b w:val="false"/>
          <w:i w:val="false"/>
          <w:color w:val="000000"/>
          <w:sz w:val="21"/>
        </w:rPr>
        <w:t>[Filed 9/27/88, Notice 5/4/88—published 10/19/88, effective 11/23/88]</w:t>
      </w:r>
    </w:p>
    <w:p>
      <w:pPr>
        <w:spacing w:before="0" w:after="0"/>
        <w:ind w:left="120"/>
        <w:jc w:val="center"/>
      </w:pPr>
      <w:r>
        <w:rPr>
          <w:rFonts w:ascii="Times New Roman" w:hAnsi="Times New Roman"/>
          <w:b w:val="false"/>
          <w:i w:val="false"/>
          <w:color w:val="000000"/>
          <w:sz w:val="21"/>
        </w:rPr>
        <w:t>[Filed emergency 8/9/93—published 9/1/93, effective 8/9/93]</w:t>
      </w:r>
    </w:p>
    <w:p>
      <w:pPr>
        <w:spacing w:before="0" w:after="0"/>
        <w:ind w:left="120"/>
        <w:jc w:val="center"/>
      </w:pPr>
      <w:r>
        <w:rPr>
          <w:rFonts w:ascii="Times New Roman" w:hAnsi="Times New Roman"/>
          <w:b w:val="false"/>
          <w:i w:val="false"/>
          <w:color w:val="000000"/>
          <w:sz w:val="21"/>
        </w:rPr>
        <w:t>[Filed emergency 10/8/93—published 10/27/93, effective 10/8/93]</w:t>
      </w:r>
    </w:p>
    <w:p>
      <w:pPr>
        <w:spacing w:before="0" w:after="0"/>
        <w:ind w:left="120"/>
        <w:jc w:val="center"/>
      </w:pPr>
      <w:r>
        <w:rPr>
          <w:rFonts w:ascii="Times New Roman" w:hAnsi="Times New Roman"/>
          <w:b w:val="false"/>
          <w:i w:val="false"/>
          <w:color w:val="000000"/>
          <w:sz w:val="21"/>
        </w:rPr>
        <w:t>[Filed 1/3/05, Notice 11/24/04—published 2/2/05, effective 3/9/05]</w:t>
      </w:r>
    </w:p>
    <w:p>
      <w:pPr>
        <w:spacing w:before="0" w:after="0"/>
        <w:ind w:left="120"/>
        <w:jc w:val="center"/>
      </w:pPr>
      <w:r>
        <w:rPr>
          <w:rFonts w:ascii="Times New Roman" w:hAnsi="Times New Roman"/>
          <w:b w:val="false"/>
          <w:i w:val="false"/>
          <w:color w:val="000000"/>
          <w:sz w:val="21"/>
        </w:rPr>
        <w:t>[Filed ARC 1371C</w:t>
      </w:r>
      <w:r>
        <w:rPr>
          <w:rFonts w:ascii="Times New Roman" w:hAnsi="Times New Roman"/>
          <w:b w:val="false"/>
          <w:i w:val="false"/>
          <w:color w:val="000000"/>
          <w:sz w:val="21"/>
        </w:rPr>
        <w:t xml:space="preserve"> (Notice ARC 1124C, IAB 10/16/13)</w:t>
      </w:r>
      <w:r>
        <w:rPr>
          <w:rFonts w:ascii="Times New Roman" w:hAnsi="Times New Roman"/>
          <w:b w:val="false"/>
          <w:i w:val="false"/>
          <w:color w:val="000000"/>
          <w:sz w:val="21"/>
        </w:rPr>
        <w:t>, IAB 3/19/14, effective 4/23/14]</w:t>
      </w:r>
    </w:p>
    <w:p>
      <w:pPr>
        <w:spacing w:before="0" w:after="0"/>
        <w:ind w:left="120"/>
        <w:jc w:val="center"/>
      </w:pPr>
      <w:r>
        <w:rPr>
          <w:rFonts w:ascii="Times New Roman" w:hAnsi="Times New Roman"/>
          <w:b w:val="false"/>
          <w:i w:val="false"/>
          <w:color w:val="000000"/>
          <w:sz w:val="21"/>
        </w:rPr>
        <w:t>[Filed ARC 7494C</w:t>
      </w:r>
      <w:r>
        <w:rPr>
          <w:rFonts w:ascii="Times New Roman" w:hAnsi="Times New Roman"/>
          <w:b w:val="false"/>
          <w:i w:val="false"/>
          <w:color w:val="000000"/>
          <w:sz w:val="21"/>
        </w:rPr>
        <w:t xml:space="preserve"> (Notice ARC 7113C, IAB 11/15/23)</w:t>
      </w:r>
      <w:r>
        <w:rPr>
          <w:rFonts w:ascii="Times New Roman" w:hAnsi="Times New Roman"/>
          <w:b w:val="false"/>
          <w:i w:val="false"/>
          <w:color w:val="000000"/>
          <w:sz w:val="21"/>
        </w:rPr>
        <w:t>, IAB 1/10/24, effective 2/14/24]</w:t>
      </w:r>
    </w:p>
    <w:p>
      <w:pPr>
        <w:spacing w:before="0" w:after="0"/>
        <w:ind w:left="120"/>
        <w:jc w:val="center"/>
      </w:pPr>
      <w:r>
        <w:rPr>
          <w:rFonts w:ascii="Times New Roman" w:hAnsi="Times New Roman"/>
          <w:b w:val="false"/>
          <w:i w:val="false"/>
          <w:color w:val="000000"/>
          <w:sz w:val="21"/>
        </w:rPr>
        <w:t>[Content rescinded by 2026 Iowa Acts, Senate File 2463, section 4—editorially removed in IAC Supplement 7/8/26, effective 7/1/26]</w:t>
      </w:r>
    </w:p>
    <w:sectPr>
      <w:footerReference r:id="rId13"/>
      <w:pgSz w:w="11907" w:h="16839" w:code="9"/>
      <w:pgMar w:top="1440" w:right="1440" w:bottom="1440" w:left="1440"/>
    </w:sectPr>
  </w:body>
</w:document>
</file>

<file path=word/footer.xml><?xml version="1.0" encoding="utf-8"?>
<w:ftr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m="http://schemas.openxmlformats.org/officeDocument/2006/math" xmlns:w14="http://schemas.microsoft.com/office/word/2010/wordml" xmlns:r="http://schemas.openxmlformats.org/officeDocument/2006/relationships" xmlns:wp="http://schemas.openxmlformats.org/drawingml/2006/wordprocessingDrawing" xmlns:a="http://schemas.openxmlformats.org/drawingml/2006/main" xmlns:wp14="http://schemas.microsoft.com/office/word/2010/wordprocessingDrawing" xmlns:w15="http://schemas.microsoft.com/office/word/2012/wordml" xmlns:mc="http://schemas.openxmlformats.org/markup-compatibility/2006" xmlns:a14="http://schemas.microsoft.com/office/drawing/2010/main"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8.pdf" Type="http://schemas.openxmlformats.org/officeDocument/2006/relationships/hyperlink" Id="rId5"/>
    <Relationship TargetMode="External" Target="https://www.legis.iowa.gov/docs/ico/chapter/384.16.pdf" Type="http://schemas.openxmlformats.org/officeDocument/2006/relationships/hyperlink" Id="rId6"/>
    <Relationship TargetMode="External" Target="https://www.legis.iowa.gov/docs/ico/chapter/331.pdf" Type="http://schemas.openxmlformats.org/officeDocument/2006/relationships/hyperlink" Id="rId7"/>
    <Relationship TargetMode="External" Target="https://www.legis.iowa.gov/docs/ico/chapter/24.pdf" Type="http://schemas.openxmlformats.org/officeDocument/2006/relationships/hyperlink" Id="rId8"/>
    <Relationship TargetMode="External" Target="https://www.legis.iowa.gov/docs/ico/chapter/384.13.pdf" Type="http://schemas.openxmlformats.org/officeDocument/2006/relationships/hyperlink" Id="rId9"/>
    <Relationship TargetMode="External" Target="https://www.legis.iowa.gov/docs/ico/chapter/333A.4.pdf" Type="http://schemas.openxmlformats.org/officeDocument/2006/relationships/hyperlink" Id="rId10"/>
    <Relationship TargetMode="External" Target="https://www.legis.iowa.gov/docs/ico/chapter/8.6.pdf" Type="http://schemas.openxmlformats.org/officeDocument/2006/relationships/hyperlink" Id="rId11"/>
    <Relationship TargetMode="External" Target="https://www.legis.iowa.gov/docs/ico/chapter/25.1.pdf" Type="http://schemas.openxmlformats.org/officeDocument/2006/relationships/hyperlink" Id="rId12"/>
    <Relationship Target="footer.xml" Type="http://schemas.openxmlformats.org/officeDocument/2006/relationships/footer" Id="rId1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