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MANDATORY IN-SERVICE AND SPECIALTY TRAINING REQUIREMENTS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501—8.1</w:t>
      </w:r>
      <w:r>
        <w:rPr>
          <w:rFonts w:ascii="Times New Roman" w:hAnsi="Times New Roman"/>
          <w:b/>
          <w:i w:val="false"/>
          <w:color w:val="000000"/>
          <w:sz w:val="22"/>
        </w:rPr>
        <w:t xml:space="preserve">(80B) </w:t>
      </w:r>
      <w:r>
        <w:rPr>
          <w:rFonts w:ascii="Times New Roman" w:hAnsi="Times New Roman"/>
          <w:b/>
          <w:i w:val="false"/>
          <w:color w:val="000000"/>
          <w:sz w:val="22"/>
        </w:rPr>
        <w:t xml:space="preserve">Mandatory in-service training requirements. </w:t>
      </w:r>
      <w:r>
        <w:rPr>
          <w:rFonts w:ascii="Times New Roman" w:hAnsi="Times New Roman"/>
          <w:b w:val="false"/>
          <w:i w:val="false"/>
          <w:color w:val="000000"/>
          <w:sz w:val="22"/>
        </w:rPr>
        <w:t xml:space="preserve">All regular law enforcement officers shall meet the following in-service training requirements. The elected or appointed official designated as the head of the agency employing the regular law enforcement officer shall ensure compliance with the training requirements listed.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color w:val="000000"/>
          <w:sz w:val="22"/>
        </w:rPr>
        <w:t xml:space="preserve">Mandatory training and certification requirements. </w:t>
      </w:r>
      <w:r>
        <w:rPr>
          <w:rFonts w:ascii="Times New Roman" w:hAnsi="Times New Roman"/>
          <w:b w:val="false"/>
          <w:i w:val="false"/>
          <w:color w:val="000000"/>
          <w:sz w:val="22"/>
        </w:rPr>
        <w:t>A regular law enforcement officer must receive in-service training from a course of study approved by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firearms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National crime information center (NCIC) certification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Hazard communications (OSHA Standard 1910.1200(h))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Hazardous materials (OSHA Standard 1910.120(q)(8)(i))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Bloodborne pathogens (OSHA Standard 1910.1030(g)(2))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 hour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Implicit bias/de-escalation training (Iowa Code section </w:t>
      </w:r>
      <w:hyperlink r:id="rId5">
        <w:r>
          <w:rPr>
            <w:rStyle w:val="Hyperlink"/>
            <w:rFonts w:ascii="Times New Roman" w:hAnsi="Times New Roman"/>
            <w:b w:val="false"/>
            <w:i w:val="false"/>
            <w:color w:val="000000"/>
            <w:sz w:val="22"/>
          </w:rPr>
          <w:t>80B.11G</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hours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health training (Iowa Code section </w:t>
      </w:r>
      <w:hyperlink r:id="rId6">
        <w:r>
          <w:rPr>
            <w:rStyle w:val="Hyperlink"/>
            <w:rFonts w:ascii="Times New Roman" w:hAnsi="Times New Roman"/>
            <w:b w:val="false"/>
            <w:i w:val="false"/>
            <w:color w:val="000000"/>
            <w:sz w:val="22"/>
          </w:rPr>
          <w:t>80B.11(1)</w:t>
        </w:r>
      </w:hyperlink>
      <w:r>
        <w:rPr>
          <w:rFonts w:ascii="Times New Roman" w:hAnsi="Times New Roman"/>
          <w:b w:val="false"/>
          <w:i/>
          <w:color w:val="000000"/>
          <w:sz w:val="22"/>
        </w:rPr>
        <w:t>“c”</w:t>
      </w:r>
      <w:r>
        <w:rPr>
          <w:rFonts w:ascii="Times New Roman" w:hAnsi="Times New Roman"/>
          <w:b w:val="false"/>
          <w:i w:val="false"/>
          <w:color w:val="000000"/>
          <w:sz w:val="22"/>
        </w:rPr>
        <w:t>(3))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 hour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Cardiopulmonary resuscitation (CPR), AED and foreign body airway obstruction for all age groups. (Standards defined by the International Liaison Committee on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Mandatory reporter training for child and dependent adult abuse provided by the department of human services (Iowa Code sections </w:t>
      </w:r>
      <w:hyperlink r:id="rId7">
        <w:r>
          <w:rPr>
            <w:rStyle w:val="Hyperlink"/>
            <w:rFonts w:ascii="Times New Roman" w:hAnsi="Times New Roman"/>
            <w:b w:val="false"/>
            <w:i w:val="false"/>
            <w:color w:val="000000"/>
            <w:sz w:val="22"/>
          </w:rPr>
          <w:t>232.69(1)</w:t>
        </w:r>
      </w:hyperlink>
      <w:r>
        <w:rPr>
          <w:rFonts w:ascii="Times New Roman" w:hAnsi="Times New Roman"/>
          <w:b w:val="false"/>
          <w:i/>
          <w:color w:val="000000"/>
          <w:sz w:val="22"/>
        </w:rPr>
        <w:t>“b”</w:t>
      </w:r>
      <w:r>
        <w:rPr>
          <w:rFonts w:ascii="Times New Roman" w:hAnsi="Times New Roman"/>
          <w:b w:val="false"/>
          <w:i w:val="false"/>
          <w:color w:val="000000"/>
          <w:sz w:val="22"/>
        </w:rPr>
        <w:t xml:space="preserve">(11), </w:t>
      </w:r>
      <w:hyperlink r:id="rId8">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235B.3(2)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A child abuse or dependent adult abuse training certificate relating to the identification and reporting of child abuse or dependent adult abuse issued prior to July 1, 2019, remains effective and continues in effect as issued for the five-year period following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color w:val="000000"/>
          <w:sz w:val="22"/>
        </w:rPr>
        <w:t xml:space="preserve">General training. </w:t>
      </w:r>
      <w:r>
        <w:rPr>
          <w:rFonts w:ascii="Times New Roman" w:hAnsi="Times New Roman"/>
          <w:b w:val="false"/>
          <w:i w:val="false"/>
          <w:color w:val="000000"/>
          <w:sz w:val="22"/>
        </w:rPr>
        <w:t xml:space="preserve">In addition to the requirements of </w:t>
      </w:r>
      <w:hyperlink r:id="rId11">
        <w:r>
          <w:rPr>
            <w:rStyle w:val="Hyperlink"/>
            <w:rFonts w:ascii="Times New Roman" w:hAnsi="Times New Roman"/>
            <w:b w:val="false"/>
            <w:i w:val="false"/>
            <w:color w:val="000000"/>
            <w:sz w:val="22"/>
          </w:rPr>
          <w:t>subrule 8.1(1)</w:t>
        </w:r>
      </w:hyperlink>
      <w:r>
        <w:rPr>
          <w:rFonts w:ascii="Times New Roman" w:hAnsi="Times New Roman"/>
          <w:b w:val="false"/>
          <w:i w:val="false"/>
          <w:color w:val="000000"/>
          <w:sz w:val="22"/>
        </w:rPr>
        <w:t>, a regular law enforcement officer must receive a minimum of 12 hours per year of law enforcement-related in-service training. Whether training is law enforcement-related shall be determined by the employing agency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501—8.2</w:t>
      </w:r>
      <w:r>
        <w:rPr>
          <w:rFonts w:ascii="Times New Roman" w:hAnsi="Times New Roman"/>
          <w:b/>
          <w:i w:val="false"/>
          <w:color w:val="000000"/>
          <w:sz w:val="22"/>
        </w:rPr>
        <w:t xml:space="preserve">(80B) </w:t>
      </w:r>
      <w:r>
        <w:rPr>
          <w:rFonts w:ascii="Times New Roman" w:hAnsi="Times New Roman"/>
          <w:b/>
          <w:i w:val="false"/>
          <w:color w:val="000000"/>
          <w:sz w:val="22"/>
        </w:rPr>
        <w:t xml:space="preserve">Instructors.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A peace officer instructor who instructs in a law enforcement-related training area, as determined by the law enforcement agency administrator, may receive hour-for-hour credit toward the in-service training requirement for the subject taught.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In-service training programs, specialized classes, or other courses of instruction that are not Iowa law enforcement academy instructor certifying schools, may be developed and instructed by any individual deemed qualified by the law enforcement agency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501—8.3</w:t>
      </w:r>
      <w:r>
        <w:rPr>
          <w:rFonts w:ascii="Times New Roman" w:hAnsi="Times New Roman"/>
          <w:b/>
          <w:i w:val="false"/>
          <w:color w:val="000000"/>
          <w:sz w:val="22"/>
        </w:rPr>
        <w:t xml:space="preserve">(80B) </w:t>
      </w:r>
      <w:r>
        <w:rPr>
          <w:rFonts w:ascii="Times New Roman" w:hAnsi="Times New Roman"/>
          <w:b/>
          <w:i w:val="false"/>
          <w:color w:val="000000"/>
          <w:sz w:val="22"/>
        </w:rPr>
        <w:t xml:space="preserve">In-service training requirements for former regular law enforcement officers who return to law enforcement. </w:t>
      </w:r>
      <w:r>
        <w:rPr>
          <w:rFonts w:ascii="Times New Roman" w:hAnsi="Times New Roman"/>
          <w:b w:val="false"/>
          <w:i w:val="false"/>
          <w:color w:val="000000"/>
          <w:sz w:val="22"/>
        </w:rPr>
        <w:t xml:space="preserve">Any individual who leaves and then returns to an Iowa law enforcement officer position must complete all requirements outlined in </w:t>
      </w:r>
      <w:hyperlink r:id="rId12">
        <w:r>
          <w:rPr>
            <w:rStyle w:val="Hyperlink"/>
            <w:rFonts w:ascii="Times New Roman" w:hAnsi="Times New Roman"/>
            <w:b w:val="false"/>
            <w:i w:val="false"/>
            <w:color w:val="000000"/>
            <w:sz w:val="22"/>
          </w:rPr>
          <w:t>subrule 8.1(1)</w:t>
        </w:r>
      </w:hyperlink>
      <w:r>
        <w:rPr>
          <w:rFonts w:ascii="Times New Roman" w:hAnsi="Times New Roman"/>
          <w:b w:val="false"/>
          <w:i w:val="false"/>
          <w:color w:val="000000"/>
          <w:sz w:val="22"/>
        </w:rPr>
        <w:t xml:space="preserve"> within one year of the individual’s hiring date. Additionally, the individual must complete additional general in-service requirements of law enforcement-related training as defined in </w:t>
      </w:r>
      <w:hyperlink r:id="rId13">
        <w:r>
          <w:rPr>
            <w:rStyle w:val="Hyperlink"/>
            <w:rFonts w:ascii="Times New Roman" w:hAnsi="Times New Roman"/>
            <w:b w:val="false"/>
            <w:i w:val="false"/>
            <w:color w:val="000000"/>
            <w:sz w:val="22"/>
          </w:rPr>
          <w:t>subrule 8.1(2)</w:t>
        </w:r>
      </w:hyperlink>
      <w:r>
        <w:rPr>
          <w:rFonts w:ascii="Times New Roman" w:hAnsi="Times New Roman"/>
          <w:b w:val="false"/>
          <w:i w:val="false"/>
          <w:color w:val="000000"/>
          <w:sz w:val="22"/>
        </w:rPr>
        <w:t xml:space="preserve"> plus the appropriate hours listed below:</w:t>
      </w:r>
    </w:p>
    <w:tbl>
      <w:tblPr>
        <w:tblW w:w="5000" w:type="pct"/>
        <w:tblCellSpacing w:w="0" w:type="auto"/>
        <w:tblBorders>
          <w:top w:val="none"/>
          <w:left w:val="none"/>
          <w:bottom w:val="none"/>
          <w:right w:val="none"/>
          <w:insideH w:val="none"/>
          <w:insideV w:val="none"/>
        </w:tblBorders>
        <w:tblLayout w:type="fixed"/>
      </w:tblPr>
      <w:tblGrid>
        <w:gridCol w:w="991"/>
        <w:gridCol w:w="3871"/>
        <w:gridCol w:w="876"/>
        <w:gridCol w:w="5022"/>
        <w:gridCol w:w="760"/>
      </w:tblGrid>
      <w:tr>
        <w:trPr>
          <w:trHeight w:val="210" w:hRule="atLeast"/>
        </w:trPr>
        <w:tc>
          <w:tcPr>
            <w:tcW w:w="9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Period Outside of Iowa Law Enforcement</w:t>
            </w:r>
          </w:p>
        </w:tc>
        <w:tc>
          <w:tcPr>
            <w:tcW w:w="8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In-Service Training Required</w:t>
            </w:r>
          </w:p>
        </w:tc>
        <w:tc>
          <w:tcPr>
            <w:tcW w:w="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9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12 months to 24 months</w:t>
            </w:r>
          </w:p>
        </w:tc>
        <w:tc>
          <w:tcPr>
            <w:tcW w:w="8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 hours</w:t>
            </w:r>
          </w:p>
        </w:tc>
        <w:tc>
          <w:tcPr>
            <w:tcW w:w="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9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24 months to 36 months</w:t>
            </w:r>
          </w:p>
        </w:tc>
        <w:tc>
          <w:tcPr>
            <w:tcW w:w="8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 hours</w:t>
            </w:r>
          </w:p>
        </w:tc>
        <w:tc>
          <w:tcPr>
            <w:tcW w:w="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9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36 months</w:t>
            </w:r>
          </w:p>
        </w:tc>
        <w:tc>
          <w:tcPr>
            <w:tcW w:w="8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 hours</w:t>
            </w:r>
          </w:p>
        </w:tc>
        <w:tc>
          <w:tcPr>
            <w:tcW w:w="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501—8.4</w:t>
      </w:r>
      <w:r>
        <w:rPr>
          <w:rFonts w:ascii="Times New Roman" w:hAnsi="Times New Roman"/>
          <w:b/>
          <w:i w:val="false"/>
          <w:color w:val="000000"/>
          <w:sz w:val="22"/>
        </w:rPr>
        <w:t xml:space="preserve">(80B) </w:t>
      </w:r>
      <w:r>
        <w:rPr>
          <w:rFonts w:ascii="Times New Roman" w:hAnsi="Times New Roman"/>
          <w:b/>
          <w:i w:val="false"/>
          <w:color w:val="000000"/>
          <w:sz w:val="22"/>
        </w:rPr>
        <w:t xml:space="preserve">Time frame—tolled. </w:t>
      </w:r>
      <w:r>
        <w:rPr>
          <w:rFonts w:ascii="Times New Roman" w:hAnsi="Times New Roman"/>
          <w:b w:val="false"/>
          <w:i w:val="false"/>
          <w:color w:val="000000"/>
          <w:sz w:val="22"/>
        </w:rPr>
        <w:t>The time frame requirements for completion of any mandatory training are tolled during the period a law enforcement officer is called to active military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501—8.5</w:t>
      </w:r>
      <w:r>
        <w:rPr>
          <w:rFonts w:ascii="Times New Roman" w:hAnsi="Times New Roman"/>
          <w:b/>
          <w:i w:val="false"/>
          <w:color w:val="000000"/>
          <w:sz w:val="22"/>
        </w:rPr>
        <w:t xml:space="preserve">(80F) </w:t>
      </w:r>
      <w:r>
        <w:rPr>
          <w:rFonts w:ascii="Times New Roman" w:hAnsi="Times New Roman"/>
          <w:b/>
          <w:i w:val="false"/>
          <w:color w:val="000000"/>
          <w:sz w:val="22"/>
        </w:rPr>
        <w:t xml:space="preserve">Training officers on interviewing/investigating an officer subject to a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employing full-time or part-time officers shall provide training to any officer or supervisor who performs or supervises an investigation under Iowa Code section </w:t>
      </w:r>
      <w:hyperlink r:id="rId14">
        <w:r>
          <w:rPr>
            <w:rStyle w:val="Hyperlink"/>
            <w:rFonts w:ascii="Times New Roman" w:hAnsi="Times New Roman"/>
            <w:b w:val="false"/>
            <w:i w:val="false"/>
            <w:color w:val="000000"/>
            <w:sz w:val="22"/>
          </w:rPr>
          <w:t>80F.1</w:t>
        </w:r>
      </w:hyperlink>
      <w:r>
        <w:rPr>
          <w:rFonts w:ascii="Times New Roman" w:hAnsi="Times New Roman"/>
          <w:b w:val="false"/>
          <w:i w:val="false"/>
          <w:color w:val="000000"/>
          <w:sz w:val="22"/>
        </w:rPr>
        <w:t xml:space="preserve"> and shall maintain documentation of completed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5">
        <w:r>
          <w:rPr>
            <w:rStyle w:val="Hyperlink"/>
            <w:rFonts w:ascii="Times New Roman" w:hAnsi="Times New Roman"/>
            <w:b w:val="false"/>
            <w:i w:val="false"/>
            <w:color w:val="000000"/>
            <w:sz w:val="22"/>
          </w:rPr>
          <w:t>80F.1(22)</w:t>
        </w:r>
      </w:hyperlink>
      <w:r>
        <w:rPr>
          <w:rFonts w:ascii="Times New Roman" w:hAnsi="Times New Roman"/>
          <w:b w:val="false"/>
          <w:i w:val="false"/>
          <w:color w:val="000000"/>
          <w:sz w:val="22"/>
        </w:rPr>
        <w:t xml:space="preserve">, a peace officer or supervisor who performs or supervises an investigation of an officer who is the subject of a complaint shall receive a minimum of two hours of training on the fundamentals of interviewing. It is recommended that a peace officer who performs active investigations of officers who are the subject of complaints also receive additional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6">
        <w:r>
          <w:rPr>
            <w:rStyle w:val="Hyperlink"/>
            <w:rFonts w:ascii="Times New Roman" w:hAnsi="Times New Roman"/>
            <w:b w:val="false"/>
            <w:i w:val="false"/>
            <w:color w:val="000000"/>
            <w:sz w:val="22"/>
          </w:rPr>
          <w:t>80F.1(22)</w:t>
        </w:r>
      </w:hyperlink>
      <w:r>
        <w:rPr>
          <w:rFonts w:ascii="Times New Roman" w:hAnsi="Times New Roman"/>
          <w:b w:val="false"/>
          <w:i w:val="false"/>
          <w:color w:val="000000"/>
          <w:sz w:val="22"/>
        </w:rPr>
        <w:t>, a peace officer or supervisor who performs or supervises an investigation of an officer who is the subject of a complaint shall complete a minimum of two hours of training on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 public safety, and emergency personnel bill of rights (Iowa Code section </w:t>
      </w:r>
      <w:hyperlink r:id="rId17">
        <w:r>
          <w:rPr>
            <w:rStyle w:val="Hyperlink"/>
            <w:rFonts w:ascii="Times New Roman" w:hAnsi="Times New Roman"/>
            <w:b w:val="false"/>
            <w:i w:val="false"/>
            <w:color w:val="000000"/>
            <w:sz w:val="22"/>
          </w:rPr>
          <w:t>80F.1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Garrity warning (</w:t>
      </w:r>
      <w:r>
        <w:rPr>
          <w:rFonts w:ascii="Times New Roman" w:hAnsi="Times New Roman"/>
          <w:b w:val="false"/>
          <w:i/>
          <w:color w:val="000000"/>
          <w:sz w:val="22"/>
        </w:rPr>
        <w:t>Garrity v. New Jersey</w:t>
      </w:r>
      <w:r>
        <w:rPr>
          <w:rFonts w:ascii="Times New Roman" w:hAnsi="Times New Roman"/>
          <w:b w:val="false"/>
          <w:i w:val="false"/>
          <w:color w:val="000000"/>
          <w:sz w:val="22"/>
        </w:rPr>
        <w:t>, 385 U.S. 493 (1967)).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Peace officer disciplinary hearing (with applicable agency policy).</w:t>
      </w:r>
    </w:p>
    <w:p>
      <w:pPr>
        <w:spacing w:before="0" w:after="0"/>
        <w:ind w:left="120"/>
        <w:jc w:val="both"/>
      </w:pPr>
      <w:r>
        <w:rPr>
          <w:rFonts w:ascii="Times New Roman" w:hAnsi="Times New Roman"/>
          <w:b w:val="false"/>
          <w:i w:val="false"/>
          <w:color w:val="000000"/>
          <w:sz w:val="22"/>
        </w:rPr>
        <w:t xml:space="preserve">The training required under this subrule shall be conducted by a licensed attorney familiar with Iowa law. It is recommended that a peace officer who performs active investigations of officers who are the subject of complaints also receive additional training.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80B.11G</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80F.1(21)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11/17/88, Notice 9/7/88—published 12/14/88, effective 1/18/89]</w:t>
      </w:r>
    </w:p>
    <w:p>
      <w:pPr>
        <w:spacing w:before="0" w:after="0"/>
        <w:ind w:left="120"/>
        <w:jc w:val="center"/>
      </w:pPr>
      <w:r>
        <w:rPr>
          <w:rFonts w:ascii="Times New Roman" w:hAnsi="Times New Roman"/>
          <w:b w:val="false"/>
          <w:i w:val="false"/>
          <w:color w:val="000000"/>
          <w:sz w:val="21"/>
        </w:rPr>
        <w:t>[Filed emergency 3/5/91—published 4/3/91, effective 3/5/91]</w:t>
      </w:r>
    </w:p>
    <w:p>
      <w:pPr>
        <w:spacing w:before="0" w:after="0"/>
        <w:ind w:left="120"/>
        <w:jc w:val="center"/>
      </w:pPr>
      <w:r>
        <w:rPr>
          <w:rFonts w:ascii="Times New Roman" w:hAnsi="Times New Roman"/>
          <w:b w:val="false"/>
          <w:i w:val="false"/>
          <w:color w:val="000000"/>
          <w:sz w:val="21"/>
        </w:rPr>
        <w:t>[Filed 1/20/06, Notice 10/26/05—published 2/15/06, effective 3/22/06]</w:t>
      </w:r>
    </w:p>
    <w:p>
      <w:pPr>
        <w:spacing w:before="0" w:after="0"/>
        <w:ind w:left="120"/>
        <w:jc w:val="center"/>
      </w:pPr>
      <w:r>
        <w:rPr>
          <w:rFonts w:ascii="Times New Roman" w:hAnsi="Times New Roman"/>
          <w:b w:val="false"/>
          <w:i w:val="false"/>
          <w:color w:val="000000"/>
          <w:sz w:val="21"/>
        </w:rPr>
        <w:t>[Filed ARC 0962C</w:t>
      </w:r>
      <w:r>
        <w:rPr>
          <w:rFonts w:ascii="Times New Roman" w:hAnsi="Times New Roman"/>
          <w:b w:val="false"/>
          <w:i w:val="false"/>
          <w:color w:val="000000"/>
          <w:sz w:val="21"/>
        </w:rPr>
        <w:t xml:space="preserve"> (Notice ARC 0782C, IAB 6/12/13)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5006C</w:t>
      </w:r>
      <w:r>
        <w:rPr>
          <w:rFonts w:ascii="Times New Roman" w:hAnsi="Times New Roman"/>
          <w:b w:val="false"/>
          <w:i w:val="false"/>
          <w:color w:val="000000"/>
          <w:sz w:val="21"/>
        </w:rPr>
        <w:t xml:space="preserve"> (Notice ARC 4866C, IAB 1/15/20)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5572C</w:t>
      </w:r>
      <w:r>
        <w:rPr>
          <w:rFonts w:ascii="Times New Roman" w:hAnsi="Times New Roman"/>
          <w:b w:val="false"/>
          <w:i w:val="false"/>
          <w:color w:val="000000"/>
          <w:sz w:val="21"/>
        </w:rPr>
        <w:t xml:space="preserve"> (Notice ARC 5402C, IAB 1/27/21)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6264C</w:t>
      </w:r>
      <w:r>
        <w:rPr>
          <w:rFonts w:ascii="Times New Roman" w:hAnsi="Times New Roman"/>
          <w:b w:val="false"/>
          <w:i w:val="false"/>
          <w:color w:val="000000"/>
          <w:sz w:val="21"/>
        </w:rPr>
        <w:t xml:space="preserve"> (Notice ARC 6154C, IAB 1/26/22)</w:t>
      </w:r>
      <w:r>
        <w:rPr>
          <w:rFonts w:ascii="Times New Roman" w:hAnsi="Times New Roman"/>
          <w:b w:val="false"/>
          <w:i w:val="false"/>
          <w:color w:val="000000"/>
          <w:sz w:val="21"/>
        </w:rPr>
        <w:t>, IAB 3/23/22, effective 4/27/22]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B.11G.pdf" Type="http://schemas.openxmlformats.org/officeDocument/2006/relationships/hyperlink" Id="rId5"/>
    <Relationship TargetMode="External" Target="https://www.legis.iowa.gov/docs/ico/chapter/80B.11.pdf" Type="http://schemas.openxmlformats.org/officeDocument/2006/relationships/hyperlink" Id="rId6"/>
    <Relationship TargetMode="External" Target="https://www.legis.iowa.gov/docs/ico/chapter/232.69.pdf" Type="http://schemas.openxmlformats.org/officeDocument/2006/relationships/hyperlink" Id="rId7"/>
    <Relationship TargetMode="External" Target="https://www.legis.iowa.gov/docs/ico/chapter/232.69.pdf" Type="http://schemas.openxmlformats.org/officeDocument/2006/relationships/hyperlink" Id="rId8"/>
    <Relationship TargetMode="External" Target="https://www.legis.iowa.gov/docs/ico/chapter/235B.3.pdf" Type="http://schemas.openxmlformats.org/officeDocument/2006/relationships/hyperlink" Id="rId9"/>
    <Relationship TargetMode="External" Target="https://www.legis.iowa.gov/docs/ico/chapter/235B.16.pdf" Type="http://schemas.openxmlformats.org/officeDocument/2006/relationships/hyperlink" Id="rId10"/>
    <Relationship TargetMode="External" Target="https://www.legis.iowa.gov/docs/iac/rule/501.8.1.pdf" Type="http://schemas.openxmlformats.org/officeDocument/2006/relationships/hyperlink" Id="rId11"/>
    <Relationship TargetMode="External" Target="https://www.legis.iowa.gov/docs/iac/rule/501.8.1.pdf" Type="http://schemas.openxmlformats.org/officeDocument/2006/relationships/hyperlink" Id="rId12"/>
    <Relationship TargetMode="External" Target="https://www.legis.iowa.gov/docs/iac/rule/501.8.1.pdf" Type="http://schemas.openxmlformats.org/officeDocument/2006/relationships/hyperlink" Id="rId13"/>
    <Relationship TargetMode="External" Target="https://www.legis.iowa.gov/docs/ico/chapter/80F.1.pdf" Type="http://schemas.openxmlformats.org/officeDocument/2006/relationships/hyperlink" Id="rId14"/>
    <Relationship TargetMode="External" Target="https://www.legis.iowa.gov/docs/ico/chapter/80F.1.pdf" Type="http://schemas.openxmlformats.org/officeDocument/2006/relationships/hyperlink" Id="rId15"/>
    <Relationship TargetMode="External" Target="https://www.legis.iowa.gov/docs/ico/chapter/80F.1.pdf" Type="http://schemas.openxmlformats.org/officeDocument/2006/relationships/hyperlink" Id="rId16"/>
    <Relationship TargetMode="External" Target="https://www.legis.iowa.gov/docs/ico/chapter/80F.1.pdf" Type="http://schemas.openxmlformats.org/officeDocument/2006/relationships/hyperlink" Id="rId17"/>
    <Relationship TargetMode="External" Target="https://www.legis.iowa.gov/docs/ico/chapter/80B.11.pdf" Type="http://schemas.openxmlformats.org/officeDocument/2006/relationships/hyperlink" Id="rId18"/>
    <Relationship TargetMode="External" Target="https://www.legis.iowa.gov/docs/ico/chapter/80B.11G.pdf" Type="http://schemas.openxmlformats.org/officeDocument/2006/relationships/hyperlink" Id="rId19"/>
    <Relationship TargetMode="External" Target="https://www.legis.iowa.gov/docs/ico/chapter/80F.1.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