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DECERTIFICATION</w:t>
      </w:r>
    </w:p>
    <w:p>
      <w:pPr>
        <w:spacing w:before="0" w:after="0"/>
        <w:ind w:left="120"/>
        <w:jc w:val="center"/>
      </w:pPr>
      <w:r>
        <w:rPr>
          <w:rFonts w:ascii="Times New Roman" w:hAnsi="Times New Roman"/>
          <w:b w:val="false"/>
          <w:i w:val="false"/>
          <w:color w:val="000000"/>
          <w:sz w:val="14"/>
        </w:rPr>
        <w:t>[Ch 6 re Organization and Administration transferred to Ch 1, 4/10/85 IAC]</w:t>
      </w:r>
    </w:p>
    <w:p>
      <w:pPr>
        <w:spacing w:before="0" w:after="0"/>
        <w:ind w:left="120"/>
        <w:jc w:val="center"/>
      </w:pPr>
      <w:r>
        <w:rPr>
          <w:rFonts w:ascii="Times New Roman" w:hAnsi="Times New Roman"/>
          <w:b w:val="false"/>
          <w:i w:val="false"/>
          <w:color w:val="000000"/>
          <w:sz w:val="14"/>
        </w:rPr>
        <w:t>[Prior to 3/11/87, Law Enforcement Academy[550]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501—6.1</w:t>
      </w:r>
      <w:r>
        <w:rPr>
          <w:rFonts w:ascii="Times New Roman" w:hAnsi="Times New Roman"/>
          <w:b/>
          <w:i w:val="false"/>
          <w:color w:val="000000"/>
          <w:sz w:val="22"/>
        </w:rPr>
        <w:t xml:space="preserve">(80B) </w:t>
      </w:r>
      <w:r>
        <w:rPr>
          <w:rFonts w:ascii="Times New Roman" w:hAnsi="Times New Roman"/>
          <w:b/>
          <w:i w:val="false"/>
          <w:color w:val="000000"/>
          <w:sz w:val="22"/>
        </w:rPr>
        <w:t xml:space="preserve">Scope of rules. </w:t>
      </w:r>
      <w:r>
        <w:rPr>
          <w:rFonts w:ascii="Times New Roman" w:hAnsi="Times New Roman"/>
          <w:b w:val="false"/>
          <w:i w:val="false"/>
          <w:color w:val="000000"/>
          <w:sz w:val="22"/>
        </w:rPr>
        <w:t xml:space="preserve">The rules contained in this chapter pertaining to practices and procedures are designed to implement the requirements of Iowa Code chapters </w:t>
      </w:r>
      <w:hyperlink r:id="rId5">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These rules shall govern the practice, procedures, and conduct of contested case proceedings held in the revocation of a law enforcement officer’s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501—6.2</w:t>
      </w:r>
      <w:r>
        <w:rPr>
          <w:rFonts w:ascii="Times New Roman" w:hAnsi="Times New Roman"/>
          <w:b/>
          <w:i w:val="false"/>
          <w:color w:val="000000"/>
          <w:sz w:val="22"/>
        </w:rPr>
        <w:t xml:space="preserve">(80B,80D) </w:t>
      </w:r>
      <w:r>
        <w:rPr>
          <w:rFonts w:ascii="Times New Roman" w:hAnsi="Times New Roman"/>
          <w:b/>
          <w:i w:val="false"/>
          <w:color w:val="000000"/>
          <w:sz w:val="22"/>
        </w:rPr>
        <w:t xml:space="preserve">Grounds for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w:t>
      </w:r>
      <w:r>
        <w:rPr>
          <w:rFonts w:ascii="Times New Roman" w:hAnsi="Times New Roman"/>
          <w:b w:val="false"/>
          <w:i w:val="false"/>
          <w:color w:val="000000"/>
          <w:sz w:val="22"/>
        </w:rPr>
        <w:t> </w:t>
      </w:r>
      <w:r>
        <w:rPr>
          <w:rFonts w:ascii="Times New Roman" w:hAnsi="Times New Roman"/>
          <w:b w:val="false"/>
          <w:i/>
          <w:color w:val="000000"/>
          <w:sz w:val="22"/>
        </w:rPr>
        <w:t xml:space="preserve">Mandatory revocation. </w:t>
      </w:r>
      <w:r>
        <w:rPr>
          <w:rFonts w:ascii="Times New Roman" w:hAnsi="Times New Roman"/>
          <w:b w:val="false"/>
          <w:i w:val="false"/>
          <w:color w:val="000000"/>
          <w:sz w:val="22"/>
        </w:rPr>
        <w:t>The council shall revoke a law enforcement officer’s certification or a reserve peace officer’s certification upon a finding that the law enforcement officer or reserve peace officer has done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law enforcement officer or reserve peace officer pled guilty to or was convicted of a felony;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law enforcement officer or reserve peace officer manufactured, sold, or conspired to manufacture or sell an illegal drug other than an authorized act in connection with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law enforcement officer or reserve peace officer pled guilty to or was convicted of a crime constituting a misdemeanor crime of domestic violence or other domestic abuse including other offenses or lesser included offenses stemming from domestic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law enforcement officer or reserve peace officer pled guilty to or was convicted of any offense classified as a tier I, tier II, or tier III sex offense in Iowa Code chapter </w:t>
      </w:r>
      <w:hyperlink r:id="rId7">
        <w:r>
          <w:rPr>
            <w:rStyle w:val="Hyperlink"/>
            <w:rFonts w:ascii="Times New Roman" w:hAnsi="Times New Roman"/>
            <w:b w:val="false"/>
            <w:i w:val="false"/>
            <w:color w:val="000000"/>
            <w:sz w:val="22"/>
          </w:rPr>
          <w:t>692A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law enforcement officer or reserve peace officer was discharged for serious misconduct, as defined by Iowa Code section </w:t>
      </w:r>
      <w:hyperlink r:id="rId8">
        <w:r>
          <w:rPr>
            <w:rStyle w:val="Hyperlink"/>
            <w:rFonts w:ascii="Times New Roman" w:hAnsi="Times New Roman"/>
            <w:b w:val="false"/>
            <w:i w:val="false"/>
            <w:color w:val="000000"/>
            <w:sz w:val="22"/>
          </w:rPr>
          <w:t>80B.13A(1)</w:t>
        </w:r>
      </w:hyperlink>
      <w:r>
        <w:rPr>
          <w:rFonts w:ascii="Times New Roman" w:hAnsi="Times New Roman"/>
          <w:b w:val="false"/>
          <w:i/>
          <w:color w:val="000000"/>
          <w:sz w:val="22"/>
        </w:rPr>
        <w:t>“b,”</w:t>
      </w:r>
      <w:r>
        <w:rPr>
          <w:rFonts w:ascii="Times New Roman" w:hAnsi="Times New Roman"/>
          <w:b w:val="false"/>
          <w:i w:val="false"/>
          <w:color w:val="000000"/>
          <w:sz w:val="22"/>
        </w:rPr>
        <w:t xml:space="preserve"> from employment as a law enforcement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law enforcement officer or reserve peace officer left, voluntarily quit, or was laid off when disciplinary investigation or action was imminent or pending which could have resulted in the law enforcement officer being discharged or the reserve officer being removed for serious misconduct, if the council determined that the officer engaged in serious misconduct;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law enforcement officer or reserve peace officer was convicted or pled guilty to any offense under prior laws of this state or another jurisdiction, or any offense under prior law that was prosecuted in a federal, military, or foreign court, that is comparable to an offense listed in paragraphs </w:t>
      </w:r>
      <w:hyperlink r:id="rId9">
        <w:r>
          <w:rPr>
            <w:rStyle w:val="Hyperlink"/>
            <w:rFonts w:ascii="Times New Roman" w:hAnsi="Times New Roman"/>
            <w:b w:val="false"/>
            <w:i w:val="false"/>
            <w:color w:val="000000"/>
            <w:sz w:val="22"/>
          </w:rPr>
          <w:t>6.2(1)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w:t>
      </w:r>
      <w:r>
        <w:rPr>
          <w:rFonts w:ascii="Times New Roman" w:hAnsi="Times New Roman"/>
          <w:b w:val="false"/>
          <w:i w:val="false"/>
          <w:color w:val="000000"/>
          <w:sz w:val="22"/>
        </w:rPr>
        <w:t> </w:t>
      </w:r>
      <w:r>
        <w:rPr>
          <w:rFonts w:ascii="Times New Roman" w:hAnsi="Times New Roman"/>
          <w:b w:val="false"/>
          <w:i/>
          <w:color w:val="000000"/>
          <w:sz w:val="22"/>
        </w:rPr>
        <w:t xml:space="preserve">Discretionary revocation. </w:t>
      </w:r>
      <w:r>
        <w:rPr>
          <w:rFonts w:ascii="Times New Roman" w:hAnsi="Times New Roman"/>
          <w:b w:val="false"/>
          <w:i w:val="false"/>
          <w:color w:val="000000"/>
          <w:sz w:val="22"/>
        </w:rPr>
        <w:t>The director or the director’s designee shall have the authority to conduct a preliminary inquiry and shall have the authority to determine which matters shall be referred to the council for consideration. The council, at its discretion, may revoke or suspend a law enforcement officer’s or a reserve peace officer’s certification under any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law enforcement officer or reserve peace officer has been discharged for “good cause” from employment as a law enforcement officer or from appointment as a reserve peace officer.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law enforcement officer or reserve peace officer leaves, voluntarily quits, or the officer’s position is eliminated when disciplinary action was imminent or pending which could have resulted in the law enforcement officer being discharged or the reserve peace officer being removed for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law enforcement officer’s or reserve peace officer’s current or former employing agency recommends to the council that revocation or suspension would be appropriate with regard to a current or former employee. A recommendation by the law enforcement officer’s or reserve peace officer’s current or former employing agency must be in writing and set forth the reasons why the action is being recommended, the findings of the employing agency concerning the matter, the action taken by the employing agency, and that the action by the agency is final. Upon such a recommendation, the law enforcement officer’s or reserve peace officer’s current or former employing agency shall provide the Iowa law enforcement academy the following materials within ten days of the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law enforcement officer’s or reserve peace officer’s personnel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employing agency’s internal investigative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materials the employing agency used in the determination to make its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law enforcement officer or reserve peace officer is recommended for revocation or suspension by the attorney general to the council pursuant to Iowa Code section </w:t>
      </w:r>
      <w:hyperlink r:id="rId10">
        <w:r>
          <w:rPr>
            <w:rStyle w:val="Hyperlink"/>
            <w:rFonts w:ascii="Times New Roman" w:hAnsi="Times New Roman"/>
            <w:b w:val="false"/>
            <w:i w:val="false"/>
            <w:color w:val="000000"/>
            <w:sz w:val="22"/>
          </w:rPr>
          <w:t>13.12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law enforcement officer or reserve peace officer: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Makes, tenders, or certifies to a material false statement in a document prescribed by the academy or otherwise provided for or authorized by these rules, or in any other document intended to induce the academy or the council to take or withhold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Falsifies or makes misrepresentations on an employment application submitted to any Iowa law enforcement agency or any other public document required to be completed by the officer.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Testifies falsely in any court of law or administrative hearing about a material issue with the intent to deceive.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Commits any act of moral turpitude as defined in </w:t>
      </w:r>
      <w:hyperlink r:id="rId11">
        <w:r>
          <w:rPr>
            <w:rStyle w:val="Hyperlink"/>
            <w:rFonts w:ascii="Times New Roman" w:hAnsi="Times New Roman"/>
            <w:b w:val="false"/>
            <w:i w:val="false"/>
            <w:color w:val="000000"/>
            <w:sz w:val="22"/>
          </w:rPr>
          <w:t>501—subrule 2.1(5)</w:t>
        </w:r>
      </w:hyperlink>
      <w:r>
        <w:rPr>
          <w:rFonts w:ascii="Times New Roman" w:hAnsi="Times New Roman"/>
          <w:b w:val="false"/>
          <w:i w:val="false"/>
          <w:color w:val="000000"/>
          <w:sz w:val="22"/>
        </w:rPr>
        <w:t>. A copy of the record of conviction of or plea of guilty to a crime of moral turpitude shall be conclusive evidence; however, a conviction or plea of guilty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Uses or possesses an illegal substance other than in connection with official duties.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Fails to comply with the requirements of </w:t>
      </w:r>
      <w:hyperlink r:id="rId12">
        <w:r>
          <w:rPr>
            <w:rStyle w:val="Hyperlink"/>
            <w:rFonts w:ascii="Times New Roman" w:hAnsi="Times New Roman"/>
            <w:b w:val="false"/>
            <w:i w:val="false"/>
            <w:color w:val="000000"/>
            <w:sz w:val="22"/>
          </w:rPr>
          <w:t>501—Chapters 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relative to in-service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Is decertified in any other state where the law enforcement officer or reserve peace officer may be certified.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law enforcement officer has failed to reimburse the employing agency for costs incurred by that agency, including fees paid to the academy, clothing vendor costs, meal costs, uniform/equipment costs, and the officer’s salary paid during the academy if the officer leaves that agency and is employed by another law enforcement agency within a period of four years following completion of the certification training, under the following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agreement or contract of employment must be entered into by the officer and the employing agency contemporaneously with the date of employment. The agreement shall specifically provide for the reimbursement to the employing agency by the officer of the costs of training incurred by the employing agency, including fees paid to the Iowa law enforcement academy, clothing vendor costs, meal costs, uniform/equipment costs, and the officer’s salary paid during the academy. The agreement must: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Specify the amount of reimbursement that the officer agrees to pay;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Set forth the time period within which this reimbursement will be made, which shall be on a declining scale similar to the provisions of Iowa Code section </w:t>
      </w:r>
      <w:hyperlink r:id="rId14">
        <w:r>
          <w:rPr>
            <w:rStyle w:val="Hyperlink"/>
            <w:rFonts w:ascii="Times New Roman" w:hAnsi="Times New Roman"/>
            <w:b w:val="false"/>
            <w:i w:val="false"/>
            <w:color w:val="000000"/>
            <w:sz w:val="22"/>
          </w:rPr>
          <w:t>384.15(7)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Contain a statement that if reimbursement is not made in accordance with the agreement, the officer understands that the employing agency may at its option seek the officer’s decertification as an Iowa law enforcement officer; and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Contain a provision to the effect that the agreement or contract of employment is for bona fide employment of the officer and not for the purpose of achieving certification for the officer by way of “sponsorship” through the academy.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recommendation for decertification must be verified under oath by the administrator of the employing agency with which the officer contracted under this rule. The recommendation for decertification must contain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Have attached a copy of the agreement referred to in subparagraph </w:t>
      </w:r>
      <w:hyperlink r:id="rId15">
        <w:r>
          <w:rPr>
            <w:rStyle w:val="Hyperlink"/>
            <w:rFonts w:ascii="Times New Roman" w:hAnsi="Times New Roman"/>
            <w:b w:val="false"/>
            <w:i w:val="false"/>
            <w:color w:val="000000"/>
            <w:sz w:val="22"/>
          </w:rPr>
          <w:t>6.2(2)</w:t>
        </w:r>
      </w:hyperlink>
      <w:r>
        <w:rPr>
          <w:rFonts w:ascii="Times New Roman" w:hAnsi="Times New Roman"/>
          <w:b w:val="false"/>
          <w:i/>
          <w:color w:val="000000"/>
          <w:sz w:val="22"/>
        </w:rPr>
        <w:t>“f”</w:t>
      </w:r>
      <w:r>
        <w:rPr>
          <w:rFonts w:ascii="Times New Roman" w:hAnsi="Times New Roman"/>
          <w:b w:val="false"/>
          <w:i w:val="false"/>
          <w:color w:val="000000"/>
          <w:sz w:val="22"/>
        </w:rPr>
        <w:t xml:space="preserve">(1) above;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Include an order of judgment from a small claims or civil court;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State that the officer has not made reimbursement to the employing agency as provided in the agreement, and clearly describe the nature of the default;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List an accounting of all payments made by the officer to the employing agency under the agreement, and specify the balance due;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State that written notice of the default or judgment has been given to the officer, that the officer has been provided opportunity to correct the default, and that there remains no reasonable alternative to decertification;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Specifically recommend that the council commence proceedings to decertify the officer, and state that the employing agency will do all things necessary to cooperate in this effort; and </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Set out the last-known address of the officer, the officer’s telephone number, and the officer’s last-known place of employment.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recommendation for decertification must be submitted to the academy not more than one year after the date of the officer’s default, unless the council, upon written application and for good cause shown, grants further time in which to submit the recommendation.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 xml:space="preserve">; </w:t>
      </w:r>
      <w:r>
        <w:rPr>
          <w:rFonts w:ascii="Times New Roman" w:hAnsi="Times New Roman"/>
          <w:b/>
          <w:i w:val="false"/>
          <w:color w:val="000000"/>
          <w:sz w:val="16"/>
        </w:rPr>
        <w:t>ARC 5572C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501—6.3</w:t>
      </w:r>
      <w:r>
        <w:rPr>
          <w:rFonts w:ascii="Times New Roman" w:hAnsi="Times New Roman"/>
          <w:b/>
          <w:i w:val="false"/>
          <w:color w:val="000000"/>
          <w:sz w:val="22"/>
        </w:rPr>
        <w:t xml:space="preserve">(80B,17A)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time and filing of documents. </w:t>
      </w:r>
      <w:r>
        <w:rPr>
          <w:rFonts w:ascii="Times New Roman" w:hAnsi="Times New Roman"/>
          <w:b w:val="false"/>
          <w:i w:val="false"/>
          <w:color w:val="000000"/>
          <w:sz w:val="22"/>
        </w:rPr>
        <w:t xml:space="preserve">The computation of time and filing of documents shall be in compliance with Iowa Code section </w:t>
      </w:r>
      <w:hyperlink r:id="rId16">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color w:val="000000"/>
          <w:sz w:val="22"/>
        </w:rPr>
        <w:t xml:space="preserve">Service—when required. </w:t>
      </w:r>
      <w:r>
        <w:rPr>
          <w:rFonts w:ascii="Times New Roman" w:hAnsi="Times New Roman"/>
          <w:b w:val="false"/>
          <w:i w:val="false"/>
          <w:color w:val="000000"/>
          <w:sz w:val="22"/>
        </w:rPr>
        <w:t xml:space="preserve">Except where otherwise provided by law, every document filed in a contested case proceeding shall be served upon each of the parties of record to the proceeding, simultaneously with its filing. Except for the original notice of hearing and an application for rehearing as provided in Iowa Code section </w:t>
      </w:r>
      <w:hyperlink r:id="rId17">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documents in a contested case proceeding shall be filed with the council at Iowa Law Enforcement Academy, Camp Dodge, Johnston, Iowa 50131. All documents that are required to be served upon a party shall be filed simultaneously with the council and, if the presiding officer is not the council, at a location designated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council,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w:t>
      </w:r>
    </w:p>
    <w:p>
      <w:pPr>
        <w:spacing w:before="0" w:after="0"/>
        <w:ind w:left="480"/>
        <w:jc w:val="both"/>
      </w:pPr>
      <w:r>
        <w:rPr>
          <w:rFonts w:ascii="Times New Roman" w:hAnsi="Times New Roman"/>
          <w:b w:val="false"/>
          <w:i w:val="false"/>
          <w:color w:val="000000"/>
          <w:sz w:val="22"/>
        </w:rPr>
        <w:t>I certify under penalty of perjury and pursuant to the laws of Iowa that, on (date of mailing), I mailed copies of (document description) addressed to the (agency office and address) and to the names and addresses of the parties listed below by depositing the same in (a United States post office mailbox with correct postage properly affixed or state interoffice mail).</w:t>
      </w:r>
      <w:r>
        <w:br/>
      </w:r>
      <w:r>
        <w:rPr>
          <w:rFonts w:ascii="Times New Roman" w:hAnsi="Times New Roman"/>
          <w:b w:val="false"/>
          <w:i w:val="false"/>
          <w:color w:val="000000"/>
          <w:sz w:val="22"/>
        </w:rPr>
        <w:t>(Date)</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(Signature)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501—6.4</w:t>
      </w:r>
      <w:r>
        <w:rPr>
          <w:rFonts w:ascii="Times New Roman" w:hAnsi="Times New Roman"/>
          <w:b/>
          <w:i w:val="false"/>
          <w:color w:val="000000"/>
          <w:sz w:val="22"/>
        </w:rPr>
        <w:t xml:space="preserve">(80B,17A) </w:t>
      </w:r>
      <w:r>
        <w:rPr>
          <w:rFonts w:ascii="Times New Roman" w:hAnsi="Times New Roman"/>
          <w:b/>
          <w:i w:val="false"/>
          <w:color w:val="000000"/>
          <w:sz w:val="22"/>
        </w:rPr>
        <w:t xml:space="preserve">Prehearing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color w:val="000000"/>
          <w:sz w:val="22"/>
        </w:rPr>
        <w:t xml:space="preserve">Council subpoenas. </w:t>
      </w:r>
      <w:r>
        <w:rPr>
          <w:rFonts w:ascii="Times New Roman" w:hAnsi="Times New Roman"/>
          <w:b w:val="false"/>
          <w:i w:val="false"/>
          <w:color w:val="000000"/>
          <w:sz w:val="22"/>
        </w:rPr>
        <w:t xml:space="preserve">Prior to the commencement of a contested case, the council may exercise the authority to subpoena books, papers, and records and shall have all other subpoena powers conferred upon it by law.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color w:val="000000"/>
          <w:sz w:val="22"/>
        </w:rPr>
        <w:t xml:space="preserve">Commencement of contested case proceedings. </w:t>
      </w:r>
      <w:r>
        <w:rPr>
          <w:rFonts w:ascii="Times New Roman" w:hAnsi="Times New Roman"/>
          <w:b w:val="false"/>
          <w:i w:val="false"/>
          <w:color w:val="000000"/>
          <w:sz w:val="22"/>
        </w:rPr>
        <w:t>Contested case proceedings shall be commenced by the delivery of a notice by the council or its designee requiring the affected law enforcement officer to appear and show cause as to why certification to be a law enforcement officer in the state of Iowa should not be revoked or suspended. Notice may be given in the same manner as the service of original notice as provided in the Iowa Rules of Civil Procedure; by certified restricted mail, return receipt requested; by signed acknowledgment accepting service; or, when service cannot be accomplished using the aforementioned methods, notice of hearing shall be published once each week for three consecutive weeks in a newspaper of general circulation, published or circulated in the county of last-known residence of the affected law enforcement officer. The first notice of hearing shall be published at least 30 days prior to the scheduled hearing.</w:t>
      </w:r>
    </w:p>
    <w:p>
      <w:pPr>
        <w:spacing w:before="0" w:after="0"/>
        <w:ind w:left="120"/>
        <w:jc w:val="both"/>
      </w:pPr>
      <w:r>
        <w:rPr>
          <w:rFonts w:ascii="Times New Roman" w:hAnsi="Times New Roman"/>
          <w:b w:val="false"/>
          <w:i w:val="false"/>
          <w:color w:val="000000"/>
          <w:sz w:val="22"/>
        </w:rPr>
        <w:t>The notice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the legal authority and jurisdiction under which the hearing is held;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grounds for revocation or suspension and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presiding officer, if known. If not known, a description of who will serve as presiding officer.</w:t>
      </w:r>
    </w:p>
    <w:p>
      <w:pPr>
        <w:spacing w:before="0" w:after="0"/>
        <w:ind w:left="120"/>
        <w:jc w:val="both"/>
      </w:pPr>
      <w:r>
        <w:rPr>
          <w:rFonts w:ascii="Times New Roman" w:hAnsi="Times New Roman"/>
          <w:b w:val="false"/>
          <w:i w:val="false"/>
          <w:color w:val="000000"/>
          <w:sz w:val="22"/>
        </w:rPr>
        <w:t xml:space="preserve">Notice may also be sent in the manner aforementioned or by ordinary mail to any other interested party. After the delivery of the notice commencing the contested case proceedings, the presiding officer may allow further response of pleadings by the party as, in the presiding officer’s discretion, is deemed necessary and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w:t>
      </w:r>
      <w:r>
        <w:rPr>
          <w:rFonts w:ascii="Times New Roman" w:hAnsi="Times New Roman"/>
          <w:b w:val="false"/>
          <w:i w:val="false"/>
          <w:color w:val="000000"/>
          <w:sz w:val="22"/>
        </w:rPr>
        <w:t> </w:t>
      </w:r>
      <w:r>
        <w:rPr>
          <w:rFonts w:ascii="Times New Roman" w:hAnsi="Times New Roman"/>
          <w:b w:val="false"/>
          <w:i/>
          <w:color w:val="000000"/>
          <w:sz w:val="22"/>
        </w:rPr>
        <w:t xml:space="preserve">Discovery. </w:t>
      </w:r>
      <w:r>
        <w:rPr>
          <w:rFonts w:ascii="Times New Roman" w:hAnsi="Times New Roman"/>
          <w:b w:val="false"/>
          <w:i w:val="false"/>
          <w:color w:val="000000"/>
          <w:sz w:val="22"/>
        </w:rPr>
        <w:t>The following discovery procedures available in the Iowa Rules of Civil Procedure are available to the parties: depositions upon oral examination or written questions; written interrogatories; production of documents, electronically stored information, and things; and requests for admission. Unless lengthened or shortened by the presiding officer, the time frames for discovery in the specific Iowa Rules of Civil Procedure govern those specific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Iowa Rules of Civil Procedure 1.701 through 1.717 regarding depositions shall apply to any depositions taken in a contested case proceeding. Any party taking a deposition in a contested case shall be responsible for any deposition costs, unless otherwise specified or allocated in an order. Deposition costs include, but are not limited to, reimbursement for mileage of the deponent, costs of a certified shorthand reporter, and expert witness fees,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Iowa Rule of Civil Procedure 1.509 shall apply to any interrogatories propounded in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Iowa Rule of Civil Procedure 1.512 shall apply to any requests for production of documents, electronically stored information, and things in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Iowa Rule of Civil Procedure 1.510 shall apply to any requests for admission in a contested case proceeding. Iowa Rule of Civil Procedure 1.511 regarding the effect of an admission shall apply in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mandatory disclosure and discovery conference requirements in Iowa Rules of Civil Procedure 1.500 and 1.507 do not apply to contested case proceedings. However, upon application by a party, the presiding officer may order the parties to comply with these procedures unless doing so would unreasonably complicate the proceedings or impose an undue hardship.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Iowa Rule of Civil Procedure 1.508 shall apply to discovery of any experts identified by a party to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party may file a motion to compel or other motion related to discovery in accordance with this subrule. Any motion filed with the presiding officer relating to discovery shall allege that the moving party has previously made a good-faith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lengthened or shortened by the presiding officer.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obtained in such discovery may be used in contested case proceedings if the evidence would otherwise be admissible in the contested case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subpoenas. </w:t>
      </w:r>
      <w:r>
        <w:rPr>
          <w:rFonts w:ascii="Times New Roman" w:hAnsi="Times New Roman"/>
          <w:b w:val="false"/>
          <w:i w:val="false"/>
          <w:color w:val="000000"/>
          <w:sz w:val="22"/>
        </w:rPr>
        <w:t>The presiding officer may issue subpoenas to a party on request, as permitted by law, compelling the attendance of witnesses and the production of books, papers, records or other real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w:t>
      </w:r>
      <w:r>
        <w:rPr>
          <w:rFonts w:ascii="Times New Roman" w:hAnsi="Times New Roman"/>
          <w:b w:val="false"/>
          <w:i w:val="false"/>
          <w:color w:val="000000"/>
          <w:sz w:val="22"/>
        </w:rPr>
        <w:t> </w:t>
      </w:r>
      <w:r>
        <w:rPr>
          <w:rFonts w:ascii="Times New Roman" w:hAnsi="Times New Roman"/>
          <w:b w:val="false"/>
          <w:i/>
          <w:color w:val="000000"/>
          <w:sz w:val="22"/>
        </w:rPr>
        <w:t xml:space="preserve">Motions.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agency or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arguments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including motions for summary judgment, must be filed and served at least ten days prior to the date of hearing unless there is good cause for permitting later action or the time for such action is lengthened or shortened by rule of the agency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w:t>
      </w:r>
      <w:r>
        <w:rPr>
          <w:rFonts w:ascii="Times New Roman" w:hAnsi="Times New Roman"/>
          <w:b w:val="false"/>
          <w:i w:val="false"/>
          <w:color w:val="000000"/>
          <w:sz w:val="22"/>
        </w:rPr>
        <w:t> </w:t>
      </w:r>
      <w:r>
        <w:rPr>
          <w:rFonts w:ascii="Times New Roman" w:hAnsi="Times New Roman"/>
          <w:b w:val="false"/>
          <w:i/>
          <w:color w:val="000000"/>
          <w:sz w:val="22"/>
        </w:rPr>
        <w:t xml:space="preserve">Prehearing conference. </w:t>
      </w:r>
      <w:r>
        <w:rPr>
          <w:rFonts w:ascii="Times New Roman" w:hAnsi="Times New Roman"/>
          <w:b w:val="false"/>
          <w:i w:val="false"/>
          <w:color w:val="000000"/>
          <w:sz w:val="22"/>
        </w:rPr>
        <w:t>The presiding officer, upon its own motion or upon the written request of one of the parties, may, in the presiding officer’s discretion and upon written notice, direct the parties to appear at a specified time and place before the presiding officer for a prehearing conference to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possibility or desirability of waiving any provision of these rules relating to contested case proceedings by written stipulation representing an informed mutual consent.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necessity or desirability of setting a new date for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simplification of issues.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necessity or desirability of amending the pleadings for purposes of clarification, amplification or limitation.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possibility of agreeing to the admission of facts, documents or records not substantially controverted, to avoid unnecessary introduction of proof.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 at the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Limiting the number of witnesses.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and identification of witnesses and the facts each party will attempt to prove at the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matters as may aid in, expedite or simplify the disposition of the proceeding. </w:t>
      </w:r>
    </w:p>
    <w:p>
      <w:pPr>
        <w:spacing w:before="0" w:after="0"/>
        <w:ind w:left="120"/>
        <w:jc w:val="both"/>
      </w:pPr>
      <w:r>
        <w:rPr>
          <w:rFonts w:ascii="Times New Roman" w:hAnsi="Times New Roman"/>
          <w:b w:val="false"/>
          <w:i w:val="false"/>
          <w:color w:val="000000"/>
          <w:sz w:val="22"/>
        </w:rPr>
        <w:t>Prehearing conferences shall be conducted by telephone unless otherwise ordered. Parties shall exchange witness and exhibit lists in advance of a prehearing 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501—6.5</w:t>
      </w:r>
      <w:r>
        <w:rPr>
          <w:rFonts w:ascii="Times New Roman" w:hAnsi="Times New Roman"/>
          <w:b/>
          <w:i w:val="false"/>
          <w:color w:val="000000"/>
          <w:sz w:val="22"/>
        </w:rPr>
        <w:t xml:space="preserve">(80B,17A)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assigned to render a proposed decision will be an administrative law judge employed by the Iowa department of inspections and appeals. However, the council in its discretion may elect to preside over a case in lieu of an administrative law judge.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party who wishes to request that the presiding officer assigned to render a proposed decision be an administrative law judge employed by the Iowa department of inspections and appeals must file a written request within 20 days after service of a notice of hearing which identifies or describes the presiding officer as the council.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council may deny the request only upon a finding that one or more of the following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Neither the council nor any officer of the council under whose authority the contested case is to take place is a named party to the proceeding or a real party in interest to that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a compelling need to expedite issuance of a final decision in order to protect the public health, safety, or welfare.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is unavailable to hear the case within a reasonable time.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case involves significant policy issues of first impression that are inextricably intertwined with the factual issues presented.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demeanor of the witnesses is likely to be dispositive in resolving the disputed factual issues.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Funds are unavailable to pay the costs of an administrative law judge and an interagency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 was not timely filed.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 is not consistent with a specified statute.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w:t>
      </w:r>
      <w:r>
        <w:rPr>
          <w:rFonts w:ascii="Times New Roman" w:hAnsi="Times New Roman"/>
          <w:b w:val="false"/>
          <w:i w:val="false"/>
          <w:color w:val="000000"/>
          <w:sz w:val="22"/>
        </w:rPr>
        <w:t> </w:t>
      </w:r>
      <w:r>
        <w:rPr>
          <w:rFonts w:ascii="Times New Roman" w:hAnsi="Times New Roman"/>
          <w:b w:val="false"/>
          <w:i w:val="false"/>
          <w:color w:val="000000"/>
          <w:sz w:val="22"/>
        </w:rPr>
        <w:t>The council shall issue a written ruling specifying the grounds for its decision within 20 days after a request for an administrative law judge is filed. If the ruling is contingent upon the availability of an administrative law judge, the parties shall be notified at least ten days prior to hearing if a qualified administrative law judge will not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all rulings by an administrative law judge acting as presiding officer are subject to appeal to the council. A party must seek any available intra-agency appeal in order to exhaust adequate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the council, when reviewing a proposed decision upon intra-agency appeal, shall have the powers of and shall comply with the provisions of this chapter which apply to presiding officers.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501—6.6</w:t>
      </w:r>
      <w:r>
        <w:rPr>
          <w:rFonts w:ascii="Times New Roman" w:hAnsi="Times New Roman"/>
          <w:b/>
          <w:i w:val="false"/>
          <w:color w:val="000000"/>
          <w:sz w:val="22"/>
        </w:rPr>
        <w:t xml:space="preserve">(80B,17A)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presiding officer or council member shall withdraw from participation in the making of any proposed or final decision in a contested case if that person: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Has a personal bias or prejudice concerning a party or a representative of a party;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Has acted as counsel to any person who is a private party to that proceeding within the past two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Has a personal financial interest in the outcome of the case or any other significant personal interest that could be substantially affected by the outcome of the case;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Has a spouse or relative within the third degree of relationship that: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Is a party to the case, or an officer, director or trustee of a party;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Is a lawyer in the case;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Is known to have an interest that could be substantially affected by the outcome of the case;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Is likely to be a material witness in the case;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Has any other legally sufficient cause to withdraw from participation in the decision making in that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agency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section </w:t>
      </w:r>
      <w:hyperlink r:id="rId18">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subrules 6.6(3)</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6.11(9)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w:t>
      </w:r>
      <w:r>
        <w:rPr>
          <w:rFonts w:ascii="Times New Roman" w:hAnsi="Times New Roman"/>
          <w:b w:val="false"/>
          <w:i w:val="false"/>
          <w:color w:val="000000"/>
          <w:sz w:val="22"/>
        </w:rPr>
        <w:t> </w:t>
      </w:r>
      <w:r>
        <w:rPr>
          <w:rFonts w:ascii="Times New Roman" w:hAnsi="Times New Roman"/>
          <w:b w:val="false"/>
          <w:i w:val="false"/>
          <w:color w:val="000000"/>
          <w:sz w:val="22"/>
        </w:rPr>
        <w:t xml:space="preserve">In a situation where a presiding officer or council member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w:t>
      </w:r>
      <w:hyperlink r:id="rId21">
        <w:r>
          <w:rPr>
            <w:rStyle w:val="Hyperlink"/>
            <w:rFonts w:ascii="Times New Roman" w:hAnsi="Times New Roman"/>
            <w:b w:val="false"/>
            <w:i w:val="false"/>
            <w:color w:val="000000"/>
            <w:sz w:val="22"/>
          </w:rPr>
          <w:t>subrule 6.6(1)</w:t>
        </w:r>
      </w:hyperlink>
      <w:r>
        <w:rPr>
          <w:rFonts w:ascii="Times New Roman" w:hAnsi="Times New Roman"/>
          <w:b w:val="false"/>
          <w:i w:val="false"/>
          <w:color w:val="000000"/>
          <w:sz w:val="22"/>
        </w:rPr>
        <w:t xml:space="preserve">, the party shall file a motion supported by an affidavit pursuant to Iowa Code section </w:t>
      </w:r>
      <w:hyperlink r:id="rId22">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xml:space="preserve">. The motion must be filed as soon as practicable after the reason alleged in the motion becomes known to the party. If the presiding officer determines that disqualification is appropriate, the presiding officer or council member shall withdraw. If the presiding officer determines that withdrawal is not required, the presiding officer shall enter an order to that effect. A party asserting disqualification may seek an interlocutory appeal under rule </w:t>
      </w:r>
      <w:hyperlink r:id="rId23">
        <w:r>
          <w:rPr>
            <w:rStyle w:val="Hyperlink"/>
            <w:rFonts w:ascii="Times New Roman" w:hAnsi="Times New Roman"/>
            <w:b w:val="false"/>
            <w:i w:val="false"/>
            <w:color w:val="000000"/>
            <w:sz w:val="22"/>
          </w:rPr>
          <w:t>501—6.12</w:t>
        </w:r>
      </w:hyperlink>
      <w:r>
        <w:rPr>
          <w:rFonts w:ascii="Times New Roman" w:hAnsi="Times New Roman"/>
          <w:b w:val="false"/>
          <w:i w:val="false"/>
          <w:color w:val="000000"/>
          <w:sz w:val="22"/>
        </w:rPr>
        <w:t xml:space="preserve">(80B,17A) and seek a stay under rule </w:t>
      </w:r>
      <w:hyperlink r:id="rId24">
        <w:r>
          <w:rPr>
            <w:rStyle w:val="Hyperlink"/>
            <w:rFonts w:ascii="Times New Roman" w:hAnsi="Times New Roman"/>
            <w:b w:val="false"/>
            <w:i w:val="false"/>
            <w:color w:val="000000"/>
            <w:sz w:val="22"/>
          </w:rPr>
          <w:t>501—6.16</w:t>
        </w:r>
      </w:hyperlink>
      <w:r>
        <w:rPr>
          <w:rFonts w:ascii="Times New Roman" w:hAnsi="Times New Roman"/>
          <w:b w:val="false"/>
          <w:i w:val="false"/>
          <w:color w:val="000000"/>
          <w:sz w:val="22"/>
        </w:rPr>
        <w:t>(80B,17A).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501—6.7</w:t>
      </w:r>
      <w:r>
        <w:rPr>
          <w:rFonts w:ascii="Times New Roman" w:hAnsi="Times New Roman"/>
          <w:b/>
          <w:i w:val="false"/>
          <w:color w:val="000000"/>
          <w:sz w:val="22"/>
        </w:rPr>
        <w:t xml:space="preserve">(80B,17A)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 xml:space="preserve">A party has no automatic right to a continuance or delay of the council’s hearing procedure or schedule. However, a party may request a continuance of the presiding officer prior to the date set for hearing. The presiding officer shall have the power to grant continuances. Within seven days of the date set for hearing, no continuances shall be granted except for extraordinary, extenuating or emergency circumstances.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501—6.8</w:t>
      </w:r>
      <w:r>
        <w:rPr>
          <w:rFonts w:ascii="Times New Roman" w:hAnsi="Times New Roman"/>
          <w:b/>
          <w:i w:val="false"/>
          <w:color w:val="000000"/>
          <w:sz w:val="22"/>
        </w:rPr>
        <w:t xml:space="preserve">(80B,17A)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w:t>
      </w:r>
      <w:r>
        <w:rPr>
          <w:rFonts w:ascii="Times New Roman" w:hAnsi="Times New Roman"/>
          <w:b w:val="false"/>
          <w:i w:val="false"/>
          <w:color w:val="000000"/>
          <w:sz w:val="22"/>
        </w:rPr>
        <w:t> </w:t>
      </w:r>
      <w:r>
        <w:rPr>
          <w:rFonts w:ascii="Times New Roman" w:hAnsi="Times New Roman"/>
          <w:b w:val="false"/>
          <w:i w:val="false"/>
          <w:color w:val="000000"/>
          <w:sz w:val="22"/>
        </w:rPr>
        <w:t>Contested case proceeding. Unless the parties to a contested case proceeding have by written stipulation representing an informed mutual consent waived the provisions of the Act relating to the proceedings, contested case proceedings shall be initiated and culminate in an evidentiary hearing open to the public. Parties shall have been notified of the date and place of the hearing at least 30 days prior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Evidentiary hearings before the council shall be held at the council’s principal office, Iowa Law Enforcement Academy, Camp Dodge, Johnston, Iowa, except that a case may be assigned for hearing elsewhere when deemed necessary to afford a party an opportunity to appear at the hearing with as little inconvenience and expense as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Evidentiary hearings before an administrative law judge shall be held at an appropriate location designated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w:t>
      </w:r>
      <w:r>
        <w:rPr>
          <w:rFonts w:ascii="Times New Roman" w:hAnsi="Times New Roman"/>
          <w:b w:val="false"/>
          <w:i w:val="false"/>
          <w:color w:val="000000"/>
          <w:sz w:val="22"/>
        </w:rPr>
        <w:t> </w:t>
      </w:r>
      <w:r>
        <w:rPr>
          <w:rFonts w:ascii="Times New Roman" w:hAnsi="Times New Roman"/>
          <w:b w:val="false"/>
          <w:i w:val="false"/>
          <w:color w:val="000000"/>
          <w:sz w:val="22"/>
        </w:rPr>
        <w:t>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presides at the hearing and may rule on motions, require briefs, issue a proposed decision, and issue such orders and rulings as will ensure the orderly conduct of the proceedings. If the presiding officer is the council or a panel thereof, an administrative law judge from the Iowa department of inspections and appeals may be designated to assist the council in conducting proceedings under this chapter. An administrative law judge so designated may rule upon motions and other procedural matters and assist the council in conducting the hearings.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Evidentiary proceedings shall be oral and open to the public and shall be recorded either by mechanical means or by certified shorthand reporters. Parties requesting that the hearing be recorded by certified shorthand reporters shall bear the appropriate costs. The record of the oral proceedings or the transcription thereof shall be filed with and maintained by the council for at least five years from the date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w:t>
      </w:r>
      <w:r>
        <w:rPr>
          <w:rFonts w:ascii="Times New Roman" w:hAnsi="Times New Roman"/>
          <w:b w:val="false"/>
          <w:i w:val="false"/>
          <w:color w:val="000000"/>
          <w:sz w:val="22"/>
        </w:rPr>
        <w:t> </w:t>
      </w:r>
      <w:r>
        <w:rPr>
          <w:rFonts w:ascii="Times New Roman" w:hAnsi="Times New Roman"/>
          <w:b w:val="false"/>
          <w:i w:val="false"/>
          <w:color w:val="000000"/>
          <w:sz w:val="22"/>
        </w:rPr>
        <w:t>Legal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law enforcement officer has a right to participate in all hearings or prehearing conferences and may be represented by an attorney or another person authorized by law. If the law enforcement officer is not represented by anyone qualified by these rules to make an appearance, the presiding officer shall explain to the law enforcement officer the rules of practice and procedure and generally conduct a hearing in a less formal manner than that used when a law enforcement officer has a representative qualified to appear. It should be the purpose of the presiding officer to assist any law enforcement officer who appears without a representative to the extent necessary to allow a fair presentation of evidence, testimony and arguments on the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office of the attorney general or an attorney designated by the director shall be responsible for prosecuting contested case proceedings under this chapter. The assistant attorney general or other designated attorney assigned to prosecute the contested case shall not represent the council in that case but shall represent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argument.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501—6.9</w:t>
      </w:r>
      <w:r>
        <w:rPr>
          <w:rFonts w:ascii="Times New Roman" w:hAnsi="Times New Roman"/>
          <w:b/>
          <w:i w:val="false"/>
          <w:color w:val="000000"/>
          <w:sz w:val="22"/>
        </w:rPr>
        <w:t xml:space="preserve">(80B,17A)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shall rule on admissibility of evidence and may, where appropriate, take official notice of facts in accordance with all applicable requirements of law.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w:t>
      </w:r>
      <w:r>
        <w:rPr>
          <w:rFonts w:ascii="Times New Roman" w:hAnsi="Times New Roman"/>
          <w:b w:val="false"/>
          <w:i w:val="false"/>
          <w:color w:val="000000"/>
          <w:sz w:val="22"/>
        </w:rPr>
        <w:t> </w:t>
      </w:r>
      <w:r>
        <w:rPr>
          <w:rFonts w:ascii="Times New Roman" w:hAnsi="Times New Roman"/>
          <w:b w:val="false"/>
          <w:i w:val="false"/>
          <w:color w:val="000000"/>
          <w:sz w:val="22"/>
        </w:rPr>
        <w:t xml:space="preserve">Stipulation of facts is encouraged. The presiding officer may make a decision based on stipulated facts.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in the proceeding shall be confined to the issues concerning allegations raised on the face of petition for decertification as to which the parties received notice prior to the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party seeking admission of an exhibit must provide opposing parties with an opportunity to examine the exhibit prior to the ruling on its admissibility. Copies of documents should normally be provided to opposing parties. All exhibits admitted into evidence shall be appropriately marked and be made part of the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501—6.10</w:t>
      </w:r>
      <w:r>
        <w:rPr>
          <w:rFonts w:ascii="Times New Roman" w:hAnsi="Times New Roman"/>
          <w:b/>
          <w:i w:val="false"/>
          <w:color w:val="000000"/>
          <w:sz w:val="22"/>
        </w:rPr>
        <w:t xml:space="preserve">(80B,17A)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fails to appear or participate in a contested case proceeding after proper service of notice, the presiding officer may, if no adjournment is granted, enter a default decision or proceed with the hearing and render a decision in the absence of the party.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6.10(2)</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appropriate and not contrary to law, any party may move for default against a party who has requested the contested case proceeding and has failed to file a required pleading or has failed to appear after proper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agency action unless, within 15 days after the date of notification or mailing of the decision, a motion to vacate is filed and served on all parties or an appeal of a decision on the merits is timely initiated within the time provided by rule </w:t>
      </w:r>
      <w:hyperlink r:id="rId25">
        <w:r>
          <w:rPr>
            <w:rStyle w:val="Hyperlink"/>
            <w:rFonts w:ascii="Times New Roman" w:hAnsi="Times New Roman"/>
            <w:b w:val="false"/>
            <w:i w:val="false"/>
            <w:color w:val="000000"/>
            <w:sz w:val="22"/>
          </w:rPr>
          <w:t>501—6.14</w:t>
        </w:r>
      </w:hyperlink>
      <w:r>
        <w:rPr>
          <w:rFonts w:ascii="Times New Roman" w:hAnsi="Times New Roman"/>
          <w:b w:val="false"/>
          <w:i w:val="false"/>
          <w:color w:val="000000"/>
          <w:sz w:val="22"/>
        </w:rPr>
        <w:t xml:space="preserve">(80B,17A).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6.10(4)</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time for further appeal of a decision for which a timely motion to vacate has been filed is stayed pending a decision on the motion to vacate.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6.10(5)</w:t>
      </w:r>
      <w:r>
        <w:rPr>
          <w:rFonts w:ascii="Times New Roman" w:hAnsi="Times New Roman"/>
          <w:b w:val="false"/>
          <w:i w:val="false"/>
          <w:color w:val="000000"/>
          <w:sz w:val="22"/>
        </w:rPr>
        <w:t> </w:t>
      </w:r>
      <w:r>
        <w:rPr>
          <w:rFonts w:ascii="Times New Roman" w:hAnsi="Times New Roman"/>
          <w:b w:val="false"/>
          <w:i w:val="false"/>
          <w:color w:val="000000"/>
          <w:sz w:val="22"/>
        </w:rPr>
        <w:t xml:space="preserve">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6.10(6)</w:t>
      </w:r>
      <w:r>
        <w:rPr>
          <w:rFonts w:ascii="Times New Roman" w:hAnsi="Times New Roman"/>
          <w:b w:val="false"/>
          <w:i w:val="false"/>
          <w:color w:val="000000"/>
          <w:sz w:val="22"/>
        </w:rPr>
        <w:t> </w:t>
      </w:r>
      <w:r>
        <w:rPr>
          <w:rFonts w:ascii="Times New Roman" w:hAnsi="Times New Roman"/>
          <w:b w:val="false"/>
          <w:i w:val="false"/>
          <w:color w:val="000000"/>
          <w:sz w:val="22"/>
        </w:rPr>
        <w:t xml:space="preserve">“Good cause” for purposes of this rule shall have the same meaning as “good cause” for setting aside a default judgment under Iowa Rule of Civil Procedure 1.977.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rule </w:t>
      </w:r>
      <w:hyperlink r:id="rId26">
        <w:r>
          <w:rPr>
            <w:rStyle w:val="Hyperlink"/>
            <w:rFonts w:ascii="Times New Roman" w:hAnsi="Times New Roman"/>
            <w:b w:val="false"/>
            <w:i w:val="false"/>
            <w:color w:val="000000"/>
            <w:sz w:val="22"/>
          </w:rPr>
          <w:t>501—6.12</w:t>
        </w:r>
      </w:hyperlink>
      <w:r>
        <w:rPr>
          <w:rFonts w:ascii="Times New Roman" w:hAnsi="Times New Roman"/>
          <w:b w:val="false"/>
          <w:i w:val="false"/>
          <w:color w:val="000000"/>
          <w:sz w:val="22"/>
        </w:rPr>
        <w:t xml:space="preserve">(80B,17A).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6.10(8)</w:t>
      </w:r>
      <w:r>
        <w:rPr>
          <w:rFonts w:ascii="Times New Roman" w:hAnsi="Times New Roman"/>
          <w:b w:val="false"/>
          <w:i w:val="false"/>
          <w:color w:val="000000"/>
          <w:sz w:val="22"/>
        </w:rPr>
        <w:t> </w:t>
      </w:r>
      <w:r>
        <w:rPr>
          <w:rFonts w:ascii="Times New Roman" w:hAnsi="Times New Roman"/>
          <w:b w:val="false"/>
          <w:i w:val="false"/>
          <w:color w:val="000000"/>
          <w:sz w:val="22"/>
        </w:rPr>
        <w:t xml:space="preserve">If a motion to vacate is granted and no timely interlocutory appeal has been taken, the presiding officer shall issue another notice of hearing and the contested case shall proceed accordingly.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6.10(9)</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award any relief consistent with the request for relief made in the petition and embraced in its issues (but, unless the defaulting party has appeared, it cannot exceed the relief demanded).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6.10(10)</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rule </w:t>
      </w:r>
      <w:hyperlink r:id="rId27">
        <w:r>
          <w:rPr>
            <w:rStyle w:val="Hyperlink"/>
            <w:rFonts w:ascii="Times New Roman" w:hAnsi="Times New Roman"/>
            <w:b w:val="false"/>
            <w:i w:val="false"/>
            <w:color w:val="000000"/>
            <w:sz w:val="22"/>
          </w:rPr>
          <w:t>501—6.16</w:t>
        </w:r>
      </w:hyperlink>
      <w:r>
        <w:rPr>
          <w:rFonts w:ascii="Times New Roman" w:hAnsi="Times New Roman"/>
          <w:b w:val="false"/>
          <w:i w:val="false"/>
          <w:color w:val="000000"/>
          <w:sz w:val="22"/>
        </w:rPr>
        <w:t>(80B,17A).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501—6.11</w:t>
      </w:r>
      <w:r>
        <w:rPr>
          <w:rFonts w:ascii="Times New Roman" w:hAnsi="Times New Roman"/>
          <w:b/>
          <w:i w:val="false"/>
          <w:color w:val="000000"/>
          <w:sz w:val="22"/>
        </w:rPr>
        <w:t xml:space="preserve">(80B,17A)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communications. 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council or seeking the advice or help of persons other than those with a personal interest in, or those engaged in personally investigating,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Prohibitions on ex parte communications commence with the issuance of the notice of hearing in a contested case and continue for as long as the case is pending.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6.11(3)</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oral or other forms of communication are “ex parte” if made without notice and opportunity for all parties to participate.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shall be provided in compliance with rule </w:t>
      </w:r>
      <w:hyperlink r:id="rId28">
        <w:r>
          <w:rPr>
            <w:rStyle w:val="Hyperlink"/>
            <w:rFonts w:ascii="Times New Roman" w:hAnsi="Times New Roman"/>
            <w:b w:val="false"/>
            <w:i w:val="false"/>
            <w:color w:val="000000"/>
            <w:sz w:val="22"/>
          </w:rPr>
          <w:t>501—6.3</w:t>
        </w:r>
      </w:hyperlink>
      <w:r>
        <w:rPr>
          <w:rFonts w:ascii="Times New Roman" w:hAnsi="Times New Roman"/>
          <w:b w:val="false"/>
          <w:i w:val="false"/>
          <w:color w:val="000000"/>
          <w:sz w:val="22"/>
        </w:rPr>
        <w:t xml:space="preserve">(80B,17A) and may be supplemented by telephone, facsimile, electronic mail or other means of notification. Where permitted, oral communications may be initiated through conference telephone call including all parties or their representatives.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6.11(5)</w:t>
      </w:r>
      <w:r>
        <w:rPr>
          <w:rFonts w:ascii="Times New Roman" w:hAnsi="Times New Roman"/>
          <w:b w:val="false"/>
          <w:i w:val="false"/>
          <w:color w:val="000000"/>
          <w:sz w:val="22"/>
        </w:rPr>
        <w:t> </w:t>
      </w:r>
      <w:r>
        <w:rPr>
          <w:rFonts w:ascii="Times New Roman" w:hAnsi="Times New Roman"/>
          <w:b w:val="false"/>
          <w:i w:val="false"/>
          <w:color w:val="000000"/>
          <w:sz w:val="22"/>
        </w:rPr>
        <w:t xml:space="preserve">Council members acting as presiding officers may communicate with each other without notice or opportunity for parties to participate.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or other persons may be present in deliberations or otherwise advise the presiding officer without notice or opportunity for parties to participate as long as they are not disqualified from participating in the making of a proposed or final decision under any provision of law and they comply with </w:t>
      </w:r>
      <w:hyperlink r:id="rId29">
        <w:r>
          <w:rPr>
            <w:rStyle w:val="Hyperlink"/>
            <w:rFonts w:ascii="Times New Roman" w:hAnsi="Times New Roman"/>
            <w:b w:val="false"/>
            <w:i w:val="false"/>
            <w:color w:val="000000"/>
            <w:sz w:val="22"/>
          </w:rPr>
          <w:t>subrule 6.11(1)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6.11(7)</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 pursuant to rule </w:t>
      </w:r>
      <w:hyperlink r:id="rId30">
        <w:r>
          <w:rPr>
            <w:rStyle w:val="Hyperlink"/>
            <w:rFonts w:ascii="Times New Roman" w:hAnsi="Times New Roman"/>
            <w:b w:val="false"/>
            <w:i w:val="false"/>
            <w:color w:val="000000"/>
            <w:sz w:val="22"/>
          </w:rPr>
          <w:t>501—6.7</w:t>
        </w:r>
      </w:hyperlink>
      <w:r>
        <w:rPr>
          <w:rFonts w:ascii="Times New Roman" w:hAnsi="Times New Roman"/>
          <w:b w:val="false"/>
          <w:i w:val="false"/>
          <w:color w:val="000000"/>
          <w:sz w:val="22"/>
        </w:rPr>
        <w:t xml:space="preserve">(80B,17A).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6.11(8)</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of prohibited communications. A presiding officer who receives a prohibited ex parte communication during the pendency of a contested case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(or disclosed). 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31">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department. Violation of ex parte communication prohibitions by department personnel shall be reported to (agency to designate person to whom violations should be reported) for possible sanctions including censure, suspension, dismissal, or other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501—6.12</w:t>
      </w:r>
      <w:r>
        <w:rPr>
          <w:rFonts w:ascii="Times New Roman" w:hAnsi="Times New Roman"/>
          <w:b/>
          <w:i w:val="false"/>
          <w:color w:val="000000"/>
          <w:sz w:val="22"/>
        </w:rPr>
        <w:t xml:space="preserve">(80B,17A)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council may review an interlocutory order of the presiding officer. In determining whether to do so, the council shall weigh the extent to which its granting the interlocutory appeal would expedite final resolution of the case and the extent to which review of that interlocutory order by the council at the time it reviews the proposed decision of the presiding officer would provide an adequate remedy. Any request for interlocutory review must be filed within 14 days of issuance of the challenged order, but no later than the time for compliance with the order or the date of hearing, whichever is first.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501—6.13</w:t>
      </w:r>
      <w:r>
        <w:rPr>
          <w:rFonts w:ascii="Times New Roman" w:hAnsi="Times New Roman"/>
          <w:b/>
          <w:i w:val="false"/>
          <w:color w:val="000000"/>
          <w:sz w:val="22"/>
        </w:rPr>
        <w:t xml:space="preserve">(80B,17A)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val="false"/>
          <w:color w:val="000000"/>
          <w:sz w:val="22"/>
        </w:rPr>
        <w:t>When the council presides over the reception of evidence at the hearing, its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council does not preside over the reception of evidence at the hearing, the presiding officer shall make a proposed decision. The proposed decision becomes the final decision of the council without further proceedings unless there is an appeal to, or review on motion of, the council within the time provided in rule </w:t>
      </w:r>
      <w:hyperlink r:id="rId32">
        <w:r>
          <w:rPr>
            <w:rStyle w:val="Hyperlink"/>
            <w:rFonts w:ascii="Times New Roman" w:hAnsi="Times New Roman"/>
            <w:b w:val="false"/>
            <w:i w:val="false"/>
            <w:color w:val="000000"/>
            <w:sz w:val="22"/>
          </w:rPr>
          <w:t>501—6.14</w:t>
        </w:r>
      </w:hyperlink>
      <w:r>
        <w:rPr>
          <w:rFonts w:ascii="Times New Roman" w:hAnsi="Times New Roman"/>
          <w:b w:val="false"/>
          <w:i w:val="false"/>
          <w:color w:val="000000"/>
          <w:sz w:val="22"/>
        </w:rPr>
        <w:t>(80B,17A).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6.13(3)</w:t>
      </w:r>
      <w:r>
        <w:rPr>
          <w:rFonts w:ascii="Times New Roman" w:hAnsi="Times New Roman"/>
          <w:b w:val="false"/>
          <w:i w:val="false"/>
          <w:color w:val="000000"/>
          <w:sz w:val="22"/>
        </w:rPr>
        <w:t> </w:t>
      </w:r>
      <w:r>
        <w:rPr>
          <w:rFonts w:ascii="Times New Roman" w:hAnsi="Times New Roman"/>
          <w:b w:val="false"/>
          <w:i w:val="false"/>
          <w:color w:val="000000"/>
          <w:sz w:val="22"/>
        </w:rPr>
        <w:t>Final decisions shall be served on the affected law enforcement officer using one of the following methods: the same manner as the service of original notice as provided in the Iowa Rules of Civil Procedure; by certified restricted mail, return receipt requested; by signed acknowledgment accepting service; or, when service cannot be accomplished using the aforementioned methods, notice of hearing shall be published once each week for three consecutive weeks in a newspaper of general circulation, published or circulated in the county of last-known residence of the affected law enforcement officer. If the officer is represented by an attorney, the final decision shall be mailed to the attorney. The attorney may waive the requirement to serve the affected law enforcement officer through a written acknowledgment that the attorney is accepting service on behalf of the client.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501—6.14</w:t>
      </w:r>
      <w:r>
        <w:rPr>
          <w:rFonts w:ascii="Times New Roman" w:hAnsi="Times New Roman"/>
          <w:b/>
          <w:i w:val="false"/>
          <w:color w:val="000000"/>
          <w:sz w:val="22"/>
        </w:rPr>
        <w:t xml:space="preserve">(80B,17A)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 xml:space="preserve">Any adversely affected party may appeal a proposed decision to the council within 30 days after issuance of the proposed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council may initiate review of a proposed decision on its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 xml:space="preserve">An appeal of a proposed decision is initiated by filing a timely notice of appeal with the council. The notice of appeal must be signed by the appealing party or a representative of that party and contain a certificate of service. The notice shall specify: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parties initiating the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proposed decision or order appealed from;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specific findings or conclusions to which exception is taken and any other exceptions to the decision or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relief sought;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 xml:space="preserve">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council may remand a case to the presiding officer for further hearing or may itself preside at the taking of additional 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 xml:space="preserve">The council shall issue a schedule for consideration of the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 The council may resolve the appeal on the briefs or provide an opportunity for oral argument. The council may shorten or extend the briefing period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501—6.15</w:t>
      </w:r>
      <w:r>
        <w:rPr>
          <w:rFonts w:ascii="Times New Roman" w:hAnsi="Times New Roman"/>
          <w:b/>
          <w:i w:val="false"/>
          <w:color w:val="000000"/>
          <w:sz w:val="22"/>
        </w:rPr>
        <w:t xml:space="preserve">(80B,17A) </w:t>
      </w:r>
      <w:r>
        <w:rPr>
          <w:rFonts w:ascii="Times New Roman" w:hAnsi="Times New Roman"/>
          <w:b/>
          <w:i w:val="false"/>
          <w:color w:val="000000"/>
          <w:sz w:val="22"/>
        </w:rPr>
        <w:t xml:space="preserve">Application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 xml:space="preserve">The application for rehearing shall state on whose behalf it is filed, the specific grounds for rehearing, and the relief sought. In addition, the application shall state whether the applicant desires reconsideration of all or part of the council decision on the existing record and whether, on the basis of the grounds enumerated in </w:t>
      </w:r>
      <w:hyperlink r:id="rId33">
        <w:r>
          <w:rPr>
            <w:rStyle w:val="Hyperlink"/>
            <w:rFonts w:ascii="Times New Roman" w:hAnsi="Times New Roman"/>
            <w:b w:val="false"/>
            <w:i w:val="false"/>
            <w:color w:val="000000"/>
            <w:sz w:val="22"/>
          </w:rPr>
          <w:t>subrule 6.14(4)</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council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 xml:space="preserve">A copy of the application shall be timely mailed by the applicant to all parties of record not joining therein. If the application does not contain a certificate of service, the council shall serve copies on all parties.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council grants the application within 20 days after its filing.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501—6.16</w:t>
      </w:r>
      <w:r>
        <w:rPr>
          <w:rFonts w:ascii="Times New Roman" w:hAnsi="Times New Roman"/>
          <w:b/>
          <w:i w:val="false"/>
          <w:color w:val="000000"/>
          <w:sz w:val="22"/>
        </w:rPr>
        <w:t xml:space="preserve">(80B,17A) </w:t>
      </w:r>
      <w:r>
        <w:rPr>
          <w:rFonts w:ascii="Times New Roman" w:hAnsi="Times New Roman"/>
          <w:b/>
          <w:i w:val="false"/>
          <w:color w:val="000000"/>
          <w:sz w:val="22"/>
        </w:rPr>
        <w:t xml:space="preserve">Stays of council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party to a contested case proceeding may petition the council for a stay of an order issued in that proceeding or for other temporary remedies, pending review by the council. The petition shall be filed with the notice of appeal and shall state the reasons justifying a stay or other temporary remedy. The director may rule on the stay or authorize the presiding officer to do so.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party to a contested case proceeding may petition the council for a stay or other temporary remedies pending judicial review of all or part of that proceeding. The petition shall state the reasons justifying a stay or other temporary remedy.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director or presiding officer shall consider the factors listed in Iowa Code section </w:t>
      </w:r>
      <w:hyperlink r:id="rId34">
        <w:r>
          <w:rPr>
            <w:rStyle w:val="Hyperlink"/>
            <w:rFonts w:ascii="Times New Roman" w:hAnsi="Times New Roman"/>
            <w:b w:val="false"/>
            <w:i w:val="false"/>
            <w:color w:val="000000"/>
            <w:sz w:val="22"/>
          </w:rPr>
          <w:t>17A.19(5)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council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501—6.17</w:t>
      </w:r>
      <w:r>
        <w:rPr>
          <w:rFonts w:ascii="Times New Roman" w:hAnsi="Times New Roman"/>
          <w:b/>
          <w:i w:val="false"/>
          <w:color w:val="000000"/>
          <w:sz w:val="22"/>
        </w:rPr>
        <w:t xml:space="preserve">(80B,17A)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501—6.18</w:t>
      </w:r>
      <w:r>
        <w:rPr>
          <w:rFonts w:ascii="Times New Roman" w:hAnsi="Times New Roman"/>
          <w:b/>
          <w:i w:val="false"/>
          <w:color w:val="000000"/>
          <w:sz w:val="22"/>
        </w:rPr>
        <w:t xml:space="preserve">(80B,17A) </w:t>
      </w:r>
      <w:r>
        <w:rPr>
          <w:rFonts w:ascii="Times New Roman" w:hAnsi="Times New Roman"/>
          <w:b/>
          <w:i w:val="false"/>
          <w:color w:val="000000"/>
          <w:sz w:val="22"/>
        </w:rPr>
        <w:t xml:space="preserve">Reinstatement. </w:t>
      </w:r>
      <w:r>
        <w:rPr>
          <w:rFonts w:ascii="Times New Roman" w:hAnsi="Times New Roman"/>
          <w:b w:val="false"/>
          <w:i w:val="false"/>
          <w:color w:val="000000"/>
          <w:sz w:val="22"/>
        </w:rPr>
        <w:t>Any person whose certification has been suspended may apply to the board for reinstatement in accordance with the terms and conditions of the order of suspension and this rule. Any person whose certification has been revoked is not eligible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6.18(1)</w:t>
      </w:r>
      <w:r>
        <w:rPr>
          <w:rFonts w:ascii="Times New Roman" w:hAnsi="Times New Roman"/>
          <w:b w:val="false"/>
          <w:i w:val="false"/>
          <w:color w:val="000000"/>
          <w:sz w:val="22"/>
        </w:rPr>
        <w:t> </w:t>
      </w:r>
      <w:r>
        <w:rPr>
          <w:rFonts w:ascii="Times New Roman" w:hAnsi="Times New Roman"/>
          <w:b w:val="false"/>
          <w:i w:val="false"/>
          <w:color w:val="000000"/>
          <w:sz w:val="22"/>
        </w:rPr>
        <w:t>All proceedings for reinstatement shall be initiated by the law enforcement officer or reserve peace officer, who shall file with the academy council an application for reinstatement. Such application shall be docketed in the original case in which the certification was suspended. All proceedings upon the application for reinstatement shall be subject to the same rules of procedure as other cases before the academy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6.18(2)</w:t>
      </w:r>
      <w:r>
        <w:rPr>
          <w:rFonts w:ascii="Times New Roman" w:hAnsi="Times New Roman"/>
          <w:b w:val="false"/>
          <w:i w:val="false"/>
          <w:color w:val="000000"/>
          <w:sz w:val="22"/>
        </w:rPr>
        <w:t> </w:t>
      </w:r>
      <w:r>
        <w:rPr>
          <w:rFonts w:ascii="Times New Roman" w:hAnsi="Times New Roman"/>
          <w:b w:val="false"/>
          <w:i w:val="false"/>
          <w:color w:val="000000"/>
          <w:sz w:val="22"/>
        </w:rPr>
        <w:t>An application for reinstatement shall allege facts which, if established, will be sufficient to enable the academy council to determine that the basis for the suspension of the law enforcement officer’s or reserve peace officer’s certification no longer exists and that it will be in the public interest for the certification to be reinstated. The burden of proof to establish such facts shall be on the law enforcement officer or reserve peace officer seeking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6.18(3)</w:t>
      </w:r>
      <w:r>
        <w:rPr>
          <w:rFonts w:ascii="Times New Roman" w:hAnsi="Times New Roman"/>
          <w:b w:val="false"/>
          <w:i w:val="false"/>
          <w:color w:val="000000"/>
          <w:sz w:val="22"/>
        </w:rPr>
        <w:t> </w:t>
      </w:r>
      <w:r>
        <w:rPr>
          <w:rFonts w:ascii="Times New Roman" w:hAnsi="Times New Roman"/>
          <w:b w:val="false"/>
          <w:i w:val="false"/>
          <w:color w:val="000000"/>
          <w:sz w:val="22"/>
        </w:rPr>
        <w:t>An order denying or granting reinstatement shall be based upon a decision which incorporates findings of fact and conclusions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3/18/85, Notice 1/2/85—published 4/10/85, effective 5/15/85]</w:t>
      </w:r>
    </w:p>
    <w:p>
      <w:pPr>
        <w:spacing w:before="0" w:after="0"/>
        <w:ind w:left="120"/>
        <w:jc w:val="center"/>
      </w:pPr>
      <w:r>
        <w:rPr>
          <w:rFonts w:ascii="Times New Roman" w:hAnsi="Times New Roman"/>
          <w:b w:val="false"/>
          <w:i w:val="false"/>
          <w:color w:val="000000"/>
          <w:sz w:val="21"/>
        </w:rPr>
        <w:t>[Filed emergency 6/27/85—published 7/17/85, effective 6/27/85]</w:t>
      </w:r>
    </w:p>
    <w:p>
      <w:pPr>
        <w:spacing w:before="0" w:after="0"/>
        <w:ind w:left="120"/>
        <w:jc w:val="center"/>
      </w:pPr>
      <w:r>
        <w:rPr>
          <w:rFonts w:ascii="Times New Roman" w:hAnsi="Times New Roman"/>
          <w:b w:val="false"/>
          <w:i w:val="false"/>
          <w:color w:val="000000"/>
          <w:sz w:val="21"/>
        </w:rPr>
        <w:t>[Filed 2/20/87, Notice 10/22/86—published 3/11/87, effective 4/21/87]</w:t>
      </w:r>
    </w:p>
    <w:p>
      <w:pPr>
        <w:spacing w:before="0" w:after="0"/>
        <w:ind w:left="120"/>
        <w:jc w:val="center"/>
      </w:pPr>
      <w:r>
        <w:rPr>
          <w:rFonts w:ascii="Times New Roman" w:hAnsi="Times New Roman"/>
          <w:b w:val="false"/>
          <w:i w:val="false"/>
          <w:color w:val="000000"/>
          <w:sz w:val="21"/>
        </w:rPr>
        <w:t>[Filed 7/23/97, Notice 6/18/97—published 8/13/97, effective 9/17/97]</w:t>
      </w:r>
    </w:p>
    <w:p>
      <w:pPr>
        <w:spacing w:before="0" w:after="0"/>
        <w:ind w:left="120"/>
        <w:jc w:val="center"/>
      </w:pPr>
      <w:r>
        <w:rPr>
          <w:rFonts w:ascii="Times New Roman" w:hAnsi="Times New Roman"/>
          <w:b w:val="false"/>
          <w:i w:val="false"/>
          <w:color w:val="000000"/>
          <w:sz w:val="21"/>
        </w:rPr>
        <w:t>[Filed 12/21/00, Notice 11/15/00—published 1/10/01, effective 2/14/01]</w:t>
      </w:r>
    </w:p>
    <w:p>
      <w:pPr>
        <w:spacing w:before="0" w:after="0"/>
        <w:ind w:left="120"/>
        <w:jc w:val="center"/>
      </w:pPr>
      <w:r>
        <w:rPr>
          <w:rFonts w:ascii="Times New Roman" w:hAnsi="Times New Roman"/>
          <w:b w:val="false"/>
          <w:i w:val="false"/>
          <w:color w:val="000000"/>
          <w:sz w:val="21"/>
        </w:rPr>
        <w:t>[Filed 8/10/07, Notice 7/4/07—published 8/29/07, effective 10/3/07]</w:t>
      </w:r>
    </w:p>
    <w:p>
      <w:pPr>
        <w:spacing w:before="0" w:after="0"/>
        <w:ind w:left="120"/>
        <w:jc w:val="center"/>
      </w:pPr>
      <w:r>
        <w:rPr>
          <w:rFonts w:ascii="Times New Roman" w:hAnsi="Times New Roman"/>
          <w:b w:val="false"/>
          <w:i w:val="false"/>
          <w:color w:val="000000"/>
          <w:sz w:val="21"/>
        </w:rPr>
        <w:t>[Filed ARC 5006C</w:t>
      </w:r>
      <w:r>
        <w:rPr>
          <w:rFonts w:ascii="Times New Roman" w:hAnsi="Times New Roman"/>
          <w:b w:val="false"/>
          <w:i w:val="false"/>
          <w:color w:val="000000"/>
          <w:sz w:val="21"/>
        </w:rPr>
        <w:t xml:space="preserve"> (Notice ARC 4866C, IAB 1/15/20)</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5572C</w:t>
      </w:r>
      <w:r>
        <w:rPr>
          <w:rFonts w:ascii="Times New Roman" w:hAnsi="Times New Roman"/>
          <w:b w:val="false"/>
          <w:i w:val="false"/>
          <w:color w:val="000000"/>
          <w:sz w:val="21"/>
        </w:rPr>
        <w:t xml:space="preserve"> (Notice ARC 5402C, IAB 1/27/21)</w:t>
      </w:r>
      <w:r>
        <w:rPr>
          <w:rFonts w:ascii="Times New Roman" w:hAnsi="Times New Roman"/>
          <w:b w:val="false"/>
          <w:i w:val="false"/>
          <w:color w:val="000000"/>
          <w:sz w:val="21"/>
        </w:rPr>
        <w:t>, IAB 4/21/21, effective 5/26/21]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0B.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692A.pdf" Type="http://schemas.openxmlformats.org/officeDocument/2006/relationships/hyperlink" Id="rId7"/>
    <Relationship TargetMode="External" Target="https://www.legis.iowa.gov/docs/ico/chapter/80B.13A.pdf" Type="http://schemas.openxmlformats.org/officeDocument/2006/relationships/hyperlink" Id="rId8"/>
    <Relationship TargetMode="External" Target="https://www.legis.iowa.gov/docs/iac/rule/501.6.2.pdf" Type="http://schemas.openxmlformats.org/officeDocument/2006/relationships/hyperlink" Id="rId9"/>
    <Relationship TargetMode="External" Target="https://www.legis.iowa.gov/docs/ico/chapter/13.12.pdf" Type="http://schemas.openxmlformats.org/officeDocument/2006/relationships/hyperlink" Id="rId10"/>
    <Relationship TargetMode="External" Target="https://www.legis.iowa.gov/docs/iac/rule/501.2.1.pdf" Type="http://schemas.openxmlformats.org/officeDocument/2006/relationships/hyperlink" Id="rId11"/>
    <Relationship TargetMode="External" Target="https://www.legis.iowa.gov/docs/iac/chapter/501.8.pdf" Type="http://schemas.openxmlformats.org/officeDocument/2006/relationships/hyperlink" Id="rId12"/>
    <Relationship TargetMode="External" Target="https://www.legis.iowa.gov/docs/iac/chapter/501.10.pdf" Type="http://schemas.openxmlformats.org/officeDocument/2006/relationships/hyperlink" Id="rId13"/>
    <Relationship TargetMode="External" Target="https://www.legis.iowa.gov/docs/iac/rule/501.384.15.pdf" Type="http://schemas.openxmlformats.org/officeDocument/2006/relationships/hyperlink" Id="rId14"/>
    <Relationship TargetMode="External" Target="https://www.legis.iowa.gov/docs/iac/rule/501.6.2.pdf" Type="http://schemas.openxmlformats.org/officeDocument/2006/relationships/hyperlink" Id="rId15"/>
    <Relationship TargetMode="External" Target="https://www.legis.iowa.gov/docs/iac/rule/501.4.1.pdf" Type="http://schemas.openxmlformats.org/officeDocument/2006/relationships/hyperlink" Id="rId16"/>
    <Relationship TargetMode="External" Target="https://www.legis.iowa.gov/docs/ico/chapter/17A.16.pdf" Type="http://schemas.openxmlformats.org/officeDocument/2006/relationships/hyperlink" Id="rId17"/>
    <Relationship TargetMode="External" Target="https://www.legis.iowa.gov/docs/ico/chapter/17A.17.pdf" Type="http://schemas.openxmlformats.org/officeDocument/2006/relationships/hyperlink" Id="rId18"/>
    <Relationship TargetMode="External" Target="https://www.legis.iowa.gov/docs/iac/rule/501.6.6.pdf" Type="http://schemas.openxmlformats.org/officeDocument/2006/relationships/hyperlink" Id="rId19"/>
    <Relationship TargetMode="External" Target="https://www.legis.iowa.gov/docs/iac/rule/501.6.11.pdf" Type="http://schemas.openxmlformats.org/officeDocument/2006/relationships/hyperlink" Id="rId20"/>
    <Relationship TargetMode="External" Target="https://www.legis.iowa.gov/docs/iac/rule/501.6.6.pdf" Type="http://schemas.openxmlformats.org/officeDocument/2006/relationships/hyperlink" Id="rId21"/>
    <Relationship TargetMode="External" Target="https://www.legis.iowa.gov/docs/ico/chapter/17A.17.pdf" Type="http://schemas.openxmlformats.org/officeDocument/2006/relationships/hyperlink" Id="rId22"/>
    <Relationship TargetMode="External" Target="https://www.legis.iowa.gov/docs/iac/rule/501.6.12.pdf" Type="http://schemas.openxmlformats.org/officeDocument/2006/relationships/hyperlink" Id="rId23"/>
    <Relationship TargetMode="External" Target="https://www.legis.iowa.gov/docs/iac/rule/501.6.16.pdf" Type="http://schemas.openxmlformats.org/officeDocument/2006/relationships/hyperlink" Id="rId24"/>
    <Relationship TargetMode="External" Target="https://www.legis.iowa.gov/docs/iac/rule/501.6.14.pdf" Type="http://schemas.openxmlformats.org/officeDocument/2006/relationships/hyperlink" Id="rId25"/>
    <Relationship TargetMode="External" Target="https://www.legis.iowa.gov/docs/iac/rule/501.6.12.pdf" Type="http://schemas.openxmlformats.org/officeDocument/2006/relationships/hyperlink" Id="rId26"/>
    <Relationship TargetMode="External" Target="https://www.legis.iowa.gov/docs/iac/rule/501.6.16.pdf" Type="http://schemas.openxmlformats.org/officeDocument/2006/relationships/hyperlink" Id="rId27"/>
    <Relationship TargetMode="External" Target="https://www.legis.iowa.gov/docs/iac/rule/501.6.3.pdf" Type="http://schemas.openxmlformats.org/officeDocument/2006/relationships/hyperlink" Id="rId28"/>
    <Relationship TargetMode="External" Target="https://www.legis.iowa.gov/docs/iac/rule/501.6.11.pdf" Type="http://schemas.openxmlformats.org/officeDocument/2006/relationships/hyperlink" Id="rId29"/>
    <Relationship TargetMode="External" Target="https://www.legis.iowa.gov/docs/iac/rule/501.6.7.pdf" Type="http://schemas.openxmlformats.org/officeDocument/2006/relationships/hyperlink" Id="rId30"/>
    <Relationship TargetMode="External" Target="https://www.legis.iowa.gov/docs/ico/chapter/17A.13.pdf" Type="http://schemas.openxmlformats.org/officeDocument/2006/relationships/hyperlink" Id="rId31"/>
    <Relationship TargetMode="External" Target="https://www.legis.iowa.gov/docs/iac/rule/501.6.14.pdf" Type="http://schemas.openxmlformats.org/officeDocument/2006/relationships/hyperlink" Id="rId32"/>
    <Relationship TargetMode="External" Target="https://www.legis.iowa.gov/docs/iac/rule/501.6.14.pdf" Type="http://schemas.openxmlformats.org/officeDocument/2006/relationships/hyperlink" Id="rId33"/>
    <Relationship TargetMode="External" Target="https://www.legis.iowa.gov/docs/ico/chapter/17A.19.pdf" Type="http://schemas.openxmlformats.org/officeDocument/2006/relationships/hyperlink" Id="rId34"/>
    <Relationship TargetMode="External" Target="https://www.legis.iowa.gov/docs/ico/chapter/17A.pdf" Type="http://schemas.openxmlformats.org/officeDocument/2006/relationships/hyperlink" Id="rId35"/>
    <Relationship TargetMode="External" Target="https://www.legis.iowa.gov/docs/ico/chapter/80B.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