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OPEN MEETINGS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497—8.1</w:t>
      </w:r>
      <w:r>
        <w:rPr>
          <w:rFonts w:ascii="Times New Roman" w:hAnsi="Times New Roman"/>
          <w:b/>
          <w:i w:val="false"/>
          <w:color w:val="000000"/>
          <w:sz w:val="22"/>
        </w:rPr>
        <w:t xml:space="preserve">(21,23) </w:t>
      </w:r>
      <w:r>
        <w:rPr>
          <w:rFonts w:ascii="Times New Roman" w:hAnsi="Times New Roman"/>
          <w:b/>
          <w:i w:val="false"/>
          <w:color w:val="000000"/>
          <w:sz w:val="22"/>
        </w:rPr>
        <w:t xml:space="preserve">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color w:val="000000"/>
          <w:sz w:val="22"/>
        </w:rPr>
        <w:t xml:space="preserve">When posted.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a governmental body shall give notice of the time, date, and place of the meeting and the tentative agenda at least 24 hours prior to the commencement of the meeting unless for good cause such notice is impossible or impractical. The notice requirement also applies when there is a change to the original notice except as provided in Iowa Code section </w:t>
      </w:r>
      <w:hyperlink r:id="rId6">
        <w:r>
          <w:rPr>
            <w:rStyle w:val="Hyperlink"/>
            <w:rFonts w:ascii="Times New Roman" w:hAnsi="Times New Roman"/>
            <w:b w:val="false"/>
            <w:i w:val="false"/>
            <w:color w:val="000000"/>
            <w:sz w:val="22"/>
          </w:rPr>
          <w:t>21.4(3)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color w:val="000000"/>
          <w:sz w:val="22"/>
        </w:rPr>
        <w:t xml:space="preserve">Where posted. </w:t>
      </w:r>
      <w:r>
        <w:rPr>
          <w:rFonts w:ascii="Times New Roman" w:hAnsi="Times New Roman"/>
          <w:b w:val="false"/>
          <w:i w:val="false"/>
          <w:color w:val="000000"/>
          <w:sz w:val="22"/>
        </w:rPr>
        <w:t xml:space="preserve">Notice shall be posted at those locations designated in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The notice shall be posted in an area that is easily accessible by the public or in an area where the notice is easily viewable by the public and shall be posted for at least 24 hours prior to the commencement of the meeting unless for good cause such notice is impossible or impractical. The posting of a notice in an area that is not normally used for the posting of notices or public announcements shall not be deemed proper notice. However, if the posting of a notice in an area normally used for posting of notices is not reasonable or practical such as the area is under construction or renovation, the notice shall be posted in an area that is otherwise easily accessible by the public or in an area where the notice is easily viewable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color w:val="000000"/>
          <w:sz w:val="22"/>
        </w:rPr>
        <w:t xml:space="preserve">Closed session. </w:t>
      </w:r>
      <w:r>
        <w:rPr>
          <w:rFonts w:ascii="Times New Roman" w:hAnsi="Times New Roman"/>
          <w:b w:val="false"/>
          <w:i w:val="false"/>
          <w:color w:val="000000"/>
          <w:sz w:val="22"/>
        </w:rPr>
        <w:t xml:space="preserve">When a governmental body includes a closed session item on the tentative agenda, the notice shall include a brief statement of the purpose of the closed session. It shall not be deemed sufficient notice for the governmental body to only reference the statute by number and subparagraph without more information. For example, it shall not be sufficient notice for the governmental body to list as an agenda item “closed session </w:t>
      </w:r>
      <w:hyperlink r:id="rId8">
        <w:r>
          <w:rPr>
            <w:rStyle w:val="Hyperlink"/>
            <w:rFonts w:ascii="Times New Roman" w:hAnsi="Times New Roman"/>
            <w:b w:val="false"/>
            <w:i w:val="false"/>
            <w:color w:val="000000"/>
            <w:sz w:val="22"/>
          </w:rPr>
          <w:t>21.5(1)(a)</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brief statement of purpose does not require the governmental body to provide more information than what is required under subparagraphs (a) through (l) in Iowa Code section </w:t>
      </w:r>
      <w:hyperlink r:id="rId9">
        <w:r>
          <w:rPr>
            <w:rStyle w:val="Hyperlink"/>
            <w:rFonts w:ascii="Times New Roman" w:hAnsi="Times New Roman"/>
            <w:b w:val="false"/>
            <w:i w:val="false"/>
            <w:color w:val="000000"/>
            <w:sz w:val="22"/>
          </w:rPr>
          <w:t>21.5(1)</w:t>
        </w:r>
      </w:hyperlink>
      <w:r>
        <w:rPr>
          <w:rFonts w:ascii="Times New Roman" w:hAnsi="Times New Roman"/>
          <w:b w:val="false"/>
          <w:i w:val="false"/>
          <w:color w:val="000000"/>
          <w:sz w:val="22"/>
        </w:rPr>
        <w:t xml:space="preserve">. Examples of notice deemed sufficient would be “closed session </w:t>
      </w:r>
      <w:hyperlink r:id="rId10">
        <w:r>
          <w:rPr>
            <w:rStyle w:val="Hyperlink"/>
            <w:rFonts w:ascii="Times New Roman" w:hAnsi="Times New Roman"/>
            <w:b w:val="false"/>
            <w:i w:val="false"/>
            <w:color w:val="000000"/>
            <w:sz w:val="22"/>
          </w:rPr>
          <w:t>21.5(1)(c)</w:t>
        </w:r>
      </w:hyperlink>
      <w:r>
        <w:rPr>
          <w:rFonts w:ascii="Times New Roman" w:hAnsi="Times New Roman"/>
          <w:b w:val="false"/>
          <w:i w:val="false"/>
          <w:color w:val="000000"/>
          <w:sz w:val="22"/>
        </w:rPr>
        <w:t xml:space="preserve"> discuss litigation with counsel” or “closed session </w:t>
      </w:r>
      <w:hyperlink r:id="rId11">
        <w:r>
          <w:rPr>
            <w:rStyle w:val="Hyperlink"/>
            <w:rFonts w:ascii="Times New Roman" w:hAnsi="Times New Roman"/>
            <w:b w:val="false"/>
            <w:i w:val="false"/>
            <w:color w:val="000000"/>
            <w:sz w:val="22"/>
          </w:rPr>
          <w:t>21.5(1)(l)</w:t>
        </w:r>
      </w:hyperlink>
      <w:r>
        <w:rPr>
          <w:rFonts w:ascii="Times New Roman" w:hAnsi="Times New Roman"/>
          <w:b w:val="false"/>
          <w:i w:val="false"/>
          <w:color w:val="000000"/>
          <w:sz w:val="22"/>
        </w:rPr>
        <w:t xml:space="preserve"> discuss patient care quality or discuss marketing and pricing strategies.”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2091C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497—8.2</w:t>
      </w:r>
      <w:r>
        <w:rPr>
          <w:rFonts w:ascii="Times New Roman" w:hAnsi="Times New Roman"/>
          <w:b/>
          <w:i w:val="false"/>
          <w:color w:val="000000"/>
          <w:sz w:val="22"/>
        </w:rPr>
        <w:t xml:space="preserve">(21,23) </w:t>
      </w:r>
      <w:r>
        <w:rPr>
          <w:rFonts w:ascii="Times New Roman" w:hAnsi="Times New Roman"/>
          <w:b/>
          <w:i w:val="false"/>
          <w:color w:val="000000"/>
          <w:sz w:val="22"/>
        </w:rPr>
        <w:t xml:space="preserve">Closed 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Who may attend. </w:t>
      </w:r>
      <w:r>
        <w:rPr>
          <w:rFonts w:ascii="Times New Roman" w:hAnsi="Times New Roman"/>
          <w:b w:val="false"/>
          <w:i w:val="false"/>
          <w:color w:val="000000"/>
          <w:sz w:val="22"/>
        </w:rPr>
        <w:t xml:space="preserve">A governmental body has the discretion as to who it may invite to attend a closed session. However, if the governmental body holds a closed session under Iowa Code section </w:t>
      </w:r>
      <w:hyperlink r:id="rId13">
        <w:r>
          <w:rPr>
            <w:rStyle w:val="Hyperlink"/>
            <w:rFonts w:ascii="Times New Roman" w:hAnsi="Times New Roman"/>
            <w:b w:val="false"/>
            <w:i w:val="false"/>
            <w:color w:val="000000"/>
            <w:sz w:val="22"/>
          </w:rPr>
          <w:t>21.5(1)</w:t>
        </w:r>
        <w:r>
          <w:rPr>
            <w:rFonts w:ascii="Times New Roman" w:hAnsi="Times New Roman"/>
            <w:b w:val="false"/>
            <w:i/>
            <w:color w:val="000000"/>
            <w:sz w:val="22"/>
          </w:rPr>
          <w:t>“c”</w:t>
        </w:r>
      </w:hyperlink>
      <w:r>
        <w:rPr>
          <w:rFonts w:ascii="Times New Roman" w:hAnsi="Times New Roman"/>
          <w:b w:val="false"/>
          <w:i w:val="false"/>
          <w:color w:val="000000"/>
          <w:sz w:val="22"/>
        </w:rPr>
        <w:t xml:space="preserve"> to discuss strategy with counsel, the legal counsel for the governmental body shall be in attendance at the closed session either in person or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497—8.3</w:t>
      </w:r>
      <w:r>
        <w:rPr>
          <w:rFonts w:ascii="Times New Roman" w:hAnsi="Times New Roman"/>
          <w:b/>
          <w:i w:val="false"/>
          <w:color w:val="000000"/>
          <w:sz w:val="22"/>
        </w:rPr>
        <w:t xml:space="preserve">(21,22) </w:t>
      </w:r>
      <w:r>
        <w:rPr>
          <w:rFonts w:ascii="Times New Roman" w:hAnsi="Times New Roman"/>
          <w:b/>
          <w:i w:val="false"/>
          <w:color w:val="000000"/>
          <w:sz w:val="22"/>
        </w:rPr>
        <w:t xml:space="preserve">Exempt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Code section </w:t>
      </w:r>
      <w:hyperlink r:id="rId15">
        <w:r>
          <w:rPr>
            <w:rStyle w:val="Hyperlink"/>
            <w:rFonts w:ascii="Times New Roman" w:hAnsi="Times New Roman"/>
            <w:b w:val="false"/>
            <w:i w:val="false"/>
            <w:color w:val="000000"/>
            <w:sz w:val="22"/>
          </w:rPr>
          <w:t>21.9</w:t>
        </w:r>
      </w:hyperlink>
      <w:r>
        <w:rPr>
          <w:rFonts w:ascii="Times New Roman" w:hAnsi="Times New Roman"/>
          <w:b w:val="false"/>
          <w:i w:val="false"/>
          <w:color w:val="000000"/>
          <w:sz w:val="22"/>
        </w:rPr>
        <w:t xml:space="preserve"> exempt session is a meeting to discuss strategy concerning employment conditions of employees of a governmental body who are not covered by a collective bargaining agreement under Iowa Code chapter </w:t>
      </w:r>
      <w:hyperlink r:id="rId16">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“Employment conditions” include wages, hours, vacations, insurance, holidays, leaves of absence, shift differentials, overtime compensation, supplemental pay, seniority, transfer procedures, job classifications, health and safety matters, evaluation procedures, procedures for staff reduction, in-service training, and grievance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 xml:space="preserve">An exempt session does not fall under the requirements of Iowa Code chapter </w:t>
      </w:r>
      <w:hyperlink r:id="rId1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therefore, notice, a tentative agenda, minutes, and other requirements of Iowa Code chapter </w:t>
      </w:r>
      <w:hyperlink r:id="rId1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an exempt session is to allow a governmental body to formulate its position on the terms and conditions of employment for non-union employees in private. An exemption from the open meetings law for this purpose parallels the exemption provided by Iowa Code chapter </w:t>
      </w:r>
      <w:hyperlink r:id="rId1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for governmental bodies negotiating with employee unions. Meetings to evaluate the professional competency of an individual whose appointment, hiring, performance, or discharge is being considered are subject to the requirements of Iowa Code section </w:t>
      </w:r>
      <w:hyperlink r:id="rId20">
        <w:r>
          <w:rPr>
            <w:rStyle w:val="Hyperlink"/>
            <w:rFonts w:ascii="Times New Roman" w:hAnsi="Times New Roman"/>
            <w:b w:val="false"/>
            <w:i w:val="false"/>
            <w:color w:val="000000"/>
            <w:sz w:val="22"/>
          </w:rPr>
          <w:t>21.5(1)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21.9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4754C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2091C</w:t>
      </w:r>
      <w:r>
        <w:rPr>
          <w:rFonts w:ascii="Times New Roman" w:hAnsi="Times New Roman"/>
          <w:b w:val="false"/>
          <w:i w:val="false"/>
          <w:color w:val="000000"/>
          <w:sz w:val="21"/>
        </w:rPr>
        <w:t xml:space="preserve"> (Notice ARC 2010C, IAB 5/27/15)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2315C</w:t>
      </w:r>
      <w:r>
        <w:rPr>
          <w:rFonts w:ascii="Times New Roman" w:hAnsi="Times New Roman"/>
          <w:b w:val="false"/>
          <w:i w:val="false"/>
          <w:color w:val="000000"/>
          <w:sz w:val="21"/>
        </w:rPr>
        <w:t xml:space="preserve"> (Notice ARC 2159C, IAB 9/30/15)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4754C</w:t>
      </w:r>
      <w:r>
        <w:rPr>
          <w:rFonts w:ascii="Times New Roman" w:hAnsi="Times New Roman"/>
          <w:b w:val="false"/>
          <w:i w:val="false"/>
          <w:color w:val="000000"/>
          <w:sz w:val="21"/>
        </w:rPr>
        <w:t xml:space="preserve"> (Notice ARC 4655C, IAB 9/11/19)</w:t>
      </w:r>
      <w:r>
        <w:rPr>
          <w:rFonts w:ascii="Times New Roman" w:hAnsi="Times New Roman"/>
          <w:b w:val="false"/>
          <w:i w:val="false"/>
          <w:color w:val="000000"/>
          <w:sz w:val="21"/>
        </w:rPr>
        <w:t>, IAB 11/6/19, effective 12/11/19]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4.pdf" Type="http://schemas.openxmlformats.org/officeDocument/2006/relationships/hyperlink" Id="rId5"/>
    <Relationship TargetMode="External" Target="https://www.legis.iowa.gov/docs/ico/chapter/21.4.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21.5.pdf" Type="http://schemas.openxmlformats.org/officeDocument/2006/relationships/hyperlink" Id="rId14"/>
    <Relationship TargetMode="External" Target="https://www.legis.iowa.gov/docs/ico/chapter/21.9.pdf" Type="http://schemas.openxmlformats.org/officeDocument/2006/relationships/hyperlink" Id="rId15"/>
    <Relationship TargetMode="External" Target="https://www.legis.iowa.gov/docs/ico/chapter/20.pdf" Type="http://schemas.openxmlformats.org/officeDocument/2006/relationships/hyperlink" Id="rId16"/>
    <Relationship TargetMode="External" Target="https://www.legis.iowa.gov/docs/ico/chapter/21.pdf" Type="http://schemas.openxmlformats.org/officeDocument/2006/relationships/hyperlink" Id="rId17"/>
    <Relationship TargetMode="External" Target="https://www.legis.iowa.gov/docs/ico/chapter/21.pdf" Type="http://schemas.openxmlformats.org/officeDocument/2006/relationships/hyperlink" Id="rId18"/>
    <Relationship TargetMode="External" Target="https://www.legis.iowa.gov/docs/ico/chapter/20.pdf" Type="http://schemas.openxmlformats.org/officeDocument/2006/relationships/hyperlink" Id="rId19"/>
    <Relationship TargetMode="External" Target="https://www.legis.iowa.gov/docs/ico/chapter/21.5.pdf" Type="http://schemas.openxmlformats.org/officeDocument/2006/relationships/hyperlink" Id="rId20"/>
    <Relationship TargetMode="External" Target="https://www.legis.iowa.gov/docs/ico/chapter/21.9.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