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497—7.1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Iowa public information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records, as defined under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any other provision of law, which are not disclosed to members of the public unless otherwise ordered by a court, by the lawful custodian of the records, or by another person duly authorized to release the records. This includes records which the board is prohibited by law from making available for inspection by members of the public and those exempt records which the board has lawfully determined not to disclose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records”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those records which are not authorized or required to be kept confidential under Iowa Code section </w:t>
      </w:r>
      <w:hyperlink r:id="rId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whole or a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is in the physical possession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means any group of records under the control of the board from which a record may be retrieved by a personal identifier such as the name of an individual, number, symbol, or other unique retriever assigned to an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497—7.2</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497—7.3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board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497—7.4</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Procedures for access to confidential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497—7.5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government record as a confidential record and its withholding from examination by the board.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497—7.6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497—7.7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497—7.8</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497—7.9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497—7.10</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497—7.11</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 xml:space="preserve">Rescinded by 2026 Iowa Acts, Senate File 2463, section 4, effective July 1, 2026. </w:t>
      </w:r>
    </w:p>
    <w:p>
      <w:pPr>
        <w:spacing w:before="0" w:after="0"/>
        <w:ind w:left="120"/>
        <w:jc w:val="both"/>
      </w:pPr>
      <w:r>
        <w:rPr>
          <w:rFonts w:ascii="Times New Roman" w:hAnsi="Times New Roman"/>
          <w:b/>
          <w:i w:val="false"/>
          <w:color w:val="000000"/>
          <w:sz w:val="22"/>
        </w:rPr>
        <w:t>497—7.12</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val="false"/>
          <w:color w:val="000000"/>
          <w:sz w:val="22"/>
        </w:rPr>
        <w:t>This rule describes the nature and extent of personally identifiable information which is collected, maintained and retrieved by the agency by personal identifier in record systems as defined in this rule. For each record system,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Describes the legal authority for the collection of that information and the means of storage of that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Indicates whether a data processing system matches, collates, or permits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 files. These records are the complaints filed with the board alleging a violation of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or 22. The complaint will include a description of the facts on which the complaint is based and the name of the person filing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val="false"/>
          <w:color w:val="000000"/>
          <w:sz w:val="22"/>
        </w:rPr>
        <w:t>Records of telephone inquiries. Records of the telephone inquiries may be kept for statistical reasons or to inform the board of the nature and volume of informal, verbal advice.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val="false"/>
          <w:color w:val="000000"/>
          <w:sz w:val="22"/>
        </w:rPr>
        <w:t>Litigation files. These files or records contain information regarding litigation or anticipated litigation, which includes judicial and administrative proceedings. The records include briefs, depositions, docket sheets, documents, correspondence, attorney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7.12(5)</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and tax withholding information concerning the employer-employee relationship. Some of this information is confidential under Iowa Code section </w:t>
      </w:r>
      <w:hyperlink r:id="rId9">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497—7.13</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available for public inspection—policies and procedures (excluding security), meeting minutes. </w:t>
      </w:r>
      <w:r>
        <w:rPr>
          <w:rFonts w:ascii="Times New Roman" w:hAnsi="Times New Roman"/>
          <w:b w:val="false"/>
          <w:i w:val="false"/>
          <w:color w:val="000000"/>
          <w:sz w:val="22"/>
        </w:rPr>
        <w:t xml:space="preserve">This rule describes groups of records maintained by the board other than record systems as previously defined. These records are routinely available to the public. However, the board’s file of these records may contain confidential information, as discussed in rule </w:t>
      </w:r>
      <w:hyperlink r:id="rId10">
        <w:r>
          <w:rPr>
            <w:rStyle w:val="Hyperlink"/>
            <w:rFonts w:ascii="Times New Roman" w:hAnsi="Times New Roman"/>
            <w:b w:val="false"/>
            <w:i w:val="false"/>
            <w:color w:val="000000"/>
            <w:sz w:val="22"/>
          </w:rPr>
          <w:t>497—7.12</w:t>
        </w:r>
      </w:hyperlink>
      <w:r>
        <w:rPr>
          <w:rFonts w:ascii="Times New Roman" w:hAnsi="Times New Roman"/>
          <w:b w:val="false"/>
          <w:i w:val="false"/>
          <w:color w:val="000000"/>
          <w:sz w:val="22"/>
        </w:rPr>
        <w:t>(17A,22). The following records are stored both as hard copy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11">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Board meeting records. </w:t>
      </w:r>
      <w:r>
        <w:rPr>
          <w:rFonts w:ascii="Times New Roman" w:hAnsi="Times New Roman"/>
          <w:b w:val="false"/>
          <w:i w:val="false"/>
          <w:color w:val="000000"/>
          <w:sz w:val="22"/>
        </w:rPr>
        <w:t xml:space="preserve">Agendas, minutes and materials presented to the board are available from the office of the executive director, except those records concerning closed sessions which are exempt from disclosure under Iowa Code section </w:t>
      </w:r>
      <w:hyperlink r:id="rId12">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which are otherwise confidential by law. Board meeting records contain information about people who participate in meetings. The information is collected pursuant to Iowa Code section </w:t>
      </w:r>
      <w:hyperlink r:id="rId13">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board newsletters, and related documents are available from the board office. Board news releases, project reports, and newsletters may contain information about individuals, including board staff or members of the board.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the board for various board programs are available from the board office. Statistical reports do not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board uses many legal and technical publications in its work. The public may inspect these publications upon request. Some of these materials may be protected by copyright law. These records are hard copy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7.13(6)</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board employees’ manual, containing procedures describing the board’s regulations and practices, is available. Subscriptions to all or part of the employees’ manual are available at the cost of production and handling. Requests for subscription information should be addressed to the board office.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7.13(7)</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 from disclosure by law are available from the board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497—7.14</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0741C</w:t>
      </w:r>
      <w:r>
        <w:rPr>
          <w:rFonts w:ascii="Times New Roman" w:hAnsi="Times New Roman"/>
          <w:b w:val="false"/>
          <w:i w:val="false"/>
          <w:color w:val="000000"/>
          <w:sz w:val="21"/>
        </w:rPr>
        <w:t xml:space="preserve"> (Notice ARC 0644C, IAB 3/20/13)</w:t>
      </w:r>
      <w:r>
        <w:rPr>
          <w:rFonts w:ascii="Times New Roman" w:hAnsi="Times New Roman"/>
          <w:b w:val="false"/>
          <w:i w:val="false"/>
          <w:color w:val="000000"/>
          <w:sz w:val="21"/>
        </w:rPr>
        <w:t>, IAB 5/15/13, effective 7/1/13]</w:t>
      </w:r>
    </w:p>
    <w:p>
      <w:pPr>
        <w:spacing w:before="0" w:after="0"/>
        <w:ind w:left="120"/>
        <w:jc w:val="center"/>
      </w:pPr>
      <w:r>
        <w:rPr>
          <w:rFonts w:ascii="Times New Roman" w:hAnsi="Times New Roman"/>
          <w:b w:val="false"/>
          <w:i w:val="false"/>
          <w:color w:val="000000"/>
          <w:sz w:val="21"/>
        </w:rPr>
        <w:t>[Filed Without Notice ARC 1091C, IAB 10/16/13, effective 11/20/13]</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ac/rule/497.7.12.pdf" Type="http://schemas.openxmlformats.org/officeDocument/2006/relationships/hyperlink" Id="rId10"/>
    <Relationship TargetMode="External" Target="https://www.legis.iowa.gov/docs/ico/chapter/17A.4.pdf" Type="http://schemas.openxmlformats.org/officeDocument/2006/relationships/hyperlink" Id="rId11"/>
    <Relationship TargetMode="External" Target="https://www.legis.iowa.gov/docs/ico/chapter/21.5.pdf" Type="http://schemas.openxmlformats.org/officeDocument/2006/relationships/hyperlink" Id="rId12"/>
    <Relationship TargetMode="External" Target="https://www.legis.iowa.gov/docs/ico/chapter/21.3.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22.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