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COMPLAINT INVESTIGATION AND RESOLUTION PROCEDURES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497—2.1</w:t>
      </w:r>
      <w:r>
        <w:rPr>
          <w:rFonts w:ascii="Times New Roman" w:hAnsi="Times New Roman"/>
          <w:b/>
          <w:i w:val="false"/>
          <w:color w:val="000000"/>
          <w:sz w:val="22"/>
        </w:rPr>
        <w:t xml:space="preserve">(23)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 xml:space="preserve">A complaint shall be written and signed by the person filing the complaint on forms provided by the board or shall be submitted electronically via the board’s website. The complaint shall allege a violation of Iowa Code chapter </w:t>
      </w:r>
      <w:hyperlink r:id="rId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provide specific facts in support of the allegation, including the identification of persons and government entity involved in the alleged violation; and provide the specific relief sought. A complaint involving an injunction under Iowa Code section </w:t>
      </w:r>
      <w:hyperlink r:id="rId7">
        <w:r>
          <w:rPr>
            <w:rStyle w:val="Hyperlink"/>
            <w:rFonts w:ascii="Times New Roman" w:hAnsi="Times New Roman"/>
            <w:b w:val="false"/>
            <w:i w:val="false"/>
            <w:color w:val="000000"/>
            <w:sz w:val="22"/>
          </w:rPr>
          <w:t>23.5(3)</w:t>
        </w:r>
      </w:hyperlink>
      <w:r>
        <w:rPr>
          <w:rFonts w:ascii="Times New Roman" w:hAnsi="Times New Roman"/>
          <w:b w:val="false"/>
          <w:i w:val="false"/>
          <w:color w:val="000000"/>
          <w:sz w:val="22"/>
        </w:rPr>
        <w:t xml:space="preserve"> shall be filed and conducted in accordance with the provisions set out in </w:t>
      </w:r>
      <w:hyperlink r:id="rId8">
        <w:r>
          <w:rPr>
            <w:rStyle w:val="Hyperlink"/>
            <w:rFonts w:ascii="Times New Roman" w:hAnsi="Times New Roman"/>
            <w:b w:val="false"/>
            <w:i w:val="false"/>
            <w:color w:val="000000"/>
            <w:sz w:val="22"/>
          </w:rPr>
          <w:t>497—Chapter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color w:val="000000"/>
          <w:sz w:val="22"/>
        </w:rPr>
        <w:t xml:space="preserve">Board acceptance or dismissal. </w:t>
      </w:r>
      <w:r>
        <w:rPr>
          <w:rFonts w:ascii="Times New Roman" w:hAnsi="Times New Roman"/>
          <w:b w:val="false"/>
          <w:i w:val="false"/>
          <w:color w:val="000000"/>
          <w:sz w:val="22"/>
        </w:rPr>
        <w:t xml:space="preserve">Upon receipt of a written complaint alleging a violation of Iowa Code chapter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board shall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 the complaint, following a review of the allegations on their face, having determined that the complaint is within the board’s jurisdiction, appears legally sufficient, and could have merit;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Dismiss the complaint, following a review of the allegations on their face, having determined that the complaint is outside the board’s jurisdiction, appears legally insufficient, is frivolous, is without merit, involves harmless error, or relates to a specific incident that has previously been disposed of on its merits by the board or a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color w:val="000000"/>
          <w:sz w:val="22"/>
        </w:rPr>
        <w:t xml:space="preserve">Delegation. </w:t>
      </w:r>
      <w:r>
        <w:rPr>
          <w:rFonts w:ascii="Times New Roman" w:hAnsi="Times New Roman"/>
          <w:b w:val="false"/>
          <w:i w:val="false"/>
          <w:color w:val="000000"/>
          <w:sz w:val="22"/>
        </w:rPr>
        <w:t>In order to expedite proceedings, the board may delegate acceptance or dismissal of a complaint to the executive director, subject to review by the board. The board’s staff may conduct an initial review of the complaint and obtain more information to assist in the decision to accept or dismiss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If the complaint is accepted, the board shall notify the parties in writing. If the complaint is dismissed, the board shall notify the complainant in writing and explain its reasons for dismissal.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w:t>
      </w:r>
      <w:r>
        <w:rPr>
          <w:rFonts w:ascii="Times New Roman" w:hAnsi="Times New Roman"/>
          <w:b w:val="false"/>
          <w:i w:val="false"/>
          <w:color w:val="000000"/>
          <w:sz w:val="22"/>
        </w:rPr>
        <w:t> </w:t>
      </w:r>
      <w:r>
        <w:rPr>
          <w:rFonts w:ascii="Times New Roman" w:hAnsi="Times New Roman"/>
          <w:b w:val="false"/>
          <w:i/>
          <w:color w:val="000000"/>
          <w:sz w:val="22"/>
        </w:rPr>
        <w:t xml:space="preserve">Board review. </w:t>
      </w:r>
      <w:r>
        <w:rPr>
          <w:rFonts w:ascii="Times New Roman" w:hAnsi="Times New Roman"/>
          <w:b w:val="false"/>
          <w:i w:val="false"/>
          <w:color w:val="000000"/>
          <w:sz w:val="22"/>
        </w:rPr>
        <w:t>The board’s review of a formal complaint for legal sufficiency is not a contested case proceeding and shall be made solely on the facts alleged in the complaint and the results of the initial review conducted by the board’s staff.</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23.8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2089C</w:t>
      </w:r>
      <w:r>
        <w:rPr>
          <w:rFonts w:ascii="Times New Roman" w:hAnsi="Times New Roman"/>
          <w:b w:val="false"/>
          <w:i w:val="false"/>
          <w:color w:val="000000"/>
          <w:sz w:val="16"/>
        </w:rPr>
        <w:t>, IAB 8/5/15, effective 9/9/15</w:t>
      </w:r>
      <w:r>
        <w:rPr>
          <w:rFonts w:ascii="Times New Roman" w:hAnsi="Times New Roman"/>
          <w:b w:val="false"/>
          <w:i w:val="false"/>
          <w:color w:val="000000"/>
          <w:sz w:val="16"/>
        </w:rPr>
        <w:t xml:space="preserve">; </w:t>
      </w:r>
      <w:r>
        <w:rPr>
          <w:rFonts w:ascii="Times New Roman" w:hAnsi="Times New Roman"/>
          <w:b/>
          <w:i w:val="false"/>
          <w:color w:val="000000"/>
          <w:sz w:val="16"/>
        </w:rPr>
        <w:t>ARC 2913C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2914C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6675C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497—2.2</w:t>
      </w:r>
      <w:r>
        <w:rPr>
          <w:rFonts w:ascii="Times New Roman" w:hAnsi="Times New Roman"/>
          <w:b/>
          <w:i w:val="false"/>
          <w:color w:val="000000"/>
          <w:sz w:val="22"/>
        </w:rPr>
        <w:t xml:space="preserve">(23) </w:t>
      </w:r>
      <w:r>
        <w:rPr>
          <w:rFonts w:ascii="Times New Roman" w:hAnsi="Times New Roman"/>
          <w:b/>
          <w:i w:val="false"/>
          <w:color w:val="000000"/>
          <w:sz w:val="22"/>
        </w:rPr>
        <w:t xml:space="preserve">Investigations—board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color w:val="000000"/>
          <w:sz w:val="22"/>
        </w:rPr>
        <w:t xml:space="preserve">Referral to staff. </w:t>
      </w:r>
      <w:r>
        <w:rPr>
          <w:rFonts w:ascii="Times New Roman" w:hAnsi="Times New Roman"/>
          <w:b w:val="false"/>
          <w:i w:val="false"/>
          <w:color w:val="000000"/>
          <w:sz w:val="22"/>
        </w:rPr>
        <w:t xml:space="preserve">Upon acceptance of a complaint, the board’s staff shall work with the complainant and the subject of the complaint toward an informal, expeditious resolution. If the complaint is not resolved, the staff shall initiate an investigation to determine whether there is probable cause to believe a violation of Iowa Code chapter </w:t>
      </w:r>
      <w:hyperlink r:id="rId12">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rules of the board has occurred. Offers to settle a complaint during the informal resolution process or as part of a settlement negotiation under rule </w:t>
      </w:r>
      <w:hyperlink r:id="rId14">
        <w:r>
          <w:rPr>
            <w:rStyle w:val="Hyperlink"/>
            <w:rFonts w:ascii="Times New Roman" w:hAnsi="Times New Roman"/>
            <w:b w:val="false"/>
            <w:i w:val="false"/>
            <w:color w:val="000000"/>
            <w:sz w:val="22"/>
          </w:rPr>
          <w:t>497—2.4</w:t>
        </w:r>
      </w:hyperlink>
      <w:r>
        <w:rPr>
          <w:rFonts w:ascii="Times New Roman" w:hAnsi="Times New Roman"/>
          <w:b w:val="false"/>
          <w:i w:val="false"/>
          <w:color w:val="000000"/>
          <w:sz w:val="22"/>
        </w:rPr>
        <w:t xml:space="preserve">(23) shall not be presented either to the board or admitted in a subsequent contested case proceeding as evidence that a violation of Iowa Code chapter </w:t>
      </w:r>
      <w:hyperlink r:id="rId1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rules of the board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r>
        <w:rPr>
          <w:rFonts w:ascii="Times New Roman" w:hAnsi="Times New Roman"/>
          <w:b w:val="false"/>
          <w:i w:val="false"/>
          <w:color w:val="000000"/>
          <w:sz w:val="22"/>
        </w:rPr>
        <w:t>Investigations may include the issuance and enforcement of investigative subpoenas requiring the production of books, papers, records, electronic records and other real evidence, as well as requiring the attendance and testimony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color w:val="000000"/>
          <w:sz w:val="22"/>
        </w:rPr>
        <w:t xml:space="preserve">Completion. </w:t>
      </w:r>
      <w:r>
        <w:rPr>
          <w:rFonts w:ascii="Times New Roman" w:hAnsi="Times New Roman"/>
          <w:b w:val="false"/>
          <w:i w:val="false"/>
          <w:color w:val="000000"/>
          <w:sz w:val="22"/>
        </w:rPr>
        <w:t>Upon completion of an investigation, staff shall make a report to the board and may provide a recommendation for board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w:t>
      </w:r>
      <w:r>
        <w:rPr>
          <w:rFonts w:ascii="Times New Roman" w:hAnsi="Times New Roman"/>
          <w:b w:val="false"/>
          <w:i w:val="false"/>
          <w:color w:val="000000"/>
          <w:sz w:val="22"/>
        </w:rPr>
        <w:t> </w:t>
      </w:r>
      <w:r>
        <w:rPr>
          <w:rFonts w:ascii="Times New Roman" w:hAnsi="Times New Roman"/>
          <w:b w:val="false"/>
          <w:i/>
          <w:color w:val="000000"/>
          <w:sz w:val="22"/>
        </w:rPr>
        <w:t xml:space="preserve">Board action. </w:t>
      </w:r>
      <w:r>
        <w:rPr>
          <w:rFonts w:ascii="Times New Roman" w:hAnsi="Times New Roman"/>
          <w:b w:val="false"/>
          <w:i w:val="false"/>
          <w:color w:val="000000"/>
          <w:sz w:val="22"/>
        </w:rPr>
        <w:t>Upon receipt and review of the staff investigative report and any recommendations, the board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Redirect the matter for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Dismiss the matter for lack of probable cause to believe a violation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 a determination that probable cause exists to believe a violation has occurred, but, as an exercise of administrative discretion, dismiss the matter;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Make a determination that probable cause exists to believe a violation has occurred, designate a prosecutor and direct the issuance of a statement of charges to initiate a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2139C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 xml:space="preserve">; </w:t>
      </w:r>
      <w:r>
        <w:rPr>
          <w:rFonts w:ascii="Times New Roman" w:hAnsi="Times New Roman"/>
          <w:b/>
          <w:i w:val="false"/>
          <w:color w:val="000000"/>
          <w:sz w:val="16"/>
        </w:rPr>
        <w:t>ARC 2914C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4754C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497—2.3</w:t>
      </w:r>
      <w:r>
        <w:rPr>
          <w:rFonts w:ascii="Times New Roman" w:hAnsi="Times New Roman"/>
          <w:b/>
          <w:i w:val="false"/>
          <w:color w:val="000000"/>
          <w:sz w:val="22"/>
        </w:rPr>
        <w:t xml:space="preserve">(23) </w:t>
      </w:r>
      <w:r>
        <w:rPr>
          <w:rFonts w:ascii="Times New Roman" w:hAnsi="Times New Roman"/>
          <w:b/>
          <w:i w:val="false"/>
          <w:color w:val="000000"/>
          <w:sz w:val="22"/>
        </w:rPr>
        <w:t xml:space="preserve">Civil penalties and other appropriate remedies. </w:t>
      </w:r>
      <w:r>
        <w:rPr>
          <w:rFonts w:ascii="Times New Roman" w:hAnsi="Times New Roman"/>
          <w:b w:val="false"/>
          <w:i w:val="false"/>
          <w:color w:val="000000"/>
          <w:sz w:val="22"/>
        </w:rPr>
        <w:t xml:space="preserve">If it is determined after a contested case proceeding that a violation of statute or rule under the board’s jurisdiction has occurred, the board may impose any of the remedies set out in Iowa Code section </w:t>
      </w:r>
      <w:hyperlink r:id="rId17">
        <w:r>
          <w:rPr>
            <w:rStyle w:val="Hyperlink"/>
            <w:rFonts w:ascii="Times New Roman" w:hAnsi="Times New Roman"/>
            <w:b w:val="false"/>
            <w:i w:val="false"/>
            <w:color w:val="000000"/>
            <w:sz w:val="22"/>
          </w:rPr>
          <w:t>23.6(8)</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23.10(3)</w:t>
        </w:r>
        <w:r>
          <w:rPr>
            <w:rFonts w:ascii="Times New Roman" w:hAnsi="Times New Roman"/>
            <w:b w:val="false"/>
            <w:i/>
            <w:color w:val="000000"/>
            <w:sz w:val="22"/>
          </w:rPr>
          <w:t>“b.”</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2139C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497—2.4</w:t>
      </w:r>
      <w:r>
        <w:rPr>
          <w:rFonts w:ascii="Times New Roman" w:hAnsi="Times New Roman"/>
          <w:b/>
          <w:i w:val="false"/>
          <w:color w:val="000000"/>
          <w:sz w:val="22"/>
        </w:rPr>
        <w:t xml:space="preserve">(23) </w:t>
      </w:r>
      <w:r>
        <w:rPr>
          <w:rFonts w:ascii="Times New Roman" w:hAnsi="Times New Roman"/>
          <w:b/>
          <w:i w:val="false"/>
          <w:color w:val="000000"/>
          <w:sz w:val="22"/>
        </w:rPr>
        <w:t xml:space="preserve">Settlements. </w:t>
      </w:r>
      <w:r>
        <w:rPr>
          <w:rFonts w:ascii="Times New Roman" w:hAnsi="Times New Roman"/>
          <w:b w:val="false"/>
          <w:i w:val="false"/>
          <w:color w:val="000000"/>
          <w:sz w:val="22"/>
        </w:rPr>
        <w:t>Settlements may be negotiated during an investigation or after the commencement of a contested case proceeding. Negotiations shall be conducted between the prosecutor and a governmental body or government official against whom a complaint has been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Board member participation. </w:t>
      </w:r>
      <w:r>
        <w:rPr>
          <w:rFonts w:ascii="Times New Roman" w:hAnsi="Times New Roman"/>
          <w:b w:val="false"/>
          <w:i w:val="false"/>
          <w:color w:val="000000"/>
          <w:sz w:val="22"/>
        </w:rPr>
        <w:t>The board may designate the chairperson or another board member to participate in settlement negotiations after initiation of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communications. </w:t>
      </w:r>
      <w:r>
        <w:rPr>
          <w:rFonts w:ascii="Times New Roman" w:hAnsi="Times New Roman"/>
          <w:b w:val="false"/>
          <w:i w:val="false"/>
          <w:color w:val="000000"/>
          <w:sz w:val="22"/>
        </w:rPr>
        <w:t>If settlement negotiations are undertaken after a contested case has been initiated, the respondent may be required to waive any objections to ex parte communications concerning settlement discussions.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A settlement shall be in writing and is subject to approval of a majority of the board. If the board declines to approve a proposed settlement, the settlement shall be of no force or effect.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2139C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9">
        <w:r>
          <w:rPr>
            <w:rStyle w:val="Hyperlink"/>
            <w:rFonts w:ascii="Times New Roman" w:hAnsi="Times New Roman"/>
            <w:b w:val="false"/>
            <w:i w:val="false"/>
            <w:color w:val="000000"/>
            <w:sz w:val="22"/>
          </w:rPr>
          <w:t>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0741C</w:t>
      </w:r>
      <w:r>
        <w:rPr>
          <w:rFonts w:ascii="Times New Roman" w:hAnsi="Times New Roman"/>
          <w:b w:val="false"/>
          <w:i w:val="false"/>
          <w:color w:val="000000"/>
          <w:sz w:val="21"/>
        </w:rPr>
        <w:t xml:space="preserve"> (Notice ARC 0644C, IAB 3/20/13)</w:t>
      </w:r>
      <w:r>
        <w:rPr>
          <w:rFonts w:ascii="Times New Roman" w:hAnsi="Times New Roman"/>
          <w:b w:val="false"/>
          <w:i w:val="false"/>
          <w:color w:val="000000"/>
          <w:sz w:val="21"/>
        </w:rPr>
        <w:t>, IAB 5/15/13, effective 7/1/13]</w:t>
      </w:r>
    </w:p>
    <w:p>
      <w:pPr>
        <w:spacing w:before="0" w:after="0"/>
        <w:ind w:left="120"/>
        <w:jc w:val="center"/>
      </w:pPr>
      <w:r>
        <w:rPr>
          <w:rFonts w:ascii="Times New Roman" w:hAnsi="Times New Roman"/>
          <w:b w:val="false"/>
          <w:i w:val="false"/>
          <w:color w:val="000000"/>
          <w:sz w:val="21"/>
        </w:rPr>
        <w:t>[Filed ARC 2089C</w:t>
      </w:r>
      <w:r>
        <w:rPr>
          <w:rFonts w:ascii="Times New Roman" w:hAnsi="Times New Roman"/>
          <w:b w:val="false"/>
          <w:i w:val="false"/>
          <w:color w:val="000000"/>
          <w:sz w:val="21"/>
        </w:rPr>
        <w:t xml:space="preserve"> (Notice ARC 2011C, IAB 5/27/15)</w:t>
      </w:r>
      <w:r>
        <w:rPr>
          <w:rFonts w:ascii="Times New Roman" w:hAnsi="Times New Roman"/>
          <w:b w:val="false"/>
          <w:i w:val="false"/>
          <w:color w:val="000000"/>
          <w:sz w:val="21"/>
        </w:rPr>
        <w:t>, IAB 8/5/15, effective 9/9/15]</w:t>
      </w:r>
    </w:p>
    <w:p>
      <w:pPr>
        <w:spacing w:before="0" w:after="0"/>
        <w:ind w:left="120"/>
        <w:jc w:val="center"/>
      </w:pPr>
      <w:r>
        <w:rPr>
          <w:rFonts w:ascii="Times New Roman" w:hAnsi="Times New Roman"/>
          <w:b w:val="false"/>
          <w:i w:val="false"/>
          <w:color w:val="000000"/>
          <w:sz w:val="21"/>
        </w:rPr>
        <w:t>[Filed ARC 2139C</w:t>
      </w:r>
      <w:r>
        <w:rPr>
          <w:rFonts w:ascii="Times New Roman" w:hAnsi="Times New Roman"/>
          <w:b w:val="false"/>
          <w:i w:val="false"/>
          <w:color w:val="000000"/>
          <w:sz w:val="21"/>
        </w:rPr>
        <w:t xml:space="preserve"> (Notice ARC 2040C,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2913C</w:t>
      </w:r>
      <w:r>
        <w:rPr>
          <w:rFonts w:ascii="Times New Roman" w:hAnsi="Times New Roman"/>
          <w:b w:val="false"/>
          <w:i w:val="false"/>
          <w:color w:val="000000"/>
          <w:sz w:val="21"/>
        </w:rPr>
        <w:t xml:space="preserve"> (Notice ARC 2759C, IAB 10/12/16)</w:t>
      </w:r>
      <w:r>
        <w:rPr>
          <w:rFonts w:ascii="Times New Roman" w:hAnsi="Times New Roman"/>
          <w:b w:val="false"/>
          <w:i w:val="false"/>
          <w:color w:val="000000"/>
          <w:sz w:val="21"/>
        </w:rPr>
        <w:t>, IAB 1/18/17, effective 2/22/17]</w:t>
      </w:r>
      <w:r>
        <w:br/>
      </w:r>
      <w:r>
        <w:rPr>
          <w:rFonts w:ascii="Times New Roman" w:hAnsi="Times New Roman"/>
          <w:b w:val="false"/>
          <w:i w:val="false"/>
          <w:color w:val="000000"/>
          <w:sz w:val="21"/>
        </w:rPr>
        <w:t>[Filed ARC 2914C</w:t>
      </w:r>
      <w:r>
        <w:rPr>
          <w:rFonts w:ascii="Times New Roman" w:hAnsi="Times New Roman"/>
          <w:b w:val="false"/>
          <w:i w:val="false"/>
          <w:color w:val="000000"/>
          <w:sz w:val="21"/>
        </w:rPr>
        <w:t xml:space="preserve"> (Notice ARC 2758C, IAB 10/12/16)</w:t>
      </w:r>
      <w:r>
        <w:rPr>
          <w:rFonts w:ascii="Times New Roman" w:hAnsi="Times New Roman"/>
          <w:b w:val="false"/>
          <w:i w:val="false"/>
          <w:color w:val="000000"/>
          <w:sz w:val="21"/>
        </w:rPr>
        <w:t>, IAB 1/18/17, effective 2/22/17]</w:t>
      </w:r>
    </w:p>
    <w:p>
      <w:pPr>
        <w:spacing w:before="0" w:after="0"/>
        <w:ind w:left="120"/>
        <w:jc w:val="center"/>
      </w:pPr>
      <w:r>
        <w:rPr>
          <w:rFonts w:ascii="Times New Roman" w:hAnsi="Times New Roman"/>
          <w:b w:val="false"/>
          <w:i w:val="false"/>
          <w:color w:val="000000"/>
          <w:sz w:val="21"/>
        </w:rPr>
        <w:t>[Filed ARC 4754C</w:t>
      </w:r>
      <w:r>
        <w:rPr>
          <w:rFonts w:ascii="Times New Roman" w:hAnsi="Times New Roman"/>
          <w:b w:val="false"/>
          <w:i w:val="false"/>
          <w:color w:val="000000"/>
          <w:sz w:val="21"/>
        </w:rPr>
        <w:t xml:space="preserve"> (Notice ARC 4655C, IAB 9/11/19)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6675C</w:t>
      </w:r>
      <w:r>
        <w:rPr>
          <w:rFonts w:ascii="Times New Roman" w:hAnsi="Times New Roman"/>
          <w:b w:val="false"/>
          <w:i w:val="false"/>
          <w:color w:val="000000"/>
          <w:sz w:val="21"/>
        </w:rPr>
        <w:t xml:space="preserve"> (Notice ARC 6540C, IAB 9/21/22)</w:t>
      </w:r>
      <w:r>
        <w:rPr>
          <w:rFonts w:ascii="Times New Roman" w:hAnsi="Times New Roman"/>
          <w:b w:val="false"/>
          <w:i w:val="false"/>
          <w:color w:val="000000"/>
          <w:sz w:val="21"/>
        </w:rPr>
        <w:t>, IAB 11/16/22, effective 12/21/22]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5.5.pdf" Type="http://schemas.openxmlformats.org/officeDocument/2006/relationships/hyperlink" Id="rId7"/>
    <Relationship TargetMode="External" Target="https://www.legis.iowa.gov/docs/iac/chapter/497.10.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23.8.pdf" Type="http://schemas.openxmlformats.org/officeDocument/2006/relationships/hyperlink" Id="rId11"/>
    <Relationship TargetMode="External" Target="https://www.legis.iowa.gov/docs/ico/chapter/21.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ac/rule/497.2.4.pdf" Type="http://schemas.openxmlformats.org/officeDocument/2006/relationships/hyperlink" Id="rId14"/>
    <Relationship TargetMode="External" Target="https://www.legis.iowa.gov/docs/ico/chapter/21.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co/chapter/23.6.pdf" Type="http://schemas.openxmlformats.org/officeDocument/2006/relationships/hyperlink" Id="rId17"/>
    <Relationship TargetMode="External" Target="https://www.legis.iowa.gov/docs/ico/chapter/23.10.pdf" Type="http://schemas.openxmlformats.org/officeDocument/2006/relationships/hyperlink" Id="rId18"/>
    <Relationship TargetMode="External" Target="https://www.legis.iowa.gov/docs/ico/chapter/23.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