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GENERAL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497—1.1</w:t>
      </w:r>
      <w:r>
        <w:rPr>
          <w:rFonts w:ascii="Times New Roman" w:hAnsi="Times New Roman"/>
          <w:b/>
          <w:i w:val="false"/>
          <w:color w:val="000000"/>
          <w:sz w:val="22"/>
        </w:rPr>
        <w:t xml:space="preserve">(23) </w:t>
      </w:r>
      <w:r>
        <w:rPr>
          <w:rFonts w:ascii="Times New Roman" w:hAnsi="Times New Roman"/>
          <w:b/>
          <w:i w:val="false"/>
          <w:color w:val="000000"/>
          <w:sz w:val="22"/>
        </w:rPr>
        <w:t xml:space="preserve">Board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public information board is established by Iowa Code chapter </w:t>
      </w:r>
      <w:hyperlink r:id="rId5">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and consists of nine members, including a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term “board” shall mean the Iowa public information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Board members are appointed by the governor for staggered terms of four years and are subject to confirmation by the senate. No more than three members appointed shall be representatives from the media, including newspapers, and no more than three members appointed shall be representatives of cities, counties, and other political subdivisions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On an annual basis at the board’s first meeting on or after July 1, the members shall elect a chairperson and vice chair. The board shall also employ a person who shall be an attorney admitted to practice law before the courts of Iowa to serve as the executive director of the board. The chairperson and vice chair may be reelected or elected to a different office. If the chairperson is absent, the vice chair shall act as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Vacancies on the board are filled in the same manner as regular appointments. Appointees who fill vacancies serve for the balance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least quarterly and at the call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val="false"/>
          <w:color w:val="000000"/>
          <w:sz w:val="22"/>
        </w:rPr>
        <w:t>Five board members constitute a quorum for conducting board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available to assist in achieving compliance with open meetings and public records laws in alternative ways. Information is available on the board’s website at </w:t>
      </w:r>
      <w:hyperlink r:id="rId6">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 The members of governmental bodies and the public may call the board for informal answers to questions during office hours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Monday through Friday at (515)725-1781. Written guidance about compliance with the open meetings and public records laws may be provided by advisory opinions (see rules </w:t>
      </w:r>
      <w:hyperlink r:id="rId7">
        <w:r>
          <w:rPr>
            <w:rStyle w:val="Hyperlink"/>
            <w:rFonts w:ascii="Times New Roman" w:hAnsi="Times New Roman"/>
            <w:b w:val="false"/>
            <w:i w:val="false"/>
            <w:color w:val="000000"/>
            <w:sz w:val="22"/>
          </w:rPr>
          <w:t>497—1.2</w:t>
        </w:r>
      </w:hyperlink>
      <w:r>
        <w:rPr>
          <w:rFonts w:ascii="Times New Roman" w:hAnsi="Times New Roman"/>
          <w:b w:val="false"/>
          <w:i w:val="false"/>
          <w:color w:val="000000"/>
          <w:sz w:val="22"/>
        </w:rPr>
        <w:t xml:space="preserve">(23) and </w:t>
      </w:r>
      <w:hyperlink r:id="rId8">
        <w:r>
          <w:rPr>
            <w:rStyle w:val="Hyperlink"/>
            <w:rFonts w:ascii="Times New Roman" w:hAnsi="Times New Roman"/>
            <w:b w:val="false"/>
            <w:i w:val="false"/>
            <w:color w:val="000000"/>
            <w:sz w:val="22"/>
          </w:rPr>
          <w:t>497—1.3</w:t>
        </w:r>
      </w:hyperlink>
      <w:r>
        <w:rPr>
          <w:rFonts w:ascii="Times New Roman" w:hAnsi="Times New Roman"/>
          <w:b w:val="false"/>
          <w:i w:val="false"/>
          <w:color w:val="000000"/>
          <w:sz w:val="22"/>
        </w:rPr>
        <w:t xml:space="preserve">(23)) or by declaratory orders (see rules </w:t>
      </w:r>
      <w:hyperlink r:id="rId9">
        <w:r>
          <w:rPr>
            <w:rStyle w:val="Hyperlink"/>
            <w:rFonts w:ascii="Times New Roman" w:hAnsi="Times New Roman"/>
            <w:b w:val="false"/>
            <w:i w:val="false"/>
            <w:color w:val="000000"/>
            <w:sz w:val="22"/>
          </w:rPr>
          <w:t>497—3.1</w:t>
        </w:r>
      </w:hyperlink>
      <w:r>
        <w:rPr>
          <w:rFonts w:ascii="Times New Roman" w:hAnsi="Times New Roman"/>
          <w:b w:val="false"/>
          <w:i w:val="false"/>
          <w:color w:val="000000"/>
          <w:sz w:val="22"/>
        </w:rPr>
        <w:t xml:space="preserve">(17A) to </w:t>
      </w:r>
      <w:hyperlink r:id="rId10">
        <w:r>
          <w:rPr>
            <w:rStyle w:val="Hyperlink"/>
            <w:rFonts w:ascii="Times New Roman" w:hAnsi="Times New Roman"/>
            <w:b w:val="false"/>
            <w:i w:val="false"/>
            <w:color w:val="000000"/>
            <w:sz w:val="22"/>
          </w:rPr>
          <w:t>497—3.8</w:t>
        </w:r>
      </w:hyperlink>
      <w:r>
        <w:rPr>
          <w:rFonts w:ascii="Times New Roman" w:hAnsi="Times New Roman"/>
          <w:b w:val="false"/>
          <w:i w:val="false"/>
          <w:color w:val="000000"/>
          <w:sz w:val="22"/>
        </w:rPr>
        <w:t xml:space="preserve">(17A)). In addition, complaints may be filed alleging violations of open meetings or public records laws under rule </w:t>
      </w:r>
      <w:hyperlink r:id="rId11">
        <w:r>
          <w:rPr>
            <w:rStyle w:val="Hyperlink"/>
            <w:rFonts w:ascii="Times New Roman" w:hAnsi="Times New Roman"/>
            <w:b w:val="false"/>
            <w:i w:val="false"/>
            <w:color w:val="000000"/>
            <w:sz w:val="22"/>
          </w:rPr>
          <w:t>497—2.1</w:t>
        </w:r>
      </w:hyperlink>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2271C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497—1.2</w:t>
      </w:r>
      <w:r>
        <w:rPr>
          <w:rFonts w:ascii="Times New Roman" w:hAnsi="Times New Roman"/>
          <w:b/>
          <w:i w:val="false"/>
          <w:color w:val="000000"/>
          <w:sz w:val="22"/>
        </w:rPr>
        <w:t xml:space="preserve">(23) </w:t>
      </w:r>
      <w:r>
        <w:rPr>
          <w:rFonts w:ascii="Times New Roman" w:hAnsi="Times New Roman"/>
          <w:b/>
          <w:i w:val="false"/>
          <w:color w:val="000000"/>
          <w:sz w:val="22"/>
        </w:rPr>
        <w:t xml:space="preserve">Requirements for requesting board advisory opinions.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The board will only accept requests for and issue advisory opinions pertaining to Iowa Code chapters </w:t>
      </w:r>
      <w:hyperlink r:id="rId1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or rules adopted thereunder. The board shall not have jurisdiction over the judicial or legislative branches of state government or any entity, officer, or employee of those branches, or over the governor or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an advisory opinion. </w:t>
      </w:r>
      <w:r>
        <w:rPr>
          <w:rFonts w:ascii="Times New Roman" w:hAnsi="Times New Roman"/>
          <w:b w:val="false"/>
          <w:i w:val="false"/>
          <w:color w:val="000000"/>
          <w:sz w:val="22"/>
        </w:rPr>
        <w:t xml:space="preserve">Any person may request a board advisory opinion construing or applying Iowa Code chapters </w:t>
      </w:r>
      <w:hyperlink r:id="rId1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An authorized agent may seek an opinion on behalf of any person. The board will not issue an opinion to an unauthorized third party. The board may on its own motion issue opinions without receiving a formal request. The board may issue declaratory orders with the force of law pursuant to Iowa Code section </w:t>
      </w:r>
      <w:hyperlink r:id="rId1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 xml:space="preserve">The request for an advisory opinion shall pose specific legal questions and should describe any specific facts relating to the questions posed. Requests shall be sent to the board as provided in subrule </w:t>
      </w:r>
      <w:hyperlink r:id="rId19">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2088C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 xml:space="preserve">; </w:t>
      </w:r>
      <w:r>
        <w:rPr>
          <w:rFonts w:ascii="Times New Roman" w:hAnsi="Times New Roman"/>
          <w:b/>
          <w:i w:val="false"/>
          <w:color w:val="000000"/>
          <w:sz w:val="16"/>
        </w:rPr>
        <w:t>ARC 4101C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497—1.3</w:t>
      </w:r>
      <w:r>
        <w:rPr>
          <w:rFonts w:ascii="Times New Roman" w:hAnsi="Times New Roman"/>
          <w:b/>
          <w:i w:val="false"/>
          <w:color w:val="000000"/>
          <w:sz w:val="22"/>
        </w:rPr>
        <w:t xml:space="preserve">(23) </w:t>
      </w:r>
      <w:r>
        <w:rPr>
          <w:rFonts w:ascii="Times New Roman" w:hAnsi="Times New Roman"/>
          <w:b/>
          <w:i w:val="false"/>
          <w:color w:val="000000"/>
          <w:sz w:val="22"/>
        </w:rPr>
        <w:t xml:space="preserve">Processing of advisory opinion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board advisory opinions may be mailed to the Iowa Public Information Board, Wallace State Office Building, 502 East 9th Street, Des Moines, Iowa 50319. Requests may also be submitted by fax to (515)725-1789 or by email to </w:t>
      </w:r>
      <w:hyperlink r:id="rId21">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After receiving an opinion request, the board’s executive director shall cause to be prepared a draft opinion for board review. If the same or similar issue has been addressed in an opinion of a court, or in an attorney general’s opinion, or in another prior advisory opinion, the executive director may respond to the requester by sending a copy of the prior opinion. Upon an affirmative vote of at least five members, the executive director shall issue a board advisory opinion on behalf of the board. Advice contained in a board opinion rendered to a government official or a lawful custodian of a public record, if followed, constitutes a defense for the government official or lawful custodian before the board to a subsequent complaint that is based on the same facts and circumstances. Board staff may also provide written advice on routine matters. However, such advice is not an advisory opinion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 board advisory opinion may, within 30 days after the issuance of the opinion, request modification or reconsideration of the opinion. A request for modification or reconsideration shall be deemed denied unless the board acts upon the request within 60 days of receipt of the request. The board may take up modification or reconsideration of an advisory opinion on its own motion within 30 days after the issuance of an opinion. The board aspires to issue an opinion within 30 days after a formal request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advisory opinions are open records and shall be made available at the board office and via the board’s website at </w:t>
      </w:r>
      <w:hyperlink r:id="rId22">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precludes a person who has received a board opinion or advice from petitioning for a declaratory order pursuant to Iowa Code section </w:t>
      </w:r>
      <w:hyperlink r:id="rId2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The board may refuse to issue a declaratory order to a person who has previously received a board opinion on the same question, unless the requester demonstrates a significant change in circumstances from those in the board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val="false"/>
          <w:color w:val="000000"/>
          <w:sz w:val="22"/>
        </w:rPr>
        <w:t xml:space="preserve">On an annual basis, the board shall review the advisory opinions issued for that year and determine which opinions should be adopted into rule pursuant to the procedures in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2088C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 xml:space="preserve">; </w:t>
      </w:r>
      <w:r>
        <w:rPr>
          <w:rFonts w:ascii="Times New Roman" w:hAnsi="Times New Roman"/>
          <w:b/>
          <w:i w:val="false"/>
          <w:color w:val="000000"/>
          <w:sz w:val="16"/>
        </w:rPr>
        <w:t>ARC 5569C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497—1.4</w:t>
      </w:r>
      <w:r>
        <w:rPr>
          <w:rFonts w:ascii="Times New Roman" w:hAnsi="Times New Roman"/>
          <w:b/>
          <w:i w:val="false"/>
          <w:color w:val="000000"/>
          <w:sz w:val="22"/>
        </w:rPr>
        <w:t xml:space="preserve">(23)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“Conflict of interest” means that a board member, an employee of the board, a board member’s immediate family, or an immediate family member of an employee of the board has a significant personal, financial, or employment relationship with: a person who has requested an advisory opinion; a person who has petitioned for a declaratory order; a complainant; or a government employee or official or a governmental body that would be directly impacted by an advisory opinion, a declaratory order, or a complaint. For purposes of this rule, “immediate family” means the same as “immediate family members” in Iowa Code section </w:t>
      </w:r>
      <w:hyperlink r:id="rId26">
        <w:r>
          <w:rPr>
            <w:rStyle w:val="Hyperlink"/>
            <w:rFonts w:ascii="Times New Roman" w:hAnsi="Times New Roman"/>
            <w:b w:val="false"/>
            <w:i w:val="false"/>
            <w:color w:val="000000"/>
            <w:sz w:val="22"/>
          </w:rPr>
          <w:t>68B.2(11)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As soon as a member of the board or an employee of the board becomes aware of a conflict of interest, the member or employee of the board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conflict is known before a meeting, the member or employee of the board shall fully disclose the interest to the board at the board’s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conflict is discovered during a meeting, the member or employee of the board shall orally inform the board of the nature of the conflict as soon as the conflict is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member or employee of the board who has the conflict shall not participate in discussion or vote on any advisory opinion, declaratory order, or complaint. An announced conflict shall be reported in the board’s minutes and the minutes shall reflect the matters on which the board member or employee of the board abstained from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State code of ethics. </w:t>
      </w:r>
      <w:r>
        <w:rPr>
          <w:rFonts w:ascii="Times New Roman" w:hAnsi="Times New Roman"/>
          <w:b w:val="false"/>
          <w:i w:val="false"/>
          <w:color w:val="000000"/>
          <w:sz w:val="22"/>
        </w:rPr>
        <w:t xml:space="preserve">Board members and employees of the board shall comply with the state code of ethics found in Iowa Code chapter </w:t>
      </w:r>
      <w:hyperlink r:id="rId2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in the corresponding administrative rules adopted by the Iowa ethics and campaign disclosure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2090C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 xml:space="preserve">; </w:t>
      </w:r>
      <w:r>
        <w:rPr>
          <w:rFonts w:ascii="Times New Roman" w:hAnsi="Times New Roman"/>
          <w:b/>
          <w:i w:val="false"/>
          <w:color w:val="000000"/>
          <w:sz w:val="16"/>
        </w:rPr>
        <w:t>ARC 2536C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p>
      <w:pPr>
        <w:spacing w:before="0" w:after="0"/>
        <w:ind w:left="120"/>
        <w:jc w:val="center"/>
      </w:pPr>
      <w:r>
        <w:rPr>
          <w:rFonts w:ascii="Times New Roman" w:hAnsi="Times New Roman"/>
          <w:b w:val="false"/>
          <w:i w:val="false"/>
          <w:color w:val="000000"/>
          <w:sz w:val="21"/>
        </w:rPr>
        <w:t>[Filed ARC 2090C</w:t>
      </w:r>
      <w:r>
        <w:rPr>
          <w:rFonts w:ascii="Times New Roman" w:hAnsi="Times New Roman"/>
          <w:b w:val="false"/>
          <w:i w:val="false"/>
          <w:color w:val="000000"/>
          <w:sz w:val="21"/>
        </w:rPr>
        <w:t xml:space="preserve"> (Notice ARC 2013C, IAB 5/27/15)</w:t>
      </w:r>
      <w:r>
        <w:rPr>
          <w:rFonts w:ascii="Times New Roman" w:hAnsi="Times New Roman"/>
          <w:b w:val="false"/>
          <w:i w:val="false"/>
          <w:color w:val="000000"/>
          <w:sz w:val="21"/>
        </w:rPr>
        <w:t>, IAB 8/5/15, effective 9/9/15]</w:t>
      </w:r>
      <w:r>
        <w:br/>
      </w:r>
      <w:r>
        <w:rPr>
          <w:rFonts w:ascii="Times New Roman" w:hAnsi="Times New Roman"/>
          <w:b w:val="false"/>
          <w:i w:val="false"/>
          <w:color w:val="000000"/>
          <w:sz w:val="21"/>
        </w:rPr>
        <w:t>[Filed ARC 2088C</w:t>
      </w:r>
      <w:r>
        <w:rPr>
          <w:rFonts w:ascii="Times New Roman" w:hAnsi="Times New Roman"/>
          <w:b w:val="false"/>
          <w:i w:val="false"/>
          <w:color w:val="000000"/>
          <w:sz w:val="21"/>
        </w:rPr>
        <w:t xml:space="preserve"> (Notice ARC 2012C, IAB 5/27/15)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2271C</w:t>
      </w:r>
      <w:r>
        <w:rPr>
          <w:rFonts w:ascii="Times New Roman" w:hAnsi="Times New Roman"/>
          <w:b w:val="false"/>
          <w:i w:val="false"/>
          <w:color w:val="000000"/>
          <w:sz w:val="21"/>
        </w:rPr>
        <w:t xml:space="preserve"> (Notice ARC 2093C,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2536C</w:t>
      </w:r>
      <w:r>
        <w:rPr>
          <w:rFonts w:ascii="Times New Roman" w:hAnsi="Times New Roman"/>
          <w:b w:val="false"/>
          <w:i w:val="false"/>
          <w:color w:val="000000"/>
          <w:sz w:val="21"/>
        </w:rPr>
        <w:t xml:space="preserve"> (Notice ARC 2364C, IAB 1/20/16)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4101C</w:t>
      </w:r>
      <w:r>
        <w:rPr>
          <w:rFonts w:ascii="Times New Roman" w:hAnsi="Times New Roman"/>
          <w:b w:val="false"/>
          <w:i w:val="false"/>
          <w:color w:val="000000"/>
          <w:sz w:val="21"/>
        </w:rPr>
        <w:t xml:space="preserve"> (Notice ARC 3808C, IAB 5/23/18)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5569C</w:t>
      </w:r>
      <w:r>
        <w:rPr>
          <w:rFonts w:ascii="Times New Roman" w:hAnsi="Times New Roman"/>
          <w:b w:val="false"/>
          <w:i w:val="false"/>
          <w:color w:val="000000"/>
          <w:sz w:val="21"/>
        </w:rPr>
        <w:t xml:space="preserve"> (Notice ARC 5377C, IAB 1/13/21)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pdf" Type="http://schemas.openxmlformats.org/officeDocument/2006/relationships/hyperlink" Id="rId5"/>
    <Relationship TargetMode="External" Target="http://ipib.iowa.gov" Type="http://schemas.openxmlformats.org/officeDocument/2006/relationships/hyperlink" Id="rId6"/>
    <Relationship TargetMode="External" Target="https://www.legis.iowa.gov/docs/iac/rule/497.1.2.pdf" Type="http://schemas.openxmlformats.org/officeDocument/2006/relationships/hyperlink" Id="rId7"/>
    <Relationship TargetMode="External" Target="https://www.legis.iowa.gov/docs/iac/rule/497.1.3.pdf" Type="http://schemas.openxmlformats.org/officeDocument/2006/relationships/hyperlink" Id="rId8"/>
    <Relationship TargetMode="External" Target="https://www.legis.iowa.gov/docs/iac/rule/497.3.1.pdf" Type="http://schemas.openxmlformats.org/officeDocument/2006/relationships/hyperlink" Id="rId9"/>
    <Relationship TargetMode="External" Target="https://www.legis.iowa.gov/docs/iac/rule/497.3.8.pdf" Type="http://schemas.openxmlformats.org/officeDocument/2006/relationships/hyperlink" Id="rId10"/>
    <Relationship TargetMode="External" Target="https://www.legis.iowa.gov/docs/iac/rule/497.2.1.pdf" Type="http://schemas.openxmlformats.org/officeDocument/2006/relationships/hyperlink" Id="rId11"/>
    <Relationship TargetMode="External" Target="https://www.legis.iowa.gov/docs/ico/chapter/23.pdf" Type="http://schemas.openxmlformats.org/officeDocument/2006/relationships/hyperlink" Id="rId12"/>
    <Relationship TargetMode="External" Target="https://www.legis.iowa.gov/docs/ico/chapter/21.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21.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3.pdf" Type="http://schemas.openxmlformats.org/officeDocument/2006/relationships/hyperlink" Id="rId17"/>
    <Relationship TargetMode="External" Target="https://www.legis.iowa.gov/docs/ico/chapter/17A.9.pdf" Type="http://schemas.openxmlformats.org/officeDocument/2006/relationships/hyperlink" Id="rId18"/>
    <Relationship TargetMode="External" Target="https://www.legis.iowa.gov/docs/iac/rule/497.1.3.pdf" Type="http://schemas.openxmlformats.org/officeDocument/2006/relationships/hyperlink" Id="rId19"/>
    <Relationship TargetMode="External" Target="https://www.legis.iowa.gov/docs/ico/chapter/23.6.pdf" Type="http://schemas.openxmlformats.org/officeDocument/2006/relationships/hyperlink" Id="rId20"/>
    <Relationship TargetMode="External" Target="mailto:ipib@iowa.gov" Type="http://schemas.openxmlformats.org/officeDocument/2006/relationships/hyperlink" Id="rId21"/>
    <Relationship TargetMode="External" Target="http://ipib.iowa.gov" Type="http://schemas.openxmlformats.org/officeDocument/2006/relationships/hyperlink" Id="rId22"/>
    <Relationship TargetMode="External" Target="https://www.legis.iowa.gov/docs/ico/chapter/17A.9.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3.6.pdf" Type="http://schemas.openxmlformats.org/officeDocument/2006/relationships/hyperlink" Id="rId25"/>
    <Relationship TargetMode="External" Target="https://www.legis.iowa.gov/docs/ico/chapter/68B.2.pdf" Type="http://schemas.openxmlformats.org/officeDocument/2006/relationships/hyperlink" Id="rId26"/>
    <Relationship TargetMode="External" Target="https://www.legis.iowa.gov/docs/ico/chapter/68B.pdf" Type="http://schemas.openxmlformats.org/officeDocument/2006/relationships/hyperlink" Id="rId27"/>
    <Relationship TargetMode="External" Target="https://www.legis.iowa.gov/docs/ico/chapter/23.6.pdf" Type="http://schemas.openxmlformats.org/officeDocument/2006/relationships/hyperlink" Id="rId28"/>
    <Relationship TargetMode="External" Target="https://www.legis.iowa.gov/docs/ico/chapter/68B.2A.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