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REFUNDS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495—9.1</w:t>
      </w:r>
      <w:r>
        <w:rPr>
          <w:rFonts w:ascii="Times New Roman" w:hAnsi="Times New Roman"/>
          <w:b/>
          <w:i w:val="false"/>
          <w:color w:val="000000"/>
          <w:sz w:val="22"/>
        </w:rPr>
        <w:t xml:space="preserve">(97B) </w:t>
      </w:r>
      <w:r>
        <w:rPr>
          <w:rFonts w:ascii="Times New Roman" w:hAnsi="Times New Roman"/>
          <w:b/>
          <w:i w:val="false"/>
          <w:color w:val="000000"/>
          <w:sz w:val="22"/>
        </w:rPr>
        <w:t xml:space="preserve">Refunds for members with only one type of service credit. </w:t>
      </w:r>
      <w:r>
        <w:rPr>
          <w:rFonts w:ascii="Times New Roman" w:hAnsi="Times New Roman"/>
          <w:b w:val="false"/>
          <w:i w:val="false"/>
          <w:color w:val="000000"/>
          <w:sz w:val="22"/>
        </w:rPr>
        <w:t>A member is eligible for a refund of the employee accumulated contributions as soon as practicable after the last date the member is considered an employee, provided that the employee has filed the required forms and has not returned to covered employment before the date the refund is paid. Effective July 1, 1999, a vested member’s refund shall also include a portion of the employer accumulated contributions. Refund amounts are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Employee accumulated contributions. Upon receiving an eligible member’s application for refund, IPERS shall pay to the terminated member the amount of the employee accumulated contributions currently reported to, and processed by, IPERS as of the date of the refund. Upon reconciliation of the final employee contributions for that member, a supplemental refund of the employee accumulated contributions will be paid if funds remain in the member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Employer accumulated contributions. IPERS shall also pay to vested members, in addition to the employee accumulated contributions, a refund of a portion of the employer accumulated contributions. The refundable portion shall be calculated by multiplying the employer accumulated contributions by the “service factor.” The “service factor” is a fraction, the numerator of which is the member’s quarters of service and the denominator of which is the “applicable quarters.” The “applicable quarters” shall be 120 for regular members and 88 for all special service members.</w:t>
      </w:r>
    </w:p>
    <w:p>
      <w:pPr>
        <w:spacing w:before="0" w:after="0"/>
        <w:ind w:left="120"/>
        <w:jc w:val="both"/>
      </w:pPr>
      <w:r>
        <w:rPr>
          <w:rFonts w:ascii="Times New Roman" w:hAnsi="Times New Roman"/>
          <w:b w:val="false"/>
          <w:i w:val="false"/>
          <w:color w:val="000000"/>
          <w:sz w:val="22"/>
        </w:rPr>
        <w:t>All quarters of service credit shall be included in the numerator of the service factor. In no event will a member ever receive an amount in excess of 100 percent of the employer accumulated contributions for that member.</w:t>
      </w:r>
    </w:p>
    <w:p>
      <w:pPr>
        <w:spacing w:before="0" w:after="0"/>
        <w:ind w:left="120"/>
        <w:jc w:val="both"/>
      </w:pPr>
      <w:r>
        <w:rPr>
          <w:rFonts w:ascii="Times New Roman" w:hAnsi="Times New Roman"/>
          <w:b w:val="false"/>
          <w:i w:val="false"/>
          <w:color w:val="000000"/>
          <w:sz w:val="22"/>
        </w:rPr>
        <w:t>In addition to the foregoing provisions, IPERS shall calculate the refundable portion of the employer accumulated contributions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reconciliation of the final employer contributions for that member, the member’s portion of the employer accumulated contributions will be recalculated. IPERS will add the additional quarter(s) of service to the numerator of the service factor. The adjusted service factor will be multiplied by the sum of the original employer accumulated contributions plus the supplemental employer accumulated contributions. The employer accumulated contributions included in the original refund will then be subtracted from that recalculated figure to determine the amount of employer accumulated contributions to be included in the supplemental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portion of employer accumulated contributions shall be determined under rule </w:t>
      </w:r>
      <w:hyperlink r:id="rId5">
        <w:r>
          <w:rPr>
            <w:rStyle w:val="Hyperlink"/>
            <w:rFonts w:ascii="Times New Roman" w:hAnsi="Times New Roman"/>
            <w:b w:val="false"/>
            <w:i w:val="false"/>
            <w:color w:val="000000"/>
            <w:sz w:val="22"/>
          </w:rPr>
          <w:t>495—9.2</w:t>
        </w:r>
      </w:hyperlink>
      <w:r>
        <w:rPr>
          <w:rFonts w:ascii="Times New Roman" w:hAnsi="Times New Roman"/>
          <w:b w:val="false"/>
          <w:i w:val="false"/>
          <w:color w:val="000000"/>
          <w:sz w:val="22"/>
        </w:rPr>
        <w:t>(97B) if the member had a combination of regular service and special service, or a combination of different types of special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val="false"/>
          <w:color w:val="000000"/>
          <w:sz w:val="22"/>
        </w:rPr>
        <w:t xml:space="preserve">In making calculations under this rule and rule </w:t>
      </w:r>
      <w:hyperlink r:id="rId6">
        <w:r>
          <w:rPr>
            <w:rStyle w:val="Hyperlink"/>
            <w:rFonts w:ascii="Times New Roman" w:hAnsi="Times New Roman"/>
            <w:b w:val="false"/>
            <w:i w:val="false"/>
            <w:color w:val="000000"/>
            <w:sz w:val="22"/>
          </w:rPr>
          <w:t>495—9.2</w:t>
        </w:r>
      </w:hyperlink>
      <w:r>
        <w:rPr>
          <w:rFonts w:ascii="Times New Roman" w:hAnsi="Times New Roman"/>
          <w:b w:val="false"/>
          <w:i w:val="false"/>
          <w:color w:val="000000"/>
          <w:sz w:val="22"/>
        </w:rPr>
        <w:t>(97B), IPERS shall round to not less than six decimal places to the right of the decimal point.</w:t>
      </w:r>
    </w:p>
    <w:p>
      <w:pPr>
        <w:spacing w:before="0" w:after="0"/>
        <w:ind w:left="120"/>
        <w:jc w:val="both"/>
      </w:pPr>
      <w:r>
        <w:rPr>
          <w:rFonts w:ascii="Times New Roman" w:hAnsi="Times New Roman"/>
          <w:b/>
          <w:i w:val="false"/>
          <w:color w:val="000000"/>
          <w:sz w:val="22"/>
        </w:rPr>
        <w:t>495—9.2</w:t>
      </w:r>
      <w:r>
        <w:rPr>
          <w:rFonts w:ascii="Times New Roman" w:hAnsi="Times New Roman"/>
          <w:b/>
          <w:i w:val="false"/>
          <w:color w:val="000000"/>
          <w:sz w:val="22"/>
        </w:rPr>
        <w:t xml:space="preserve">(97B) </w:t>
      </w:r>
      <w:r>
        <w:rPr>
          <w:rFonts w:ascii="Times New Roman" w:hAnsi="Times New Roman"/>
          <w:b/>
          <w:i w:val="false"/>
          <w:color w:val="000000"/>
          <w:sz w:val="22"/>
        </w:rPr>
        <w:t xml:space="preserve">Refunds for members eligible for a hybrid refund. </w:t>
      </w:r>
      <w:r>
        <w:rPr>
          <w:rFonts w:ascii="Times New Roman" w:hAnsi="Times New Roman"/>
          <w:b w:val="false"/>
          <w:i w:val="false"/>
          <w:color w:val="000000"/>
          <w:sz w:val="22"/>
        </w:rPr>
        <w:t>The calculation of the member’s portion of employer accumulated contributions for a “hybrid refund”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A “hybrid refund” is a refund that is calculated for a member who has a combination of regular service and special service quarters.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If a member is eligible for a hybrid refund, the member’s portion of employer accumulated contributions shall be calculated by multiplying the total employer accumulated contributions by: (a) the member’s regular service factor, if any; and (b) the special service factor, if any (except as otherwise provided in this subrule). The amounts obtained will be added together to determine the amount of the employer accumulated contributions payable. In no event will a member ever receive an amount in excess of 100 percent of the employer accumulated contributions for that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Upon reconciliation of the final contributions from a member’s employer, the member’s portion of the employer accumulated contributions under this rule will be recalculated. IPERS will add the additional quarter(s) of service to the numerator of the applicable service factor. The adjusted service factor will be multiplied by the sum of the original employer accumulated contributions plus the supplemental employer accumulated contributions. The employer accumulated contributions included in the original refund will then be subtracted from that recalculated figure to determine the amount of the employer accumulated contributions to be included in the supplemental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val="false"/>
          <w:color w:val="000000"/>
          <w:sz w:val="22"/>
        </w:rPr>
        <w:t>If wages reported for a quarter are a combination of regular and special service wages, IPERS will classify the service credit for each quarter based on the largest dollar amount reported for that quarter. A member shall not receive more than one quarter of service credit for any calendar quarter, even though more than one type of service credit is recorded for that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val="false"/>
          <w:color w:val="000000"/>
          <w:sz w:val="22"/>
        </w:rPr>
        <w:t>If a member is last employed in a sheriff or deputy sheriff position, all quarters of “eligible service” shall be counted as quarters of sheriff or deputy sheriff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special limitation applies to hybrid refunds where the member and employer contributed at regular rates for quarters that are eligible for coverage under Iowa Code section </w:t>
      </w:r>
      <w:hyperlink r:id="rId7">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or Iowa Code section </w:t>
      </w:r>
      <w:hyperlink r:id="rId8">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If a member has regular service credit and special service credit and any part of the special service credit consists of quarters for which only regular contributions were made, such quarters will be counted as regular service quarters. However, the foregoing limitation will not apply if the member only has service credit eligible for coverage under Iowa Code section </w:t>
      </w:r>
      <w:hyperlink r:id="rId9">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or only has service credit eligible for coverage under Iowa Code section </w:t>
      </w:r>
      <w:hyperlink r:id="rId10">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495—9.3</w:t>
      </w:r>
      <w:r>
        <w:rPr>
          <w:rFonts w:ascii="Times New Roman" w:hAnsi="Times New Roman"/>
          <w:b/>
          <w:i w:val="false"/>
          <w:color w:val="000000"/>
          <w:sz w:val="22"/>
        </w:rPr>
        <w:t xml:space="preserve">(97B) </w:t>
      </w:r>
      <w:r>
        <w:rPr>
          <w:rFonts w:ascii="Times New Roman" w:hAnsi="Times New Roman"/>
          <w:b/>
          <w:i w:val="false"/>
          <w:color w:val="000000"/>
          <w:sz w:val="22"/>
        </w:rPr>
        <w:t xml:space="preserve">Refund of retired reemployed members’ contributions.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7/14/10</w:t>
      </w:r>
      <w:r>
        <w:rPr>
          <w:rFonts w:ascii="Times New Roman" w:hAnsi="Times New Roman"/>
          <w:b w:val="false"/>
          <w:i w:val="false"/>
          <w:color w:val="000000"/>
          <w:sz w:val="22"/>
        </w:rPr>
        <w:t>, effective 6/21/10.</w:t>
      </w:r>
    </w:p>
    <w:p>
      <w:pPr>
        <w:spacing w:before="0" w:after="0"/>
        <w:ind w:left="120"/>
        <w:jc w:val="both"/>
      </w:pPr>
      <w:r>
        <w:rPr>
          <w:rFonts w:ascii="Times New Roman" w:hAnsi="Times New Roman"/>
          <w:b/>
          <w:i w:val="false"/>
          <w:color w:val="000000"/>
          <w:sz w:val="22"/>
        </w:rPr>
        <w:t>495—9.4</w:t>
      </w:r>
      <w:r>
        <w:rPr>
          <w:rFonts w:ascii="Times New Roman" w:hAnsi="Times New Roman"/>
          <w:b/>
          <w:i w:val="false"/>
          <w:color w:val="000000"/>
          <w:sz w:val="22"/>
        </w:rPr>
        <w:t xml:space="preserve">(97B) </w:t>
      </w:r>
      <w:r>
        <w:rPr>
          <w:rFonts w:ascii="Times New Roman" w:hAnsi="Times New Roman"/>
          <w:b/>
          <w:i w:val="false"/>
          <w:color w:val="000000"/>
          <w:sz w:val="22"/>
        </w:rPr>
        <w:t xml:space="preserve">General administrative provisions. </w:t>
      </w:r>
      <w:r>
        <w:rPr>
          <w:rFonts w:ascii="Times New Roman" w:hAnsi="Times New Roman"/>
          <w:b w:val="false"/>
          <w:i w:val="false"/>
          <w:color w:val="000000"/>
          <w:sz w:val="22"/>
        </w:rPr>
        <w:t>In addition to the foregoing, IPERS shall administer a member’s request for a refund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refund, a member must file a refund application form, which is available directly from IPERS or which can be reprinted from IPERS’ website: </w:t>
      </w:r>
      <w:hyperlink r:id="rId11">
        <w:r>
          <w:rPr>
            <w:rStyle w:val="Hyperlink"/>
            <w:rFonts w:ascii="Times New Roman" w:hAnsi="Times New Roman"/>
            <w:b w:val="false"/>
            <w:i w:val="false"/>
            <w:color w:val="000000"/>
            <w:sz w:val="22"/>
            <w:u w:val="single"/>
          </w:rPr>
          <w:t>www.ipers.org</w:t>
        </w:r>
      </w:hyperlink>
      <w:r>
        <w:rPr>
          <w:rFonts w:ascii="Times New Roman" w:hAnsi="Times New Roman"/>
          <w:b w:val="false"/>
          <w:i w:val="false"/>
          <w:color w:val="000000"/>
          <w:sz w:val="22"/>
        </w:rPr>
        <w:t>. Effective December 31, 2002, refund application forms shall only be available from IPERS. If the member is married, election of a refund under this chapter requires the written acknowledgment of the member’s spouse. However, the system may accept a married member’s election of a refund under this chapter without the written acknowledgment of the member’s spouse if the member submits a notarized statement affirming that, after reasonable diligent efforts, the member has been unable to locate the member’s spouse to obtain the written acknowledgment of the spouse. The member’s election of a refund shall become effective upon filing the necessary forms, including the notarized statement, with the system. The system shall not be liable to the member, the member’s spouse, nor to any other person affected by the member’s election of a refund based upon an election of a refund accomplished without the written acknowledgment of the member’s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val="false"/>
          <w:color w:val="000000"/>
          <w:sz w:val="22"/>
        </w:rPr>
        <w:t>The last date the member is considered an employee and the date of the last paycheck from which IPERS contributions will be deducted must be certified by the employer on the refund application unless the member has not been paid covered wages for at least one year or the employer has provided the termination date and date of the last paycheck on the monthly wage reports filed with IPERS. Terminated employees must keep IPERS advised in writing of any change in address so that refunds and tax documents may be delivered. Unless an electronic funds transfer is requested by the member, the refund warrant will be mailed to the member at the address listed on the application for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val="false"/>
          <w:color w:val="000000"/>
          <w:sz w:val="22"/>
        </w:rPr>
        <w:t>No payment of any kind is required under this rule if the amount due is less than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val="false"/>
          <w:color w:val="000000"/>
          <w:sz w:val="22"/>
        </w:rPr>
        <w:t>Effective July 1, 2004, an employee must sever all covered employment for 30 days after the date the employee was last considered an employee of a covered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val="false"/>
          <w:color w:val="000000"/>
          <w:sz w:val="22"/>
        </w:rPr>
        <w:t>Effective November 2006, an individual who previously stopped participating in IPERS to begin participating in an alternative plan shall not receive a refund of that individual’s IPERS account while still employed by a covered employer, even if the member is no longer in IPERS covered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495—9.5</w:t>
      </w:r>
      <w:r>
        <w:rPr>
          <w:rFonts w:ascii="Times New Roman" w:hAnsi="Times New Roman"/>
          <w:b/>
          <w:i w:val="false"/>
          <w:color w:val="000000"/>
          <w:sz w:val="22"/>
        </w:rPr>
        <w:t xml:space="preserve">(97B) </w:t>
      </w:r>
      <w:r>
        <w:rPr>
          <w:rFonts w:ascii="Times New Roman" w:hAnsi="Times New Roman"/>
          <w:b/>
          <w:i w:val="false"/>
          <w:color w:val="000000"/>
          <w:sz w:val="22"/>
        </w:rPr>
        <w:t xml:space="preserve">Termination of employment—refund option. </w:t>
      </w:r>
      <w:r>
        <w:rPr>
          <w:rFonts w:ascii="Times New Roman" w:hAnsi="Times New Roman"/>
          <w:b w:val="false"/>
          <w:i w:val="false"/>
          <w:color w:val="000000"/>
          <w:sz w:val="22"/>
        </w:rPr>
        <w:t xml:space="preserve">If a member is involuntarily terminated from covered employment, has been issued payment for a refund, and is retroactively reinstated in covered employment as a remedy for an employment dispute, the member may receive credit for membership service for the period covered by the refund payment upon repayment to the system, within 90 days after the date of the order or agreement requiring reinstatement, of the amount of the refund plus interest that would have accrued, as determined by the system. A reinstatement following an employment dispute shall not constitute a violation of Iowa Code section </w:t>
      </w:r>
      <w:hyperlink r:id="rId12">
        <w:r>
          <w:rPr>
            <w:rStyle w:val="Hyperlink"/>
            <w:rFonts w:ascii="Times New Roman" w:hAnsi="Times New Roman"/>
            <w:b w:val="false"/>
            <w:i w:val="false"/>
            <w:color w:val="000000"/>
            <w:sz w:val="22"/>
          </w:rPr>
          <w:t>97B.53(4)</w:t>
        </w:r>
      </w:hyperlink>
      <w:r>
        <w:rPr>
          <w:rFonts w:ascii="Times New Roman" w:hAnsi="Times New Roman"/>
          <w:b w:val="false"/>
          <w:i w:val="false"/>
          <w:color w:val="000000"/>
          <w:sz w:val="22"/>
        </w:rPr>
        <w:t>, even if the reinstatement occurs less than 30 days after the date of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495—9.6</w:t>
      </w:r>
      <w:r>
        <w:rPr>
          <w:rFonts w:ascii="Times New Roman" w:hAnsi="Times New Roman"/>
          <w:b/>
          <w:i w:val="false"/>
          <w:color w:val="000000"/>
          <w:sz w:val="22"/>
        </w:rPr>
        <w:t xml:space="preserve">(97B) </w:t>
      </w:r>
      <w:r>
        <w:rPr>
          <w:rFonts w:ascii="Times New Roman" w:hAnsi="Times New Roman"/>
          <w:b/>
          <w:i w:val="false"/>
          <w:color w:val="000000"/>
          <w:sz w:val="22"/>
        </w:rPr>
        <w:t xml:space="preserve">Refund followed by commencement of disability benefits under Iowa Code section </w:t>
      </w:r>
      <w:hyperlink r:id="rId13">
        <w:r>
          <w:rPr>
            <w:rStyle w:val="Hyperlink"/>
            <w:rFonts w:ascii="Times New Roman" w:hAnsi="Times New Roman"/>
            <w:b/>
            <w:i w:val="false"/>
            <w:color w:val="000000"/>
            <w:sz w:val="22"/>
          </w:rPr>
          <w:t>97B.50(2)</w:t>
        </w:r>
      </w:hyperlink>
      <w:r>
        <w:rPr>
          <w:rFonts w:ascii="Times New Roman" w:hAnsi="Times New Roman"/>
          <w:b/>
          <w:i w:val="false"/>
          <w:color w:val="000000"/>
          <w:sz w:val="22"/>
        </w:rPr>
        <w:t xml:space="preserve">. </w:t>
      </w:r>
      <w:r>
        <w:rPr>
          <w:rFonts w:ascii="Times New Roman" w:hAnsi="Times New Roman"/>
          <w:b w:val="false"/>
          <w:i w:val="false"/>
          <w:color w:val="000000"/>
          <w:sz w:val="22"/>
        </w:rPr>
        <w:t>If a vested member terminates covered employment, takes a refund, and is subsequently approved for disability under the federal Social Security Act or the federal Railroad Retirement Act, the member may reinstate membership service credit for the period covered by the refund by paying the actuarial cost as determined in 495—subrule 8.1(1) and within 90 days after the date federal social security disability or railroad retirement disability payments begin. Repayments must be made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members whose federal social security or railroad retirement disability payments begin before July 1, 2000, within 90 days after July 1, 2000;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members whose social security or railroad retirement disability payments begin on or after July 1, 2000, within 90 days after the date federal social security or railroad retirement payments begin.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97B.50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97B.53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5.9.2.pdf" Type="http://schemas.openxmlformats.org/officeDocument/2006/relationships/hyperlink" Id="rId5"/>
    <Relationship TargetMode="External" Target="https://www.legis.iowa.gov/docs/iac/rule/495.9.2.pdf" Type="http://schemas.openxmlformats.org/officeDocument/2006/relationships/hyperlink" Id="rId6"/>
    <Relationship TargetMode="External" Target="https://www.legis.iowa.gov/docs/ico/chapter/97B.49B.pdf" Type="http://schemas.openxmlformats.org/officeDocument/2006/relationships/hyperlink" Id="rId7"/>
    <Relationship TargetMode="External" Target="https://www.legis.iowa.gov/docs/ico/chapter/97B.49C.pdf" Type="http://schemas.openxmlformats.org/officeDocument/2006/relationships/hyperlink" Id="rId8"/>
    <Relationship TargetMode="External" Target="https://www.legis.iowa.gov/docs/ico/chapter/97B.49B.pdf" Type="http://schemas.openxmlformats.org/officeDocument/2006/relationships/hyperlink" Id="rId9"/>
    <Relationship TargetMode="External" Target="https://www.legis.iowa.gov/docs/ico/chapter/97B.49C.pdf" Type="http://schemas.openxmlformats.org/officeDocument/2006/relationships/hyperlink" Id="rId10"/>
    <Relationship TargetMode="External" Target="www.ipers.org" Type="http://schemas.openxmlformats.org/officeDocument/2006/relationships/hyperlink" Id="rId11"/>
    <Relationship TargetMode="External" Target="https://www.legis.iowa.gov/docs/ico/chapter/97B.53.pdf" Type="http://schemas.openxmlformats.org/officeDocument/2006/relationships/hyperlink" Id="rId12"/>
    <Relationship TargetMode="External" Target="https://www.legis.iowa.gov/docs/ico/chapter/97B.50.pdf" Type="http://schemas.openxmlformats.org/officeDocument/2006/relationships/hyperlink" Id="rId13"/>
    <Relationship TargetMode="External" Target="https://www.legis.iowa.gov/docs/ico/chapter/97B.50.pdf" Type="http://schemas.openxmlformats.org/officeDocument/2006/relationships/hyperlink" Id="rId14"/>
    <Relationship TargetMode="External" Target="https://www.legis.iowa.gov/docs/ico/chapter/97B.53.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